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DA643" w14:textId="77777777" w:rsidR="00456EB2" w:rsidRDefault="00456EB2" w:rsidP="00663F56">
      <w:pPr>
        <w:jc w:val="center"/>
        <w:rPr>
          <w:rFonts w:ascii="Verdana" w:hAnsi="Verdana"/>
          <w:b/>
          <w:sz w:val="20"/>
          <w:lang w:val="es-MX"/>
        </w:rPr>
      </w:pPr>
    </w:p>
    <w:p w14:paraId="6C1359A1" w14:textId="77777777" w:rsidR="00456EB2" w:rsidRDefault="00456EB2" w:rsidP="00663F56">
      <w:pPr>
        <w:jc w:val="center"/>
        <w:rPr>
          <w:rFonts w:ascii="Verdana" w:hAnsi="Verdana"/>
          <w:b/>
          <w:sz w:val="20"/>
          <w:lang w:val="es-MX"/>
        </w:rPr>
      </w:pPr>
    </w:p>
    <w:p w14:paraId="70E4B5AA" w14:textId="77777777" w:rsidR="00456EB2" w:rsidRDefault="00456EB2" w:rsidP="00663F56">
      <w:pPr>
        <w:jc w:val="center"/>
        <w:rPr>
          <w:rFonts w:ascii="Verdana" w:hAnsi="Verdana"/>
          <w:b/>
          <w:sz w:val="20"/>
          <w:lang w:val="es-MX"/>
        </w:rPr>
      </w:pPr>
    </w:p>
    <w:p w14:paraId="79CCAA61" w14:textId="77777777" w:rsidR="00456EB2" w:rsidRDefault="00456EB2" w:rsidP="00663F56">
      <w:pPr>
        <w:jc w:val="center"/>
        <w:rPr>
          <w:rFonts w:ascii="Verdana" w:hAnsi="Verdana"/>
          <w:b/>
          <w:sz w:val="20"/>
          <w:lang w:val="es-MX"/>
        </w:rPr>
      </w:pPr>
    </w:p>
    <w:p w14:paraId="0028D3C5" w14:textId="77777777" w:rsidR="00456EB2" w:rsidRDefault="00456EB2" w:rsidP="00663F56">
      <w:pPr>
        <w:jc w:val="center"/>
        <w:rPr>
          <w:rFonts w:ascii="Verdana" w:hAnsi="Verdana"/>
          <w:b/>
          <w:sz w:val="20"/>
          <w:lang w:val="es-MX"/>
        </w:rPr>
      </w:pPr>
    </w:p>
    <w:p w14:paraId="115C7F1F" w14:textId="77777777" w:rsidR="00456EB2" w:rsidRDefault="00456EB2" w:rsidP="00663F56">
      <w:pPr>
        <w:jc w:val="center"/>
        <w:rPr>
          <w:rFonts w:ascii="Verdana" w:hAnsi="Verdana"/>
          <w:b/>
          <w:sz w:val="20"/>
          <w:lang w:val="es-MX"/>
        </w:rPr>
      </w:pPr>
    </w:p>
    <w:p w14:paraId="747191BD" w14:textId="77777777" w:rsidR="00456EB2" w:rsidRDefault="00456EB2" w:rsidP="00663F56">
      <w:pPr>
        <w:jc w:val="center"/>
        <w:rPr>
          <w:rFonts w:ascii="Verdana" w:hAnsi="Verdana"/>
          <w:b/>
          <w:sz w:val="20"/>
          <w:lang w:val="es-MX"/>
        </w:rPr>
      </w:pPr>
    </w:p>
    <w:p w14:paraId="32FD490B" w14:textId="73613D17" w:rsidR="00663F56" w:rsidRPr="00F5285D" w:rsidRDefault="00663F56" w:rsidP="00663F56">
      <w:pPr>
        <w:jc w:val="center"/>
        <w:rPr>
          <w:rFonts w:ascii="Verdana" w:hAnsi="Verdana"/>
          <w:b/>
          <w:sz w:val="20"/>
          <w:lang w:val="es-MX"/>
        </w:rPr>
      </w:pPr>
      <w:r w:rsidRPr="00F5285D">
        <w:rPr>
          <w:rFonts w:ascii="Verdana" w:hAnsi="Verdana"/>
          <w:b/>
          <w:sz w:val="20"/>
          <w:lang w:val="es-MX"/>
        </w:rPr>
        <w:t xml:space="preserve">RESOLUCIÓN DE LA </w:t>
      </w:r>
    </w:p>
    <w:p w14:paraId="39E7ECA2" w14:textId="77777777" w:rsidR="00663F56" w:rsidRPr="00F5285D" w:rsidRDefault="00663F56" w:rsidP="00663F56">
      <w:pPr>
        <w:jc w:val="center"/>
        <w:rPr>
          <w:rFonts w:ascii="Verdana" w:hAnsi="Verdana"/>
          <w:b/>
          <w:smallCaps/>
          <w:sz w:val="20"/>
        </w:rPr>
      </w:pPr>
      <w:r w:rsidRPr="00F5285D">
        <w:rPr>
          <w:rFonts w:ascii="Verdana" w:hAnsi="Verdana"/>
          <w:b/>
          <w:sz w:val="20"/>
          <w:lang w:val="es-MX"/>
        </w:rPr>
        <w:t>CORTE INTERAMERICANA DE DERECHOS HUMANOS</w:t>
      </w:r>
      <w:r w:rsidRPr="00F5285D">
        <w:rPr>
          <w:rStyle w:val="Refdenotaalpie"/>
          <w:rFonts w:ascii="Verdana" w:hAnsi="Verdana"/>
          <w:b/>
          <w:smallCaps/>
          <w:sz w:val="20"/>
        </w:rPr>
        <w:footnoteReference w:customMarkFollows="1" w:id="1"/>
        <w:sym w:font="Symbol" w:char="F02A"/>
      </w:r>
    </w:p>
    <w:p w14:paraId="116DE130" w14:textId="77777777" w:rsidR="00663F56" w:rsidRPr="00F5285D" w:rsidRDefault="00663F56" w:rsidP="00663F56">
      <w:pPr>
        <w:jc w:val="center"/>
        <w:rPr>
          <w:rFonts w:ascii="Verdana" w:hAnsi="Verdana"/>
          <w:b/>
          <w:sz w:val="20"/>
        </w:rPr>
      </w:pPr>
    </w:p>
    <w:p w14:paraId="3F64BC37" w14:textId="50433253" w:rsidR="00663F56" w:rsidRPr="000B4656" w:rsidRDefault="005D723C" w:rsidP="00663F56">
      <w:pPr>
        <w:jc w:val="center"/>
        <w:rPr>
          <w:rFonts w:ascii="Verdana" w:hAnsi="Verdana"/>
          <w:b/>
          <w:sz w:val="20"/>
          <w:lang w:val="pt-BR"/>
        </w:rPr>
      </w:pPr>
      <w:r w:rsidRPr="000B4656">
        <w:rPr>
          <w:rFonts w:ascii="Verdana" w:hAnsi="Verdana"/>
          <w:b/>
          <w:sz w:val="20"/>
          <w:lang w:val="pt-BR"/>
        </w:rPr>
        <w:t xml:space="preserve">DE </w:t>
      </w:r>
      <w:r w:rsidR="004A4514">
        <w:rPr>
          <w:rFonts w:ascii="Verdana" w:hAnsi="Verdana"/>
          <w:b/>
          <w:sz w:val="20"/>
          <w:lang w:val="pt-BR"/>
        </w:rPr>
        <w:t>30</w:t>
      </w:r>
      <w:r w:rsidRPr="000B4656">
        <w:rPr>
          <w:rFonts w:ascii="Verdana" w:hAnsi="Verdana"/>
          <w:b/>
          <w:sz w:val="20"/>
          <w:lang w:val="pt-BR"/>
        </w:rPr>
        <w:t xml:space="preserve"> DE </w:t>
      </w:r>
      <w:r w:rsidR="004C65B7" w:rsidRPr="000B4656">
        <w:rPr>
          <w:rFonts w:ascii="Verdana" w:hAnsi="Verdana"/>
          <w:b/>
          <w:sz w:val="20"/>
          <w:lang w:val="pt-BR"/>
        </w:rPr>
        <w:t>AGOSTO</w:t>
      </w:r>
      <w:r w:rsidR="004B7C04" w:rsidRPr="000B4656">
        <w:rPr>
          <w:rFonts w:ascii="Verdana" w:hAnsi="Verdana"/>
          <w:b/>
          <w:sz w:val="20"/>
          <w:lang w:val="pt-BR"/>
        </w:rPr>
        <w:t xml:space="preserve"> </w:t>
      </w:r>
      <w:r w:rsidR="00663F56" w:rsidRPr="000B4656">
        <w:rPr>
          <w:rFonts w:ascii="Verdana" w:hAnsi="Verdana"/>
          <w:b/>
          <w:sz w:val="20"/>
          <w:lang w:val="pt-BR"/>
        </w:rPr>
        <w:t>DE 2023</w:t>
      </w:r>
    </w:p>
    <w:p w14:paraId="1695524A" w14:textId="77777777" w:rsidR="00663F56" w:rsidRPr="000B4656" w:rsidRDefault="00663F56" w:rsidP="00663F56">
      <w:pPr>
        <w:jc w:val="center"/>
        <w:rPr>
          <w:rFonts w:ascii="Verdana" w:hAnsi="Verdana"/>
          <w:b/>
          <w:sz w:val="20"/>
          <w:lang w:val="pt-BR"/>
        </w:rPr>
      </w:pPr>
    </w:p>
    <w:p w14:paraId="79829F38" w14:textId="77777777" w:rsidR="00663F56" w:rsidRPr="00F5285D" w:rsidRDefault="00663F56" w:rsidP="00663F56">
      <w:pPr>
        <w:jc w:val="center"/>
        <w:rPr>
          <w:rFonts w:ascii="Verdana" w:hAnsi="Verdana"/>
          <w:b/>
          <w:i/>
          <w:sz w:val="20"/>
          <w:lang w:val="es-MX"/>
        </w:rPr>
      </w:pPr>
      <w:r w:rsidRPr="00456EB2">
        <w:rPr>
          <w:rFonts w:ascii="Verdana" w:hAnsi="Verdana"/>
          <w:b/>
          <w:i/>
          <w:sz w:val="20"/>
          <w:lang w:val="pt-BR"/>
        </w:rPr>
        <w:t xml:space="preserve">CASO </w:t>
      </w:r>
      <w:r w:rsidR="005D723C" w:rsidRPr="00456EB2">
        <w:rPr>
          <w:rFonts w:ascii="Verdana" w:hAnsi="Verdana"/>
          <w:b/>
          <w:i/>
          <w:sz w:val="20"/>
          <w:lang w:val="pt-BR"/>
        </w:rPr>
        <w:t>MASACRES DE ITUANGO</w:t>
      </w:r>
      <w:r w:rsidRPr="00456EB2">
        <w:rPr>
          <w:rFonts w:ascii="Verdana" w:hAnsi="Verdana"/>
          <w:b/>
          <w:i/>
          <w:sz w:val="20"/>
          <w:lang w:val="pt-BR"/>
        </w:rPr>
        <w:t xml:space="preserve"> VS. </w:t>
      </w:r>
      <w:r w:rsidR="005D723C">
        <w:rPr>
          <w:rFonts w:ascii="Verdana" w:hAnsi="Verdana"/>
          <w:b/>
          <w:i/>
          <w:sz w:val="20"/>
          <w:lang w:val="es-MX"/>
        </w:rPr>
        <w:t>COLOMBIA</w:t>
      </w:r>
    </w:p>
    <w:p w14:paraId="23232C58" w14:textId="77777777" w:rsidR="00663F56" w:rsidRPr="00F5285D" w:rsidRDefault="00663F56" w:rsidP="00663F56">
      <w:pPr>
        <w:jc w:val="center"/>
        <w:rPr>
          <w:rFonts w:ascii="Verdana" w:hAnsi="Verdana"/>
          <w:b/>
          <w:i/>
          <w:sz w:val="20"/>
          <w:lang w:val="es-MX"/>
        </w:rPr>
      </w:pPr>
    </w:p>
    <w:p w14:paraId="1768EF55" w14:textId="77777777" w:rsidR="00663F56" w:rsidRPr="00F5285D" w:rsidRDefault="00663F56" w:rsidP="00663F56">
      <w:pPr>
        <w:jc w:val="center"/>
        <w:rPr>
          <w:rFonts w:ascii="Verdana" w:hAnsi="Verdana"/>
          <w:b/>
          <w:sz w:val="20"/>
          <w:lang w:val="es-MX"/>
        </w:rPr>
      </w:pPr>
      <w:r w:rsidRPr="00F5285D">
        <w:rPr>
          <w:rFonts w:ascii="Verdana" w:hAnsi="Verdana"/>
          <w:b/>
          <w:sz w:val="20"/>
          <w:lang w:val="es-MX"/>
        </w:rPr>
        <w:t>SUPERVISIÓN DE CUMPLIMIENTO DE SENTENCIA</w:t>
      </w:r>
    </w:p>
    <w:p w14:paraId="2FB24EAC" w14:textId="77777777" w:rsidR="00663F56" w:rsidRPr="00F5285D" w:rsidRDefault="00663F56" w:rsidP="00663F56">
      <w:pPr>
        <w:jc w:val="both"/>
        <w:rPr>
          <w:rFonts w:ascii="Verdana" w:hAnsi="Verdana"/>
          <w:sz w:val="20"/>
          <w:lang w:val="es-MX"/>
        </w:rPr>
      </w:pPr>
    </w:p>
    <w:p w14:paraId="6680D833" w14:textId="77777777" w:rsidR="00663F56" w:rsidRPr="00F5285D" w:rsidRDefault="00663F56" w:rsidP="00663F56">
      <w:pPr>
        <w:pStyle w:val="NormalWeb"/>
        <w:spacing w:before="120" w:beforeAutospacing="0" w:after="120" w:afterAutospacing="0"/>
        <w:jc w:val="both"/>
        <w:rPr>
          <w:rFonts w:ascii="Verdana" w:hAnsi="Verdana" w:cs="Calibri"/>
          <w:b/>
          <w:color w:val="000000"/>
          <w:sz w:val="20"/>
          <w:szCs w:val="20"/>
        </w:rPr>
      </w:pPr>
      <w:r w:rsidRPr="00F5285D">
        <w:rPr>
          <w:rFonts w:ascii="Verdana" w:hAnsi="Verdana" w:cs="Calibri"/>
          <w:b/>
          <w:color w:val="000000"/>
          <w:sz w:val="20"/>
          <w:szCs w:val="20"/>
        </w:rPr>
        <w:t xml:space="preserve">VISTO: </w:t>
      </w:r>
    </w:p>
    <w:p w14:paraId="77F313CF" w14:textId="1888C609" w:rsidR="00663F56" w:rsidRPr="00F5285D" w:rsidRDefault="005D723C" w:rsidP="00663F56">
      <w:pPr>
        <w:pStyle w:val="Prrafodelista"/>
        <w:numPr>
          <w:ilvl w:val="0"/>
          <w:numId w:val="2"/>
        </w:numPr>
        <w:spacing w:before="120" w:after="120"/>
        <w:ind w:left="0" w:firstLine="0"/>
        <w:jc w:val="both"/>
        <w:rPr>
          <w:rFonts w:ascii="Verdana" w:hAnsi="Verdana"/>
          <w:color w:val="000000"/>
          <w:sz w:val="20"/>
        </w:rPr>
      </w:pPr>
      <w:r>
        <w:rPr>
          <w:rFonts w:ascii="Verdana" w:hAnsi="Verdana"/>
          <w:sz w:val="20"/>
        </w:rPr>
        <w:t>La Sentencia</w:t>
      </w:r>
      <w:r w:rsidR="003D4F30">
        <w:rPr>
          <w:rFonts w:ascii="Verdana" w:hAnsi="Verdana"/>
          <w:sz w:val="20"/>
        </w:rPr>
        <w:t xml:space="preserve"> de fondo, reparaciones y costas</w:t>
      </w:r>
      <w:r>
        <w:rPr>
          <w:rFonts w:ascii="Verdana" w:hAnsi="Verdana"/>
          <w:sz w:val="20"/>
        </w:rPr>
        <w:t xml:space="preserve"> </w:t>
      </w:r>
      <w:r w:rsidR="00663F56" w:rsidRPr="00F5285D">
        <w:rPr>
          <w:rFonts w:ascii="Verdana" w:hAnsi="Verdana"/>
          <w:bCs/>
          <w:sz w:val="20"/>
        </w:rPr>
        <w:t>(en adelante “la Sentencia”)</w:t>
      </w:r>
      <w:r w:rsidR="00663F56" w:rsidRPr="00F5285D">
        <w:rPr>
          <w:rFonts w:ascii="Verdana" w:hAnsi="Verdana"/>
          <w:color w:val="000000"/>
          <w:sz w:val="20"/>
        </w:rPr>
        <w:t xml:space="preserve"> dictada por la Corte Interamericana de Derechos Humanos (en adelante “la Corte Interamericana”, “la Corte” o “el Tribunal”) el </w:t>
      </w:r>
      <w:r>
        <w:rPr>
          <w:rFonts w:ascii="Verdana" w:hAnsi="Verdana"/>
          <w:color w:val="000000"/>
          <w:sz w:val="20"/>
        </w:rPr>
        <w:t>1 de julio de 2006</w:t>
      </w:r>
      <w:r w:rsidR="00663F56" w:rsidRPr="00F5285D">
        <w:rPr>
          <w:rStyle w:val="Refdenotaalpie"/>
          <w:rFonts w:ascii="Verdana" w:hAnsi="Verdana"/>
          <w:color w:val="000000"/>
          <w:sz w:val="20"/>
        </w:rPr>
        <w:footnoteReference w:id="2"/>
      </w:r>
      <w:r w:rsidR="00663F56" w:rsidRPr="00F5285D">
        <w:rPr>
          <w:rFonts w:ascii="Verdana" w:hAnsi="Verdana"/>
          <w:color w:val="000000"/>
          <w:sz w:val="20"/>
        </w:rPr>
        <w:t>.</w:t>
      </w:r>
      <w:r w:rsidR="00663F56" w:rsidRPr="00F5285D">
        <w:rPr>
          <w:rFonts w:ascii="Verdana" w:hAnsi="Verdana"/>
          <w:sz w:val="20"/>
        </w:rPr>
        <w:t xml:space="preserve"> </w:t>
      </w:r>
    </w:p>
    <w:p w14:paraId="434BF2FF" w14:textId="52220B74" w:rsidR="00AC17B5" w:rsidRPr="00AC17B5" w:rsidRDefault="00AC17B5" w:rsidP="001A21D8">
      <w:pPr>
        <w:pStyle w:val="Prrafodelista"/>
        <w:numPr>
          <w:ilvl w:val="0"/>
          <w:numId w:val="2"/>
        </w:numPr>
        <w:spacing w:before="120" w:after="120"/>
        <w:ind w:left="0" w:firstLine="0"/>
        <w:jc w:val="both"/>
        <w:rPr>
          <w:rFonts w:ascii="Verdana" w:hAnsi="Verdana"/>
          <w:b/>
          <w:sz w:val="20"/>
        </w:rPr>
      </w:pPr>
      <w:r w:rsidRPr="001A21D8">
        <w:rPr>
          <w:rFonts w:ascii="Verdana" w:hAnsi="Verdana"/>
          <w:sz w:val="20"/>
        </w:rPr>
        <w:t>Las Resoluciones de supervisión de cumplimiento de Sentencia emitidas por el Tribunal los días 7 de julio de 2009, 28 de febrer</w:t>
      </w:r>
      <w:r w:rsidR="00F71273">
        <w:rPr>
          <w:rFonts w:ascii="Verdana" w:hAnsi="Verdana"/>
          <w:sz w:val="20"/>
        </w:rPr>
        <w:t xml:space="preserve">o de 2011, </w:t>
      </w:r>
      <w:r w:rsidR="007F5A10">
        <w:rPr>
          <w:rFonts w:ascii="Verdana" w:hAnsi="Verdana"/>
          <w:sz w:val="20"/>
        </w:rPr>
        <w:t xml:space="preserve">8 de febrero de 2012, </w:t>
      </w:r>
      <w:r w:rsidR="00F71273">
        <w:rPr>
          <w:rFonts w:ascii="Verdana" w:hAnsi="Verdana"/>
          <w:sz w:val="20"/>
        </w:rPr>
        <w:t xml:space="preserve">21 de mayo de 2013, </w:t>
      </w:r>
      <w:r w:rsidRPr="001A21D8">
        <w:rPr>
          <w:rFonts w:ascii="Verdana" w:hAnsi="Verdana"/>
          <w:sz w:val="20"/>
        </w:rPr>
        <w:t>3 de septiembre de 2020</w:t>
      </w:r>
      <w:r w:rsidR="00F71273">
        <w:rPr>
          <w:rFonts w:ascii="Verdana" w:hAnsi="Verdana"/>
          <w:sz w:val="20"/>
        </w:rPr>
        <w:t xml:space="preserve"> y 5 de abril de 2022</w:t>
      </w:r>
      <w:r w:rsidRPr="001A21D8">
        <w:rPr>
          <w:rFonts w:ascii="Verdana" w:hAnsi="Verdana"/>
          <w:sz w:val="20"/>
        </w:rPr>
        <w:t>.</w:t>
      </w:r>
    </w:p>
    <w:p w14:paraId="53B5F1C8" w14:textId="10E4DCF8" w:rsidR="001A21D8" w:rsidRPr="004C65B7" w:rsidRDefault="00663F56" w:rsidP="001A21D8">
      <w:pPr>
        <w:pStyle w:val="Prrafodelista"/>
        <w:numPr>
          <w:ilvl w:val="0"/>
          <w:numId w:val="2"/>
        </w:numPr>
        <w:spacing w:before="120" w:after="120"/>
        <w:ind w:left="0" w:firstLine="0"/>
        <w:jc w:val="both"/>
        <w:rPr>
          <w:rFonts w:ascii="Verdana" w:hAnsi="Verdana"/>
          <w:b/>
          <w:sz w:val="20"/>
        </w:rPr>
      </w:pPr>
      <w:r w:rsidRPr="00F5285D">
        <w:rPr>
          <w:rFonts w:ascii="Verdana" w:hAnsi="Verdana"/>
          <w:sz w:val="20"/>
        </w:rPr>
        <w:t>Los informes presen</w:t>
      </w:r>
      <w:r w:rsidR="00834AC8">
        <w:rPr>
          <w:rFonts w:ascii="Verdana" w:hAnsi="Verdana"/>
          <w:sz w:val="20"/>
        </w:rPr>
        <w:t>tados por la República de Colombia</w:t>
      </w:r>
      <w:r w:rsidRPr="00F5285D">
        <w:rPr>
          <w:rFonts w:ascii="Verdana" w:hAnsi="Verdana"/>
          <w:sz w:val="20"/>
        </w:rPr>
        <w:t xml:space="preserve"> (en adelante “el Estado” o “</w:t>
      </w:r>
      <w:r w:rsidR="00834AC8">
        <w:rPr>
          <w:rFonts w:ascii="Verdana" w:hAnsi="Verdana"/>
          <w:sz w:val="20"/>
        </w:rPr>
        <w:t>Colombia</w:t>
      </w:r>
      <w:r w:rsidRPr="00F5285D">
        <w:rPr>
          <w:rFonts w:ascii="Verdana" w:hAnsi="Verdana"/>
          <w:sz w:val="20"/>
        </w:rPr>
        <w:t>”)</w:t>
      </w:r>
      <w:r w:rsidR="004B7C04">
        <w:rPr>
          <w:rFonts w:ascii="Verdana" w:hAnsi="Verdana"/>
          <w:sz w:val="20"/>
        </w:rPr>
        <w:t xml:space="preserve"> sobre la medida de reparación relativa a la realización de un acto público de reconocimiento de responsabilidad internacional; particularmente</w:t>
      </w:r>
      <w:r w:rsidR="00C75200">
        <w:rPr>
          <w:rFonts w:ascii="Verdana" w:hAnsi="Verdana"/>
          <w:sz w:val="20"/>
        </w:rPr>
        <w:t>,</w:t>
      </w:r>
      <w:r w:rsidR="004B7C04">
        <w:rPr>
          <w:rFonts w:ascii="Verdana" w:hAnsi="Verdana"/>
          <w:sz w:val="20"/>
        </w:rPr>
        <w:t xml:space="preserve"> el informe de 5 de diciembre de 2022, mediante el cual informó sobre su realización y solicitó que se </w:t>
      </w:r>
      <w:r w:rsidR="004B7C04" w:rsidRPr="004C65B7">
        <w:rPr>
          <w:rFonts w:ascii="Verdana" w:hAnsi="Verdana"/>
          <w:sz w:val="20"/>
        </w:rPr>
        <w:t xml:space="preserve">declarara </w:t>
      </w:r>
      <w:r w:rsidR="002B6683" w:rsidRPr="004C65B7">
        <w:rPr>
          <w:rFonts w:ascii="Verdana" w:hAnsi="Verdana"/>
          <w:sz w:val="20"/>
        </w:rPr>
        <w:t>su</w:t>
      </w:r>
      <w:r w:rsidR="004B7C04" w:rsidRPr="004C65B7">
        <w:rPr>
          <w:rFonts w:ascii="Verdana" w:hAnsi="Verdana"/>
          <w:sz w:val="20"/>
        </w:rPr>
        <w:t xml:space="preserve"> cumplimiento total.</w:t>
      </w:r>
      <w:r w:rsidRPr="004C65B7">
        <w:rPr>
          <w:rFonts w:ascii="Verdana" w:hAnsi="Verdana"/>
          <w:sz w:val="20"/>
        </w:rPr>
        <w:t xml:space="preserve"> </w:t>
      </w:r>
    </w:p>
    <w:p w14:paraId="06097AFF" w14:textId="4EDCDBE7" w:rsidR="001A21D8" w:rsidRPr="004C65B7" w:rsidRDefault="00AA692B" w:rsidP="00AC17B5">
      <w:pPr>
        <w:pStyle w:val="Prrafodelista"/>
        <w:numPr>
          <w:ilvl w:val="0"/>
          <w:numId w:val="2"/>
        </w:numPr>
        <w:spacing w:before="120" w:after="120"/>
        <w:ind w:left="0" w:firstLine="0"/>
        <w:jc w:val="both"/>
        <w:rPr>
          <w:rFonts w:ascii="Verdana" w:hAnsi="Verdana"/>
          <w:sz w:val="20"/>
          <w:lang w:val="es-CR"/>
        </w:rPr>
      </w:pPr>
      <w:r w:rsidRPr="004C65B7">
        <w:rPr>
          <w:rFonts w:ascii="Verdana" w:hAnsi="Verdana"/>
          <w:sz w:val="20"/>
          <w:lang w:val="es-CR"/>
        </w:rPr>
        <w:t>El escrito de observaciones presentado por los representantes de las víctimas (en adelante “los representantes”)</w:t>
      </w:r>
      <w:r w:rsidRPr="004C65B7">
        <w:rPr>
          <w:rStyle w:val="Refdenotaalpie"/>
          <w:rFonts w:ascii="Verdana" w:hAnsi="Verdana"/>
          <w:sz w:val="20"/>
        </w:rPr>
        <w:footnoteReference w:id="3"/>
      </w:r>
      <w:r w:rsidRPr="004C65B7">
        <w:rPr>
          <w:rFonts w:ascii="Verdana" w:hAnsi="Verdana"/>
          <w:sz w:val="20"/>
          <w:lang w:val="es-CR"/>
        </w:rPr>
        <w:t xml:space="preserve"> el 22 de junio de 2023.</w:t>
      </w:r>
    </w:p>
    <w:p w14:paraId="4BAFF788" w14:textId="77777777" w:rsidR="004B7C04" w:rsidRDefault="004B7C04" w:rsidP="001F74E6">
      <w:pPr>
        <w:pStyle w:val="Prrafodelista"/>
        <w:spacing w:before="120" w:after="120"/>
        <w:ind w:left="0"/>
        <w:jc w:val="both"/>
        <w:rPr>
          <w:rFonts w:ascii="Verdana" w:hAnsi="Verdana"/>
          <w:b/>
          <w:sz w:val="20"/>
        </w:rPr>
      </w:pPr>
    </w:p>
    <w:p w14:paraId="34C04D59" w14:textId="4B606282" w:rsidR="00663F56" w:rsidRPr="00F5285D" w:rsidRDefault="00663F56" w:rsidP="001F74E6">
      <w:pPr>
        <w:pStyle w:val="Prrafodelista"/>
        <w:spacing w:before="120" w:after="120"/>
        <w:ind w:left="0"/>
        <w:jc w:val="both"/>
        <w:rPr>
          <w:rFonts w:ascii="Verdana" w:hAnsi="Verdana"/>
          <w:b/>
          <w:sz w:val="20"/>
        </w:rPr>
      </w:pPr>
      <w:r w:rsidRPr="00F5285D">
        <w:rPr>
          <w:rFonts w:ascii="Verdana" w:hAnsi="Verdana"/>
          <w:b/>
          <w:sz w:val="20"/>
        </w:rPr>
        <w:t xml:space="preserve">CONSIDERANDO QUE: </w:t>
      </w:r>
    </w:p>
    <w:p w14:paraId="50641876" w14:textId="5F94AD5E" w:rsidR="00663F56" w:rsidRPr="00F5285D" w:rsidRDefault="00663F56" w:rsidP="00EC0BDF">
      <w:pPr>
        <w:pStyle w:val="Prrafodelista"/>
        <w:numPr>
          <w:ilvl w:val="0"/>
          <w:numId w:val="4"/>
        </w:numPr>
        <w:spacing w:before="120" w:after="120"/>
        <w:ind w:left="11" w:hanging="11"/>
        <w:jc w:val="both"/>
        <w:rPr>
          <w:rFonts w:ascii="Verdana" w:hAnsi="Verdana"/>
          <w:sz w:val="20"/>
        </w:rPr>
      </w:pPr>
      <w:r w:rsidRPr="00F5285D">
        <w:rPr>
          <w:rFonts w:ascii="Verdana" w:hAnsi="Verdana"/>
          <w:sz w:val="20"/>
        </w:rPr>
        <w:t>La Corte ha venido supervisando la ejecución de la Sentencia</w:t>
      </w:r>
      <w:r w:rsidRPr="00F5285D">
        <w:rPr>
          <w:rStyle w:val="Refdenotaalpie"/>
          <w:rFonts w:ascii="Verdana" w:hAnsi="Verdana"/>
          <w:sz w:val="20"/>
        </w:rPr>
        <w:footnoteReference w:id="4"/>
      </w:r>
      <w:r w:rsidRPr="00F5285D">
        <w:rPr>
          <w:rFonts w:ascii="Verdana" w:hAnsi="Verdana"/>
          <w:sz w:val="20"/>
        </w:rPr>
        <w:t xml:space="preserve"> </w:t>
      </w:r>
      <w:r w:rsidR="001F74E6" w:rsidRPr="00F5285D">
        <w:rPr>
          <w:rFonts w:ascii="Verdana" w:hAnsi="Verdana"/>
          <w:sz w:val="20"/>
        </w:rPr>
        <w:t xml:space="preserve">emitida </w:t>
      </w:r>
      <w:r w:rsidR="00456EB2">
        <w:rPr>
          <w:rFonts w:ascii="Verdana" w:hAnsi="Verdana"/>
          <w:sz w:val="20"/>
        </w:rPr>
        <w:t>hace 17 años</w:t>
      </w:r>
      <w:r w:rsidR="001A21D8">
        <w:rPr>
          <w:rFonts w:ascii="Verdana" w:hAnsi="Verdana"/>
          <w:sz w:val="20"/>
        </w:rPr>
        <w:t>, en la cual dispuso diez</w:t>
      </w:r>
      <w:r w:rsidRPr="00F5285D">
        <w:rPr>
          <w:rFonts w:ascii="Verdana" w:hAnsi="Verdana"/>
          <w:sz w:val="20"/>
        </w:rPr>
        <w:t xml:space="preserve"> medidas de reparación. </w:t>
      </w:r>
      <w:r w:rsidR="002B6683">
        <w:rPr>
          <w:rFonts w:ascii="Verdana" w:hAnsi="Verdana"/>
          <w:sz w:val="20"/>
        </w:rPr>
        <w:t xml:space="preserve">En </w:t>
      </w:r>
      <w:r w:rsidR="00D82BA4">
        <w:rPr>
          <w:rFonts w:ascii="Verdana" w:hAnsi="Verdana"/>
          <w:sz w:val="20"/>
        </w:rPr>
        <w:t xml:space="preserve">las resoluciones de supervisión </w:t>
      </w:r>
      <w:r w:rsidR="002B6683">
        <w:rPr>
          <w:rFonts w:ascii="Verdana" w:hAnsi="Verdana"/>
          <w:sz w:val="20"/>
        </w:rPr>
        <w:t>se ha declarado el cumplimiento total de cinco medidas y el parcial de una medida</w:t>
      </w:r>
      <w:r w:rsidR="002B6683">
        <w:rPr>
          <w:rStyle w:val="Refdenotaalpie"/>
          <w:rFonts w:ascii="Verdana" w:hAnsi="Verdana"/>
          <w:sz w:val="20"/>
        </w:rPr>
        <w:footnoteReference w:id="5"/>
      </w:r>
      <w:r w:rsidR="002B6683">
        <w:rPr>
          <w:rFonts w:ascii="Verdana" w:hAnsi="Verdana"/>
          <w:sz w:val="20"/>
        </w:rPr>
        <w:t xml:space="preserve">. </w:t>
      </w:r>
      <w:r w:rsidR="00B70C6A">
        <w:rPr>
          <w:rFonts w:ascii="Verdana" w:hAnsi="Verdana"/>
          <w:sz w:val="20"/>
        </w:rPr>
        <w:t xml:space="preserve">En </w:t>
      </w:r>
      <w:r w:rsidR="00B70C6A">
        <w:rPr>
          <w:rFonts w:ascii="Verdana" w:hAnsi="Verdana"/>
          <w:sz w:val="20"/>
        </w:rPr>
        <w:lastRenderedPageBreak/>
        <w:t>esta resolución la Corte valorará la información sobre el cumplimiento de la medida relativa a realizar un acto público de reconocimiento de responsabilidad</w:t>
      </w:r>
      <w:r w:rsidR="00BA75E5">
        <w:rPr>
          <w:rFonts w:ascii="Verdana" w:hAnsi="Verdana"/>
          <w:sz w:val="20"/>
        </w:rPr>
        <w:t xml:space="preserve"> internacional</w:t>
      </w:r>
      <w:r w:rsidR="00B70C6A">
        <w:rPr>
          <w:rFonts w:ascii="Verdana" w:hAnsi="Verdana"/>
          <w:sz w:val="20"/>
        </w:rPr>
        <w:t xml:space="preserve"> por los hechos de este caso, y en resoluciones posteriores se pronunciará sobre las demás medidas.</w:t>
      </w:r>
      <w:r w:rsidR="00456EB2">
        <w:rPr>
          <w:rFonts w:ascii="Verdana" w:hAnsi="Verdana"/>
          <w:sz w:val="20"/>
        </w:rPr>
        <w:t xml:space="preserve"> </w:t>
      </w:r>
    </w:p>
    <w:p w14:paraId="5A3A94FA" w14:textId="1AE57F88" w:rsidR="00B70C6A" w:rsidRDefault="00B70C6A" w:rsidP="00456EB2">
      <w:pPr>
        <w:pStyle w:val="TDC1"/>
        <w:numPr>
          <w:ilvl w:val="0"/>
          <w:numId w:val="0"/>
        </w:numPr>
        <w:ind w:left="720"/>
      </w:pPr>
    </w:p>
    <w:p w14:paraId="240F0469" w14:textId="1FFF272C" w:rsidR="00564941" w:rsidRPr="00C75200" w:rsidRDefault="00564941" w:rsidP="00456EB2">
      <w:pPr>
        <w:pStyle w:val="TDC1"/>
      </w:pPr>
      <w:r w:rsidRPr="00C75200">
        <w:t>Medida ordenada por la Corte</w:t>
      </w:r>
      <w:r w:rsidR="00B70C6A" w:rsidRPr="00C75200">
        <w:t xml:space="preserve"> y supervisión realizada en resoluci</w:t>
      </w:r>
      <w:r w:rsidR="00C75200" w:rsidRPr="00C75200">
        <w:t>ón</w:t>
      </w:r>
      <w:r w:rsidR="00B70C6A" w:rsidRPr="00C75200">
        <w:t xml:space="preserve"> anterior</w:t>
      </w:r>
    </w:p>
    <w:p w14:paraId="39C4FA06" w14:textId="1919D508" w:rsidR="00883CFD" w:rsidRPr="002A0B40" w:rsidRDefault="00BA75E5" w:rsidP="00C75200">
      <w:pPr>
        <w:pStyle w:val="Prrafodelista"/>
        <w:numPr>
          <w:ilvl w:val="0"/>
          <w:numId w:val="4"/>
        </w:numPr>
        <w:spacing w:before="120" w:after="120"/>
        <w:ind w:left="11" w:hanging="11"/>
        <w:jc w:val="both"/>
        <w:rPr>
          <w:rFonts w:ascii="Verdana" w:hAnsi="Verdana"/>
          <w:sz w:val="20"/>
        </w:rPr>
      </w:pPr>
      <w:r w:rsidRPr="00883CFD">
        <w:rPr>
          <w:rFonts w:ascii="Verdana" w:hAnsi="Verdana"/>
          <w:sz w:val="20"/>
        </w:rPr>
        <w:t xml:space="preserve">En </w:t>
      </w:r>
      <w:r w:rsidR="00E75AC6" w:rsidRPr="00883CFD">
        <w:rPr>
          <w:rFonts w:ascii="Verdana" w:hAnsi="Verdana"/>
          <w:sz w:val="20"/>
        </w:rPr>
        <w:t>el punto resolutivo décimo octavo</w:t>
      </w:r>
      <w:r w:rsidRPr="00883CFD">
        <w:rPr>
          <w:rFonts w:ascii="Verdana" w:hAnsi="Verdana"/>
          <w:sz w:val="20"/>
        </w:rPr>
        <w:t xml:space="preserve"> y los párrafos 405 y 406 de la Sentencia</w:t>
      </w:r>
      <w:r w:rsidR="00E75AC6" w:rsidRPr="00883CFD">
        <w:rPr>
          <w:rFonts w:ascii="Verdana" w:hAnsi="Verdana"/>
          <w:sz w:val="20"/>
        </w:rPr>
        <w:t>, l</w:t>
      </w:r>
      <w:r w:rsidR="00652DDA" w:rsidRPr="00883CFD">
        <w:rPr>
          <w:rFonts w:ascii="Verdana" w:hAnsi="Verdana"/>
          <w:sz w:val="20"/>
        </w:rPr>
        <w:t xml:space="preserve">a Corte dispuso </w:t>
      </w:r>
      <w:r w:rsidR="00E75AC6" w:rsidRPr="00883CFD">
        <w:rPr>
          <w:rFonts w:ascii="Verdana" w:hAnsi="Verdana"/>
          <w:sz w:val="20"/>
        </w:rPr>
        <w:t xml:space="preserve">que </w:t>
      </w:r>
      <w:r w:rsidRPr="00883CFD">
        <w:rPr>
          <w:rFonts w:ascii="Verdana" w:hAnsi="Verdana"/>
          <w:sz w:val="20"/>
        </w:rPr>
        <w:t>e</w:t>
      </w:r>
      <w:r w:rsidR="00E75AC6" w:rsidRPr="00883CFD">
        <w:rPr>
          <w:rFonts w:ascii="Verdana" w:hAnsi="Verdana"/>
          <w:sz w:val="20"/>
        </w:rPr>
        <w:t>l Estado deb</w:t>
      </w:r>
      <w:r w:rsidR="00456EB2">
        <w:rPr>
          <w:rFonts w:ascii="Verdana" w:hAnsi="Verdana"/>
          <w:sz w:val="20"/>
        </w:rPr>
        <w:t>ía</w:t>
      </w:r>
      <w:r w:rsidR="00E75AC6" w:rsidRPr="00883CFD">
        <w:rPr>
          <w:rFonts w:ascii="Verdana" w:hAnsi="Verdana"/>
          <w:sz w:val="20"/>
        </w:rPr>
        <w:t xml:space="preserve"> realizar un acto público de reconocimiento de responsabilidad internacional por los hechos </w:t>
      </w:r>
      <w:r w:rsidRPr="00883CFD">
        <w:rPr>
          <w:rFonts w:ascii="Verdana" w:hAnsi="Verdana"/>
          <w:sz w:val="20"/>
        </w:rPr>
        <w:t xml:space="preserve">de las masacres </w:t>
      </w:r>
      <w:r w:rsidR="0064229E">
        <w:rPr>
          <w:rFonts w:ascii="Verdana" w:hAnsi="Verdana"/>
          <w:sz w:val="20"/>
        </w:rPr>
        <w:t>ocurridas en los corregimientos de</w:t>
      </w:r>
      <w:r w:rsidR="00BA6DA0">
        <w:rPr>
          <w:rFonts w:ascii="Verdana" w:hAnsi="Verdana"/>
          <w:sz w:val="20"/>
        </w:rPr>
        <w:t xml:space="preserve"> E</w:t>
      </w:r>
      <w:r w:rsidR="0064229E">
        <w:rPr>
          <w:rFonts w:ascii="Verdana" w:hAnsi="Verdana"/>
          <w:sz w:val="20"/>
        </w:rPr>
        <w:t>l</w:t>
      </w:r>
      <w:r w:rsidRPr="00883CFD">
        <w:rPr>
          <w:rFonts w:ascii="Verdana" w:hAnsi="Verdana"/>
          <w:sz w:val="20"/>
        </w:rPr>
        <w:t xml:space="preserve"> Aro y </w:t>
      </w:r>
      <w:r w:rsidR="00BA6DA0">
        <w:rPr>
          <w:rFonts w:ascii="Verdana" w:hAnsi="Verdana"/>
          <w:sz w:val="20"/>
        </w:rPr>
        <w:t>L</w:t>
      </w:r>
      <w:r w:rsidRPr="00883CFD">
        <w:rPr>
          <w:rFonts w:ascii="Verdana" w:hAnsi="Verdana"/>
          <w:sz w:val="20"/>
        </w:rPr>
        <w:t>a Granja</w:t>
      </w:r>
      <w:r w:rsidR="00E75AC6" w:rsidRPr="00883CFD">
        <w:rPr>
          <w:rFonts w:ascii="Verdana" w:hAnsi="Verdana"/>
          <w:sz w:val="20"/>
        </w:rPr>
        <w:t>, con presencia de altas autoridades</w:t>
      </w:r>
      <w:r w:rsidRPr="00883CFD">
        <w:rPr>
          <w:rFonts w:ascii="Verdana" w:hAnsi="Verdana"/>
          <w:sz w:val="20"/>
        </w:rPr>
        <w:t>, así como pedir una disculpa a los familiares de las víctimas</w:t>
      </w:r>
      <w:r>
        <w:rPr>
          <w:rStyle w:val="Refdenotaalpie"/>
          <w:rFonts w:ascii="Verdana" w:hAnsi="Verdana"/>
          <w:sz w:val="20"/>
        </w:rPr>
        <w:footnoteReference w:id="6"/>
      </w:r>
      <w:r w:rsidRPr="00883CFD">
        <w:rPr>
          <w:rFonts w:ascii="Verdana" w:hAnsi="Verdana"/>
          <w:sz w:val="20"/>
        </w:rPr>
        <w:t>.</w:t>
      </w:r>
      <w:r w:rsidR="00C75200">
        <w:rPr>
          <w:rFonts w:ascii="Verdana" w:hAnsi="Verdana"/>
          <w:sz w:val="20"/>
        </w:rPr>
        <w:t xml:space="preserve"> </w:t>
      </w:r>
      <w:r w:rsidR="00883CFD" w:rsidRPr="00C75200">
        <w:rPr>
          <w:rFonts w:ascii="Verdana" w:hAnsi="Verdana"/>
          <w:sz w:val="20"/>
        </w:rPr>
        <w:t xml:space="preserve">En </w:t>
      </w:r>
      <w:r w:rsidR="007F5A10" w:rsidRPr="00C75200">
        <w:rPr>
          <w:rFonts w:ascii="Verdana" w:hAnsi="Verdana"/>
          <w:sz w:val="20"/>
        </w:rPr>
        <w:t xml:space="preserve">la Resolución de mayo de 2013, la Corte declaró que esta medida estaba pendiente de cumplimiento. </w:t>
      </w:r>
      <w:r w:rsidR="00C75200">
        <w:rPr>
          <w:rFonts w:ascii="Verdana" w:hAnsi="Verdana"/>
          <w:sz w:val="20"/>
        </w:rPr>
        <w:t xml:space="preserve">Se </w:t>
      </w:r>
      <w:r w:rsidR="007F5A10" w:rsidRPr="00C75200">
        <w:rPr>
          <w:rFonts w:ascii="Verdana" w:hAnsi="Verdana"/>
          <w:sz w:val="20"/>
        </w:rPr>
        <w:t xml:space="preserve">tomó nota de la voluntad del Estado y de los representantes de avanzar en su ejecución, por lo cual </w:t>
      </w:r>
      <w:r w:rsidR="00C75200">
        <w:rPr>
          <w:rFonts w:ascii="Verdana" w:hAnsi="Verdana"/>
          <w:sz w:val="20"/>
        </w:rPr>
        <w:t xml:space="preserve">este Tribunal </w:t>
      </w:r>
      <w:r w:rsidR="007F5A10" w:rsidRPr="00C75200">
        <w:rPr>
          <w:rFonts w:ascii="Verdana" w:hAnsi="Verdana"/>
          <w:sz w:val="20"/>
        </w:rPr>
        <w:t>les instó a que llegaran a un acuerdo para darle efectivo cumplimiento y quedó a la espera de información al respecto</w:t>
      </w:r>
      <w:r w:rsidR="007F5A10">
        <w:rPr>
          <w:rStyle w:val="Refdenotaalpie"/>
          <w:rFonts w:ascii="Verdana" w:hAnsi="Verdana"/>
          <w:sz w:val="20"/>
        </w:rPr>
        <w:footnoteReference w:id="7"/>
      </w:r>
      <w:r w:rsidR="007F5A10" w:rsidRPr="00C75200">
        <w:rPr>
          <w:rFonts w:ascii="Verdana" w:hAnsi="Verdana"/>
          <w:sz w:val="20"/>
        </w:rPr>
        <w:t xml:space="preserve">. </w:t>
      </w:r>
    </w:p>
    <w:p w14:paraId="06FF2B33" w14:textId="77777777" w:rsidR="00C75200" w:rsidRPr="002A0B40" w:rsidRDefault="00C75200" w:rsidP="00456EB2">
      <w:pPr>
        <w:jc w:val="both"/>
        <w:rPr>
          <w:rFonts w:ascii="Verdana" w:hAnsi="Verdana"/>
          <w:sz w:val="20"/>
        </w:rPr>
      </w:pPr>
    </w:p>
    <w:p w14:paraId="1D80D071" w14:textId="7BC6F3AF" w:rsidR="00564941" w:rsidRPr="00C75200" w:rsidRDefault="00564941" w:rsidP="00456EB2">
      <w:pPr>
        <w:pStyle w:val="TDC1"/>
      </w:pPr>
      <w:r w:rsidRPr="00C75200">
        <w:t xml:space="preserve"> Consideraciones de la Corte</w:t>
      </w:r>
    </w:p>
    <w:p w14:paraId="2CC81A5A" w14:textId="2C8E0C14" w:rsidR="007F5A10" w:rsidRDefault="002E6DEA" w:rsidP="00C75200">
      <w:pPr>
        <w:pStyle w:val="Prrafodelista"/>
        <w:numPr>
          <w:ilvl w:val="0"/>
          <w:numId w:val="4"/>
        </w:numPr>
        <w:spacing w:before="120" w:after="120"/>
        <w:ind w:left="11" w:hanging="11"/>
        <w:jc w:val="both"/>
        <w:rPr>
          <w:rFonts w:ascii="Verdana" w:hAnsi="Verdana"/>
          <w:bCs/>
          <w:sz w:val="20"/>
          <w:szCs w:val="16"/>
          <w:lang w:val="es-CR"/>
        </w:rPr>
      </w:pPr>
      <w:r>
        <w:rPr>
          <w:rFonts w:ascii="Verdana" w:hAnsi="Verdana"/>
          <w:bCs/>
          <w:sz w:val="20"/>
          <w:szCs w:val="16"/>
          <w:lang w:val="es-CR"/>
        </w:rPr>
        <w:t>Para</w:t>
      </w:r>
      <w:r w:rsidR="003866AC">
        <w:rPr>
          <w:rFonts w:ascii="Verdana" w:hAnsi="Verdana"/>
          <w:bCs/>
          <w:sz w:val="20"/>
          <w:szCs w:val="16"/>
          <w:lang w:val="es-CR"/>
        </w:rPr>
        <w:t xml:space="preserve"> valorar el </w:t>
      </w:r>
      <w:r>
        <w:rPr>
          <w:rFonts w:ascii="Verdana" w:hAnsi="Verdana"/>
          <w:bCs/>
          <w:sz w:val="20"/>
          <w:szCs w:val="16"/>
          <w:lang w:val="es-CR"/>
        </w:rPr>
        <w:t xml:space="preserve">grado de </w:t>
      </w:r>
      <w:r w:rsidR="003866AC">
        <w:rPr>
          <w:rFonts w:ascii="Verdana" w:hAnsi="Verdana"/>
          <w:bCs/>
          <w:sz w:val="20"/>
          <w:szCs w:val="16"/>
          <w:lang w:val="es-CR"/>
        </w:rPr>
        <w:t>cumplimiento de esta reparación</w:t>
      </w:r>
      <w:r>
        <w:rPr>
          <w:rFonts w:ascii="Verdana" w:hAnsi="Verdana"/>
          <w:bCs/>
          <w:sz w:val="20"/>
          <w:szCs w:val="16"/>
          <w:lang w:val="es-CR"/>
        </w:rPr>
        <w:t>, la Corte</w:t>
      </w:r>
      <w:r w:rsidR="003866AC">
        <w:rPr>
          <w:rFonts w:ascii="Verdana" w:hAnsi="Verdana"/>
          <w:bCs/>
          <w:sz w:val="20"/>
          <w:szCs w:val="16"/>
          <w:lang w:val="es-CR"/>
        </w:rPr>
        <w:t xml:space="preserve"> toma en cuenta que, e</w:t>
      </w:r>
      <w:r w:rsidR="007F5A10">
        <w:rPr>
          <w:rFonts w:ascii="Verdana" w:hAnsi="Verdana"/>
          <w:bCs/>
          <w:sz w:val="20"/>
          <w:szCs w:val="16"/>
          <w:lang w:val="es-CR"/>
        </w:rPr>
        <w:t>n</w:t>
      </w:r>
      <w:r>
        <w:rPr>
          <w:rFonts w:ascii="Verdana" w:hAnsi="Verdana"/>
          <w:bCs/>
          <w:sz w:val="20"/>
          <w:szCs w:val="16"/>
          <w:lang w:val="es-CR"/>
        </w:rPr>
        <w:t xml:space="preserve"> su informe de</w:t>
      </w:r>
      <w:r w:rsidR="007F5A10">
        <w:rPr>
          <w:rFonts w:ascii="Verdana" w:hAnsi="Verdana"/>
          <w:bCs/>
          <w:sz w:val="20"/>
          <w:szCs w:val="16"/>
          <w:lang w:val="es-CR"/>
        </w:rPr>
        <w:t xml:space="preserve"> diciembre de 2022</w:t>
      </w:r>
      <w:r w:rsidR="003866AC">
        <w:rPr>
          <w:rFonts w:ascii="Verdana" w:hAnsi="Verdana"/>
          <w:bCs/>
          <w:sz w:val="20"/>
          <w:szCs w:val="16"/>
          <w:lang w:val="es-CR"/>
        </w:rPr>
        <w:t>,</w:t>
      </w:r>
      <w:r w:rsidR="007F5A10">
        <w:rPr>
          <w:rFonts w:ascii="Verdana" w:hAnsi="Verdana"/>
          <w:bCs/>
          <w:sz w:val="20"/>
          <w:szCs w:val="16"/>
          <w:lang w:val="es-CR"/>
        </w:rPr>
        <w:t xml:space="preserve"> el </w:t>
      </w:r>
      <w:r w:rsidR="007F5A10" w:rsidRPr="00C75200">
        <w:rPr>
          <w:rFonts w:ascii="Verdana" w:hAnsi="Verdana"/>
          <w:bCs/>
          <w:i/>
          <w:iCs/>
          <w:sz w:val="20"/>
          <w:szCs w:val="16"/>
          <w:lang w:val="es-CR"/>
        </w:rPr>
        <w:t>Estado</w:t>
      </w:r>
      <w:r w:rsidR="007F5A10">
        <w:rPr>
          <w:rFonts w:ascii="Verdana" w:hAnsi="Verdana"/>
          <w:bCs/>
          <w:sz w:val="20"/>
          <w:szCs w:val="16"/>
          <w:lang w:val="es-CR"/>
        </w:rPr>
        <w:t xml:space="preserve"> </w:t>
      </w:r>
      <w:r>
        <w:rPr>
          <w:rFonts w:ascii="Verdana" w:hAnsi="Verdana"/>
          <w:bCs/>
          <w:sz w:val="20"/>
          <w:szCs w:val="16"/>
          <w:lang w:val="es-CR"/>
        </w:rPr>
        <w:t>aportó prueba sobre la ejecución de la medida y</w:t>
      </w:r>
      <w:r w:rsidR="007F5A10">
        <w:rPr>
          <w:rFonts w:ascii="Verdana" w:hAnsi="Verdana"/>
          <w:bCs/>
          <w:sz w:val="20"/>
          <w:szCs w:val="16"/>
          <w:lang w:val="es-CR"/>
        </w:rPr>
        <w:t xml:space="preserve"> </w:t>
      </w:r>
      <w:r w:rsidR="003866AC">
        <w:rPr>
          <w:rFonts w:ascii="Verdana" w:hAnsi="Verdana"/>
          <w:bCs/>
          <w:sz w:val="20"/>
          <w:szCs w:val="16"/>
          <w:lang w:val="es-CR"/>
        </w:rPr>
        <w:t>“</w:t>
      </w:r>
      <w:proofErr w:type="spellStart"/>
      <w:r w:rsidR="003866AC">
        <w:rPr>
          <w:rFonts w:ascii="Verdana" w:hAnsi="Verdana"/>
          <w:bCs/>
          <w:sz w:val="20"/>
          <w:szCs w:val="16"/>
          <w:lang w:val="es-CR"/>
        </w:rPr>
        <w:t>solicit</w:t>
      </w:r>
      <w:proofErr w:type="spellEnd"/>
      <w:r w:rsidR="003866AC">
        <w:rPr>
          <w:rFonts w:ascii="Verdana" w:hAnsi="Verdana"/>
          <w:bCs/>
          <w:sz w:val="20"/>
          <w:szCs w:val="16"/>
          <w:lang w:val="es-CR"/>
        </w:rPr>
        <w:t>[</w:t>
      </w:r>
      <w:proofErr w:type="spellStart"/>
      <w:r w:rsidR="003866AC">
        <w:rPr>
          <w:rFonts w:ascii="Verdana" w:hAnsi="Verdana"/>
          <w:bCs/>
          <w:sz w:val="20"/>
          <w:szCs w:val="16"/>
          <w:lang w:val="es-CR"/>
        </w:rPr>
        <w:t>ó</w:t>
      </w:r>
      <w:proofErr w:type="spellEnd"/>
      <w:r w:rsidR="003866AC">
        <w:rPr>
          <w:rFonts w:ascii="Verdana" w:hAnsi="Verdana"/>
          <w:bCs/>
          <w:sz w:val="20"/>
          <w:szCs w:val="16"/>
          <w:lang w:val="es-CR"/>
        </w:rPr>
        <w:t>] la declaratoria del cumplimiento total”</w:t>
      </w:r>
      <w:r w:rsidR="00F31B91">
        <w:rPr>
          <w:rFonts w:ascii="Verdana" w:hAnsi="Verdana"/>
          <w:bCs/>
          <w:sz w:val="20"/>
          <w:szCs w:val="16"/>
          <w:lang w:val="es-CR"/>
        </w:rPr>
        <w:t>,</w:t>
      </w:r>
      <w:r w:rsidR="003866AC">
        <w:rPr>
          <w:rFonts w:ascii="Verdana" w:hAnsi="Verdana"/>
          <w:bCs/>
          <w:sz w:val="20"/>
          <w:szCs w:val="16"/>
          <w:lang w:val="es-CR"/>
        </w:rPr>
        <w:t xml:space="preserve"> y que los </w:t>
      </w:r>
      <w:r w:rsidR="003866AC" w:rsidRPr="00456EB2">
        <w:rPr>
          <w:rFonts w:ascii="Verdana" w:hAnsi="Verdana"/>
          <w:bCs/>
          <w:i/>
          <w:iCs/>
          <w:sz w:val="20"/>
          <w:szCs w:val="16"/>
          <w:lang w:val="es-CR"/>
        </w:rPr>
        <w:t xml:space="preserve">representantes </w:t>
      </w:r>
      <w:r w:rsidR="00C75200" w:rsidRPr="00456EB2">
        <w:rPr>
          <w:rFonts w:ascii="Verdana" w:hAnsi="Verdana"/>
          <w:bCs/>
          <w:i/>
          <w:iCs/>
          <w:sz w:val="20"/>
          <w:szCs w:val="16"/>
          <w:lang w:val="es-CR"/>
        </w:rPr>
        <w:t>de las víctimas</w:t>
      </w:r>
      <w:r w:rsidR="00C75200">
        <w:rPr>
          <w:rFonts w:ascii="Verdana" w:hAnsi="Verdana"/>
          <w:bCs/>
          <w:sz w:val="20"/>
          <w:szCs w:val="16"/>
          <w:lang w:val="es-CR"/>
        </w:rPr>
        <w:t xml:space="preserve"> </w:t>
      </w:r>
      <w:r w:rsidR="00AA692B" w:rsidRPr="004C65B7">
        <w:rPr>
          <w:rFonts w:ascii="Verdana" w:hAnsi="Verdana"/>
          <w:bCs/>
          <w:sz w:val="20"/>
          <w:szCs w:val="16"/>
          <w:lang w:val="es-CR"/>
        </w:rPr>
        <w:t>confirmaron lo informado por Colombia y “</w:t>
      </w:r>
      <w:proofErr w:type="spellStart"/>
      <w:r w:rsidR="00AA692B" w:rsidRPr="004C65B7">
        <w:rPr>
          <w:rFonts w:ascii="Verdana" w:hAnsi="Verdana"/>
          <w:bCs/>
          <w:sz w:val="20"/>
          <w:szCs w:val="16"/>
          <w:lang w:val="es-CR"/>
        </w:rPr>
        <w:t>conc</w:t>
      </w:r>
      <w:proofErr w:type="spellEnd"/>
      <w:r w:rsidR="00AA692B" w:rsidRPr="004C65B7">
        <w:rPr>
          <w:rFonts w:ascii="Verdana" w:hAnsi="Verdana"/>
          <w:bCs/>
          <w:sz w:val="20"/>
          <w:szCs w:val="16"/>
          <w:lang w:val="es-CR"/>
        </w:rPr>
        <w:t>[</w:t>
      </w:r>
      <w:proofErr w:type="spellStart"/>
      <w:r w:rsidR="00AA692B" w:rsidRPr="004C65B7">
        <w:rPr>
          <w:rFonts w:ascii="Verdana" w:hAnsi="Verdana"/>
          <w:bCs/>
          <w:sz w:val="20"/>
          <w:szCs w:val="16"/>
          <w:lang w:val="es-CR"/>
        </w:rPr>
        <w:t>uerdan</w:t>
      </w:r>
      <w:proofErr w:type="spellEnd"/>
      <w:r w:rsidR="00AA692B" w:rsidRPr="004C65B7">
        <w:rPr>
          <w:rFonts w:ascii="Verdana" w:hAnsi="Verdana"/>
          <w:bCs/>
          <w:sz w:val="20"/>
          <w:szCs w:val="16"/>
          <w:lang w:val="es-CR"/>
        </w:rPr>
        <w:t>] [en que] puede declararse cumplido” este punto de la Sentencia</w:t>
      </w:r>
      <w:r w:rsidR="003866AC">
        <w:rPr>
          <w:rFonts w:ascii="Verdana" w:hAnsi="Verdana"/>
          <w:bCs/>
          <w:sz w:val="20"/>
          <w:szCs w:val="16"/>
          <w:lang w:val="es-CR"/>
        </w:rPr>
        <w:t xml:space="preserve">. La Comisión Interamericana </w:t>
      </w:r>
      <w:r w:rsidR="005D6106" w:rsidRPr="004C65B7">
        <w:rPr>
          <w:rFonts w:ascii="Verdana" w:hAnsi="Verdana"/>
          <w:bCs/>
          <w:sz w:val="20"/>
          <w:szCs w:val="16"/>
          <w:lang w:val="es-CR"/>
        </w:rPr>
        <w:t>no</w:t>
      </w:r>
      <w:r w:rsidR="003866AC" w:rsidRPr="004C65B7">
        <w:rPr>
          <w:rFonts w:ascii="Verdana" w:hAnsi="Verdana"/>
          <w:bCs/>
          <w:sz w:val="20"/>
          <w:szCs w:val="16"/>
          <w:lang w:val="es-CR"/>
        </w:rPr>
        <w:t xml:space="preserve"> </w:t>
      </w:r>
      <w:r w:rsidR="003866AC">
        <w:rPr>
          <w:rFonts w:ascii="Verdana" w:hAnsi="Verdana"/>
          <w:bCs/>
          <w:sz w:val="20"/>
          <w:szCs w:val="16"/>
          <w:lang w:val="es-CR"/>
        </w:rPr>
        <w:t>presentó observaciones.</w:t>
      </w:r>
    </w:p>
    <w:p w14:paraId="33F48D93" w14:textId="0639B7E6" w:rsidR="007419F0" w:rsidRDefault="003866AC" w:rsidP="007419F0">
      <w:pPr>
        <w:pStyle w:val="Prrafodelista"/>
        <w:numPr>
          <w:ilvl w:val="0"/>
          <w:numId w:val="4"/>
        </w:numPr>
        <w:spacing w:before="120" w:after="120"/>
        <w:ind w:left="11" w:hanging="11"/>
        <w:jc w:val="both"/>
        <w:rPr>
          <w:rFonts w:ascii="Verdana" w:hAnsi="Verdana"/>
          <w:sz w:val="20"/>
        </w:rPr>
      </w:pPr>
      <w:r>
        <w:rPr>
          <w:rFonts w:ascii="Verdana" w:hAnsi="Verdana"/>
          <w:bCs/>
          <w:sz w:val="20"/>
          <w:szCs w:val="16"/>
          <w:lang w:val="es-CR"/>
        </w:rPr>
        <w:t>Entonces</w:t>
      </w:r>
      <w:r w:rsidR="00C75200">
        <w:rPr>
          <w:rFonts w:ascii="Verdana" w:hAnsi="Verdana"/>
          <w:bCs/>
          <w:sz w:val="20"/>
          <w:szCs w:val="16"/>
          <w:lang w:val="es-CR"/>
        </w:rPr>
        <w:t>,</w:t>
      </w:r>
      <w:r>
        <w:rPr>
          <w:rFonts w:ascii="Verdana" w:hAnsi="Verdana"/>
          <w:bCs/>
          <w:sz w:val="20"/>
          <w:szCs w:val="16"/>
          <w:lang w:val="es-CR"/>
        </w:rPr>
        <w:t xml:space="preserve"> c</w:t>
      </w:r>
      <w:proofErr w:type="spellStart"/>
      <w:r w:rsidR="00B5592A" w:rsidRPr="00C6100D">
        <w:rPr>
          <w:rFonts w:ascii="Verdana" w:hAnsi="Verdana"/>
          <w:sz w:val="20"/>
        </w:rPr>
        <w:t>on</w:t>
      </w:r>
      <w:proofErr w:type="spellEnd"/>
      <w:r w:rsidR="00B5592A" w:rsidRPr="00C6100D">
        <w:rPr>
          <w:rFonts w:ascii="Verdana" w:hAnsi="Verdana"/>
          <w:sz w:val="20"/>
        </w:rPr>
        <w:t xml:space="preserve"> base </w:t>
      </w:r>
      <w:r w:rsidR="00CD2261">
        <w:rPr>
          <w:rFonts w:ascii="Verdana" w:hAnsi="Verdana"/>
          <w:sz w:val="20"/>
        </w:rPr>
        <w:t>en</w:t>
      </w:r>
      <w:r w:rsidR="00B5592A" w:rsidRPr="00C6100D">
        <w:rPr>
          <w:rFonts w:ascii="Verdana" w:hAnsi="Verdana"/>
          <w:sz w:val="20"/>
        </w:rPr>
        <w:t xml:space="preserve"> la información</w:t>
      </w:r>
      <w:r>
        <w:rPr>
          <w:rFonts w:ascii="Verdana" w:hAnsi="Verdana"/>
          <w:sz w:val="20"/>
        </w:rPr>
        <w:t xml:space="preserve"> y prueba</w:t>
      </w:r>
      <w:r w:rsidR="00B5592A" w:rsidRPr="00C6100D">
        <w:rPr>
          <w:rFonts w:ascii="Verdana" w:hAnsi="Verdana"/>
          <w:sz w:val="20"/>
        </w:rPr>
        <w:t xml:space="preserve"> aportada</w:t>
      </w:r>
      <w:r w:rsidR="0064229E">
        <w:rPr>
          <w:rStyle w:val="Refdenotaalpie"/>
          <w:rFonts w:ascii="Verdana" w:hAnsi="Verdana"/>
          <w:sz w:val="20"/>
        </w:rPr>
        <w:footnoteReference w:id="8"/>
      </w:r>
      <w:r w:rsidR="00B5592A" w:rsidRPr="00C6100D">
        <w:rPr>
          <w:rFonts w:ascii="Verdana" w:hAnsi="Verdana"/>
          <w:sz w:val="20"/>
        </w:rPr>
        <w:t>, la Corte</w:t>
      </w:r>
      <w:r>
        <w:rPr>
          <w:rFonts w:ascii="Verdana" w:hAnsi="Verdana"/>
          <w:sz w:val="20"/>
        </w:rPr>
        <w:t xml:space="preserve"> </w:t>
      </w:r>
      <w:r w:rsidR="008A1BA4">
        <w:rPr>
          <w:rFonts w:ascii="Verdana" w:hAnsi="Verdana"/>
          <w:sz w:val="20"/>
        </w:rPr>
        <w:t xml:space="preserve">constata que </w:t>
      </w:r>
      <w:r w:rsidR="00B5592A" w:rsidRPr="00C6100D">
        <w:rPr>
          <w:rFonts w:ascii="Verdana" w:hAnsi="Verdana"/>
          <w:sz w:val="20"/>
        </w:rPr>
        <w:t>el 30 de noviembre de 2022</w:t>
      </w:r>
      <w:r w:rsidR="008A1BA4">
        <w:rPr>
          <w:rFonts w:ascii="Verdana" w:hAnsi="Verdana"/>
          <w:sz w:val="20"/>
        </w:rPr>
        <w:t xml:space="preserve"> se </w:t>
      </w:r>
      <w:r w:rsidR="00CD2261">
        <w:rPr>
          <w:rFonts w:ascii="Verdana" w:hAnsi="Verdana"/>
          <w:sz w:val="20"/>
        </w:rPr>
        <w:t>realizó</w:t>
      </w:r>
      <w:r w:rsidR="00B5592A" w:rsidRPr="00C6100D">
        <w:rPr>
          <w:rFonts w:ascii="Verdana" w:hAnsi="Verdana"/>
          <w:sz w:val="20"/>
        </w:rPr>
        <w:t xml:space="preserve"> en</w:t>
      </w:r>
      <w:r w:rsidR="00C75200">
        <w:rPr>
          <w:rFonts w:ascii="Verdana" w:hAnsi="Verdana"/>
          <w:sz w:val="20"/>
        </w:rPr>
        <w:t xml:space="preserve"> las</w:t>
      </w:r>
      <w:r w:rsidR="00B5592A" w:rsidRPr="00C6100D">
        <w:rPr>
          <w:rFonts w:ascii="Verdana" w:hAnsi="Verdana"/>
          <w:sz w:val="20"/>
        </w:rPr>
        <w:t xml:space="preserve"> instalaciones del Museo</w:t>
      </w:r>
      <w:r w:rsidR="00F31B91">
        <w:rPr>
          <w:rFonts w:ascii="Verdana" w:hAnsi="Verdana"/>
          <w:sz w:val="20"/>
        </w:rPr>
        <w:t xml:space="preserve"> Casa</w:t>
      </w:r>
      <w:r w:rsidR="00B5592A" w:rsidRPr="00C6100D">
        <w:rPr>
          <w:rFonts w:ascii="Verdana" w:hAnsi="Verdana"/>
          <w:sz w:val="20"/>
        </w:rPr>
        <w:t xml:space="preserve"> de la Memoria de Medellín</w:t>
      </w:r>
      <w:r w:rsidR="00C75200">
        <w:rPr>
          <w:rFonts w:ascii="Verdana" w:hAnsi="Verdana"/>
          <w:sz w:val="20"/>
        </w:rPr>
        <w:t>,</w:t>
      </w:r>
      <w:r w:rsidR="00B5592A" w:rsidRPr="00C6100D">
        <w:rPr>
          <w:rFonts w:ascii="Verdana" w:hAnsi="Verdana"/>
          <w:sz w:val="20"/>
        </w:rPr>
        <w:t xml:space="preserve"> Antioquia</w:t>
      </w:r>
      <w:r w:rsidR="00C75200">
        <w:rPr>
          <w:rFonts w:ascii="Verdana" w:hAnsi="Verdana"/>
          <w:sz w:val="20"/>
        </w:rPr>
        <w:t>,</w:t>
      </w:r>
      <w:r w:rsidR="008A1BA4">
        <w:rPr>
          <w:rFonts w:ascii="Verdana" w:hAnsi="Verdana"/>
          <w:sz w:val="20"/>
        </w:rPr>
        <w:t xml:space="preserve"> el acto público de reconocimiento de responsabilidad internacional por los hechos y violaciones de este caso. De acuerdo con lo afirmado por </w:t>
      </w:r>
      <w:r w:rsidR="00357E1F" w:rsidRPr="004C65B7">
        <w:rPr>
          <w:rFonts w:ascii="Verdana" w:hAnsi="Verdana"/>
          <w:sz w:val="20"/>
        </w:rPr>
        <w:t>las partes</w:t>
      </w:r>
      <w:r w:rsidR="008A1BA4" w:rsidRPr="004C65B7">
        <w:rPr>
          <w:rFonts w:ascii="Verdana" w:hAnsi="Verdana"/>
          <w:sz w:val="20"/>
        </w:rPr>
        <w:t>, su realización fue posible luego del “debido proceso de concertación con los representantes de las víctimas”,</w:t>
      </w:r>
      <w:r w:rsidR="008A1BA4">
        <w:rPr>
          <w:rFonts w:ascii="Verdana" w:hAnsi="Verdana"/>
          <w:sz w:val="20"/>
        </w:rPr>
        <w:t xml:space="preserve"> quienes</w:t>
      </w:r>
      <w:r w:rsidR="00376D14">
        <w:rPr>
          <w:rFonts w:ascii="Verdana" w:hAnsi="Verdana"/>
          <w:sz w:val="20"/>
        </w:rPr>
        <w:t>, junto a familiares de las víctimas, estuvieron presentes</w:t>
      </w:r>
      <w:r w:rsidR="00C75200">
        <w:rPr>
          <w:rFonts w:ascii="Verdana" w:hAnsi="Verdana"/>
          <w:sz w:val="20"/>
        </w:rPr>
        <w:t xml:space="preserve"> y participaron</w:t>
      </w:r>
      <w:r w:rsidR="00376D14">
        <w:rPr>
          <w:rFonts w:ascii="Verdana" w:hAnsi="Verdana"/>
          <w:sz w:val="20"/>
        </w:rPr>
        <w:t xml:space="preserve"> en el acto</w:t>
      </w:r>
      <w:r w:rsidR="00376D14">
        <w:rPr>
          <w:rStyle w:val="Refdenotaalpie"/>
          <w:rFonts w:ascii="Verdana" w:hAnsi="Verdana"/>
          <w:sz w:val="20"/>
        </w:rPr>
        <w:footnoteReference w:id="9"/>
      </w:r>
      <w:r w:rsidR="00376D14">
        <w:rPr>
          <w:rFonts w:ascii="Verdana" w:hAnsi="Verdana"/>
          <w:sz w:val="20"/>
        </w:rPr>
        <w:t xml:space="preserve">. </w:t>
      </w:r>
    </w:p>
    <w:p w14:paraId="71C9536B" w14:textId="71055D47" w:rsidR="00B5592A" w:rsidRPr="007419F0" w:rsidRDefault="007419F0" w:rsidP="007419F0">
      <w:pPr>
        <w:pStyle w:val="Prrafodelista"/>
        <w:numPr>
          <w:ilvl w:val="0"/>
          <w:numId w:val="4"/>
        </w:numPr>
        <w:spacing w:before="120" w:after="120"/>
        <w:ind w:left="11" w:hanging="11"/>
        <w:jc w:val="both"/>
        <w:rPr>
          <w:rFonts w:ascii="Verdana" w:hAnsi="Verdana"/>
          <w:sz w:val="20"/>
        </w:rPr>
      </w:pPr>
      <w:r w:rsidRPr="007419F0">
        <w:rPr>
          <w:rFonts w:ascii="Verdana" w:hAnsi="Verdana"/>
          <w:sz w:val="20"/>
          <w:lang w:val="es-MX"/>
        </w:rPr>
        <w:lastRenderedPageBreak/>
        <w:t xml:space="preserve">La Corte lamenta que transcurrieron más de 17 años desde la emisión de la </w:t>
      </w:r>
      <w:r w:rsidRPr="00536A78">
        <w:rPr>
          <w:rFonts w:ascii="Verdana" w:hAnsi="Verdana"/>
          <w:sz w:val="20"/>
          <w:lang w:val="es-MX"/>
        </w:rPr>
        <w:t>Sentencia para que se alcanzara la ejecución de esta medida, que tiene una gran importancia para la dignificación de las víctimas</w:t>
      </w:r>
      <w:r w:rsidR="00CD2261" w:rsidRPr="00536A78">
        <w:rPr>
          <w:rFonts w:ascii="Verdana" w:hAnsi="Verdana"/>
          <w:sz w:val="20"/>
          <w:lang w:val="es-MX"/>
        </w:rPr>
        <w:t xml:space="preserve"> y evitar que este tipo de violaciones se repitan</w:t>
      </w:r>
      <w:r w:rsidRPr="00536A78">
        <w:rPr>
          <w:rFonts w:ascii="Verdana" w:hAnsi="Verdana"/>
          <w:sz w:val="20"/>
          <w:lang w:val="es-MX"/>
        </w:rPr>
        <w:t xml:space="preserve">. Por ello, valora positivamente todos los esfuerzos realizados por el Estado de forma reciente para la concertación </w:t>
      </w:r>
      <w:r w:rsidR="00104ECC">
        <w:rPr>
          <w:rFonts w:ascii="Verdana" w:hAnsi="Verdana"/>
          <w:sz w:val="20"/>
          <w:lang w:val="es-MX"/>
        </w:rPr>
        <w:t xml:space="preserve">del acto </w:t>
      </w:r>
      <w:r w:rsidRPr="00536A78">
        <w:rPr>
          <w:rFonts w:ascii="Verdana" w:hAnsi="Verdana"/>
          <w:sz w:val="20"/>
          <w:lang w:val="es-MX"/>
        </w:rPr>
        <w:t xml:space="preserve">con las víctimas y realización </w:t>
      </w:r>
      <w:proofErr w:type="gramStart"/>
      <w:r w:rsidRPr="00536A78">
        <w:rPr>
          <w:rFonts w:ascii="Verdana" w:hAnsi="Verdana"/>
          <w:sz w:val="20"/>
          <w:lang w:val="es-MX"/>
        </w:rPr>
        <w:t>del mismo</w:t>
      </w:r>
      <w:proofErr w:type="gramEnd"/>
      <w:r w:rsidRPr="00536A78">
        <w:rPr>
          <w:rFonts w:ascii="Verdana" w:hAnsi="Verdana"/>
          <w:sz w:val="20"/>
          <w:lang w:val="es-MX"/>
        </w:rPr>
        <w:t xml:space="preserve"> con la participación de las más altas autoridades </w:t>
      </w:r>
      <w:r w:rsidR="00CD2261" w:rsidRPr="00536A78">
        <w:rPr>
          <w:rFonts w:ascii="Verdana" w:hAnsi="Verdana"/>
          <w:sz w:val="20"/>
          <w:lang w:val="es-MX"/>
        </w:rPr>
        <w:t>públicas</w:t>
      </w:r>
      <w:r w:rsidRPr="00536A78">
        <w:rPr>
          <w:rStyle w:val="Refdenotaalpie"/>
          <w:rFonts w:ascii="Verdana" w:hAnsi="Verdana"/>
          <w:sz w:val="20"/>
        </w:rPr>
        <w:footnoteReference w:id="10"/>
      </w:r>
      <w:r w:rsidRPr="00536A78">
        <w:rPr>
          <w:rFonts w:ascii="Verdana" w:hAnsi="Verdana"/>
          <w:sz w:val="20"/>
          <w:lang w:val="es-MX"/>
        </w:rPr>
        <w:t>.</w:t>
      </w:r>
      <w:r w:rsidRPr="007419F0">
        <w:rPr>
          <w:rFonts w:ascii="Verdana" w:hAnsi="Verdana"/>
          <w:sz w:val="20"/>
          <w:lang w:val="es-MX"/>
        </w:rPr>
        <w:t xml:space="preserve"> </w:t>
      </w:r>
      <w:r w:rsidR="00C75200" w:rsidRPr="007419F0">
        <w:rPr>
          <w:rFonts w:ascii="Verdana" w:hAnsi="Verdana"/>
          <w:sz w:val="20"/>
        </w:rPr>
        <w:t>Al respecto, se destaca que e</w:t>
      </w:r>
      <w:r w:rsidR="002F2B38" w:rsidRPr="007419F0">
        <w:rPr>
          <w:rFonts w:ascii="Verdana" w:hAnsi="Verdana"/>
          <w:sz w:val="20"/>
        </w:rPr>
        <w:t xml:space="preserve">l acto fue presidido por el </w:t>
      </w:r>
      <w:proofErr w:type="gramStart"/>
      <w:r w:rsidR="002F2B38" w:rsidRPr="007419F0">
        <w:rPr>
          <w:rFonts w:ascii="Verdana" w:hAnsi="Verdana"/>
          <w:sz w:val="20"/>
        </w:rPr>
        <w:t>Presidente</w:t>
      </w:r>
      <w:proofErr w:type="gramEnd"/>
      <w:r w:rsidR="002F2B38" w:rsidRPr="007419F0">
        <w:rPr>
          <w:rFonts w:ascii="Verdana" w:hAnsi="Verdana"/>
          <w:sz w:val="20"/>
        </w:rPr>
        <w:t xml:space="preserve"> de la República de Colombia</w:t>
      </w:r>
      <w:r w:rsidR="002F2B38" w:rsidRPr="007419F0">
        <w:rPr>
          <w:rStyle w:val="Refdenotaalpie"/>
          <w:rFonts w:ascii="Verdana" w:hAnsi="Verdana"/>
          <w:sz w:val="20"/>
        </w:rPr>
        <w:footnoteReference w:id="11"/>
      </w:r>
      <w:r w:rsidR="001F4614" w:rsidRPr="007419F0">
        <w:rPr>
          <w:rFonts w:ascii="Verdana" w:hAnsi="Verdana"/>
          <w:sz w:val="20"/>
        </w:rPr>
        <w:t xml:space="preserve">, quien además de realizar dicho reconocimiento, indicó que “le </w:t>
      </w:r>
      <w:proofErr w:type="spellStart"/>
      <w:r w:rsidR="001F4614" w:rsidRPr="007419F0">
        <w:rPr>
          <w:rFonts w:ascii="Verdana" w:hAnsi="Verdana"/>
          <w:sz w:val="20"/>
        </w:rPr>
        <w:t>ped</w:t>
      </w:r>
      <w:proofErr w:type="spellEnd"/>
      <w:r w:rsidR="001F4614" w:rsidRPr="007419F0">
        <w:rPr>
          <w:rFonts w:ascii="Verdana" w:hAnsi="Verdana"/>
          <w:sz w:val="20"/>
        </w:rPr>
        <w:t>[</w:t>
      </w:r>
      <w:proofErr w:type="spellStart"/>
      <w:r w:rsidR="001F4614" w:rsidRPr="007419F0">
        <w:rPr>
          <w:rFonts w:ascii="Verdana" w:hAnsi="Verdana"/>
          <w:sz w:val="20"/>
        </w:rPr>
        <w:t>ía</w:t>
      </w:r>
      <w:proofErr w:type="spellEnd"/>
      <w:r w:rsidR="001F4614" w:rsidRPr="007419F0">
        <w:rPr>
          <w:rFonts w:ascii="Verdana" w:hAnsi="Verdana"/>
          <w:sz w:val="20"/>
        </w:rPr>
        <w:t xml:space="preserve">] a las víctimas </w:t>
      </w:r>
      <w:r w:rsidR="001F4614" w:rsidRPr="004C65B7">
        <w:rPr>
          <w:rFonts w:ascii="Verdana" w:hAnsi="Verdana"/>
          <w:sz w:val="20"/>
        </w:rPr>
        <w:t>perdón”</w:t>
      </w:r>
      <w:r w:rsidR="00357E1F" w:rsidRPr="004C65B7">
        <w:rPr>
          <w:rStyle w:val="Refdenotaalpie"/>
          <w:rFonts w:ascii="Verdana" w:hAnsi="Verdana"/>
          <w:sz w:val="20"/>
        </w:rPr>
        <w:footnoteReference w:id="12"/>
      </w:r>
      <w:r w:rsidR="001F4614" w:rsidRPr="004C65B7">
        <w:rPr>
          <w:rFonts w:ascii="Verdana" w:hAnsi="Verdana"/>
          <w:sz w:val="20"/>
        </w:rPr>
        <w:t xml:space="preserve">. </w:t>
      </w:r>
      <w:r w:rsidRPr="004C65B7">
        <w:rPr>
          <w:rFonts w:ascii="Verdana" w:hAnsi="Verdana"/>
          <w:sz w:val="20"/>
        </w:rPr>
        <w:t>Con esto, se constata que el acto cumplió con los requerimientos indicados en la Sentencia en cuanto a que fuera realizado con “presencia de altas autoridades” y que incluyera un pedido de disculpas a las víctimas (</w:t>
      </w:r>
      <w:r w:rsidRPr="004C65B7">
        <w:rPr>
          <w:rFonts w:ascii="Verdana" w:hAnsi="Verdana"/>
          <w:i/>
          <w:iCs/>
          <w:sz w:val="20"/>
        </w:rPr>
        <w:t xml:space="preserve">supra </w:t>
      </w:r>
      <w:r w:rsidRPr="004C65B7">
        <w:rPr>
          <w:rFonts w:ascii="Verdana" w:hAnsi="Verdana"/>
          <w:sz w:val="20"/>
        </w:rPr>
        <w:t>Considerando 2).</w:t>
      </w:r>
      <w:r w:rsidR="00456EB2">
        <w:rPr>
          <w:rFonts w:ascii="Verdana" w:hAnsi="Verdana"/>
          <w:sz w:val="20"/>
        </w:rPr>
        <w:t xml:space="preserve"> </w:t>
      </w:r>
      <w:r w:rsidR="001F4614" w:rsidRPr="004C65B7">
        <w:rPr>
          <w:rFonts w:ascii="Verdana" w:hAnsi="Verdana"/>
          <w:sz w:val="20"/>
        </w:rPr>
        <w:t>Asimismo, este Tribunal toma nota de lo informado por el Estado</w:t>
      </w:r>
      <w:r w:rsidR="00357E1F" w:rsidRPr="004C65B7">
        <w:rPr>
          <w:rFonts w:ascii="Verdana" w:hAnsi="Verdana"/>
          <w:sz w:val="20"/>
        </w:rPr>
        <w:t xml:space="preserve"> </w:t>
      </w:r>
      <w:r w:rsidR="001F4614" w:rsidRPr="004C65B7">
        <w:rPr>
          <w:rFonts w:ascii="Verdana" w:hAnsi="Verdana"/>
          <w:sz w:val="20"/>
        </w:rPr>
        <w:t xml:space="preserve">en cuanto a que </w:t>
      </w:r>
      <w:r w:rsidR="00C75200" w:rsidRPr="004C65B7">
        <w:rPr>
          <w:rFonts w:ascii="Verdana" w:hAnsi="Verdana"/>
          <w:sz w:val="20"/>
        </w:rPr>
        <w:t>este</w:t>
      </w:r>
      <w:r w:rsidR="001F4614" w:rsidRPr="004C65B7">
        <w:rPr>
          <w:rFonts w:ascii="Verdana" w:hAnsi="Verdana"/>
          <w:sz w:val="20"/>
        </w:rPr>
        <w:t xml:space="preserve"> acto “fue cubierto por </w:t>
      </w:r>
      <w:r w:rsidR="00B5592A" w:rsidRPr="004C65B7">
        <w:rPr>
          <w:rFonts w:ascii="Verdana" w:hAnsi="Verdana"/>
          <w:sz w:val="20"/>
        </w:rPr>
        <w:t>diversos medios de radio y televisión nacional y local</w:t>
      </w:r>
      <w:r w:rsidR="001F4614" w:rsidRPr="004C65B7">
        <w:rPr>
          <w:rFonts w:ascii="Verdana" w:hAnsi="Verdana"/>
          <w:sz w:val="20"/>
        </w:rPr>
        <w:t>”</w:t>
      </w:r>
      <w:r w:rsidR="00B5592A" w:rsidRPr="004C65B7">
        <w:rPr>
          <w:rStyle w:val="Refdenotaalpie"/>
          <w:rFonts w:ascii="Verdana" w:hAnsi="Verdana"/>
          <w:sz w:val="20"/>
        </w:rPr>
        <w:footnoteReference w:id="13"/>
      </w:r>
      <w:r w:rsidR="001F4614" w:rsidRPr="004C65B7">
        <w:rPr>
          <w:rFonts w:ascii="Verdana" w:hAnsi="Verdana"/>
          <w:sz w:val="20"/>
        </w:rPr>
        <w:t>, y</w:t>
      </w:r>
      <w:r w:rsidR="00C75200" w:rsidRPr="004C65B7">
        <w:rPr>
          <w:rFonts w:ascii="Verdana" w:hAnsi="Verdana"/>
          <w:sz w:val="20"/>
        </w:rPr>
        <w:t xml:space="preserve"> </w:t>
      </w:r>
      <w:r w:rsidR="00536A78">
        <w:rPr>
          <w:rFonts w:ascii="Verdana" w:hAnsi="Verdana"/>
          <w:sz w:val="20"/>
        </w:rPr>
        <w:t xml:space="preserve">a que </w:t>
      </w:r>
      <w:r w:rsidR="00C75200" w:rsidRPr="004C65B7">
        <w:rPr>
          <w:rFonts w:ascii="Verdana" w:hAnsi="Verdana"/>
          <w:sz w:val="20"/>
        </w:rPr>
        <w:t>se efectuó su</w:t>
      </w:r>
      <w:r w:rsidR="001F4614" w:rsidRPr="004C65B7">
        <w:rPr>
          <w:rFonts w:ascii="Verdana" w:hAnsi="Verdana"/>
          <w:sz w:val="16"/>
          <w:szCs w:val="16"/>
          <w:lang w:val="es-ES"/>
        </w:rPr>
        <w:t xml:space="preserve"> </w:t>
      </w:r>
      <w:r w:rsidR="001F4614" w:rsidRPr="004C65B7">
        <w:rPr>
          <w:rFonts w:ascii="Verdana" w:hAnsi="Verdana"/>
          <w:sz w:val="20"/>
          <w:lang w:val="es-ES"/>
        </w:rPr>
        <w:t xml:space="preserve">transmisión en </w:t>
      </w:r>
      <w:proofErr w:type="spellStart"/>
      <w:r w:rsidR="001F4614" w:rsidRPr="004C65B7">
        <w:rPr>
          <w:rFonts w:ascii="Verdana" w:hAnsi="Verdana"/>
          <w:sz w:val="20"/>
          <w:lang w:val="es-ES"/>
        </w:rPr>
        <w:t>vivo</w:t>
      </w:r>
      <w:r w:rsidR="00C75200" w:rsidRPr="004C65B7">
        <w:rPr>
          <w:rFonts w:ascii="Verdana" w:hAnsi="Verdana"/>
          <w:sz w:val="20"/>
          <w:lang w:val="es-ES"/>
        </w:rPr>
        <w:t>en</w:t>
      </w:r>
      <w:proofErr w:type="spellEnd"/>
      <w:r w:rsidR="00C75200" w:rsidRPr="004C65B7">
        <w:rPr>
          <w:rFonts w:ascii="Verdana" w:hAnsi="Verdana"/>
          <w:sz w:val="20"/>
          <w:lang w:val="es-ES"/>
        </w:rPr>
        <w:t xml:space="preserve"> </w:t>
      </w:r>
      <w:r w:rsidR="001F4614" w:rsidRPr="004C65B7">
        <w:rPr>
          <w:rFonts w:ascii="Verdana" w:hAnsi="Verdana"/>
          <w:sz w:val="20"/>
          <w:lang w:val="es-ES"/>
        </w:rPr>
        <w:t>las redes sociales de la Presidencia de la República y</w:t>
      </w:r>
      <w:r w:rsidR="001F4614" w:rsidRPr="007419F0">
        <w:rPr>
          <w:rFonts w:ascii="Verdana" w:hAnsi="Verdana"/>
          <w:sz w:val="20"/>
          <w:lang w:val="es-ES"/>
        </w:rPr>
        <w:t xml:space="preserve"> el Canal Institucional</w:t>
      </w:r>
      <w:r w:rsidR="00B5592A" w:rsidRPr="007419F0">
        <w:rPr>
          <w:rFonts w:ascii="Verdana" w:hAnsi="Verdana"/>
          <w:sz w:val="20"/>
        </w:rPr>
        <w:t xml:space="preserve">. </w:t>
      </w:r>
    </w:p>
    <w:p w14:paraId="5B9F2EA0" w14:textId="3AB3D3E2" w:rsidR="00F8655F" w:rsidRPr="007419F0" w:rsidRDefault="00F8655F" w:rsidP="001F4614">
      <w:pPr>
        <w:pStyle w:val="Prrafodelista"/>
        <w:numPr>
          <w:ilvl w:val="0"/>
          <w:numId w:val="4"/>
        </w:numPr>
        <w:spacing w:before="120" w:after="120"/>
        <w:ind w:left="11" w:hanging="11"/>
        <w:jc w:val="both"/>
        <w:rPr>
          <w:rFonts w:ascii="Verdana" w:hAnsi="Verdana"/>
          <w:bCs/>
          <w:sz w:val="20"/>
          <w:lang w:val="es-MX"/>
        </w:rPr>
      </w:pPr>
      <w:r w:rsidRPr="007419F0">
        <w:rPr>
          <w:rFonts w:ascii="Verdana" w:hAnsi="Verdana"/>
          <w:bCs/>
          <w:sz w:val="20"/>
          <w:lang w:val="es-MX"/>
        </w:rPr>
        <w:t xml:space="preserve">En virtud de lo anterior, este Tribunal </w:t>
      </w:r>
      <w:r w:rsidRPr="007419F0">
        <w:rPr>
          <w:rFonts w:ascii="Verdana" w:hAnsi="Verdana"/>
          <w:sz w:val="20"/>
        </w:rPr>
        <w:t xml:space="preserve">considera que Colombia ha dado cumplimiento total a la medida ordenada en el punto resolutivo </w:t>
      </w:r>
      <w:r w:rsidR="00536A78">
        <w:rPr>
          <w:rFonts w:ascii="Verdana" w:hAnsi="Verdana"/>
          <w:sz w:val="20"/>
        </w:rPr>
        <w:t>décimo octavo</w:t>
      </w:r>
      <w:r w:rsidRPr="007419F0">
        <w:rPr>
          <w:rFonts w:ascii="Verdana" w:hAnsi="Verdana"/>
          <w:sz w:val="20"/>
        </w:rPr>
        <w:t xml:space="preserve"> de la Sentencia.</w:t>
      </w:r>
    </w:p>
    <w:p w14:paraId="00E0F0ED" w14:textId="013849C9" w:rsidR="00F8655F" w:rsidRPr="00C75200" w:rsidRDefault="00F8655F" w:rsidP="00C75200">
      <w:pPr>
        <w:pStyle w:val="Prrafodelista"/>
        <w:spacing w:before="120" w:after="120"/>
        <w:ind w:left="11"/>
        <w:jc w:val="center"/>
        <w:rPr>
          <w:rFonts w:ascii="Verdana" w:hAnsi="Verdana"/>
          <w:bCs/>
          <w:sz w:val="20"/>
          <w:lang w:val="es-MX"/>
        </w:rPr>
      </w:pPr>
      <w:r>
        <w:rPr>
          <w:rFonts w:ascii="Verdana" w:hAnsi="Verdana"/>
          <w:bCs/>
          <w:sz w:val="20"/>
          <w:lang w:val="es-MX"/>
        </w:rPr>
        <w:t>***</w:t>
      </w:r>
    </w:p>
    <w:p w14:paraId="7B2EF21F" w14:textId="3B276822" w:rsidR="00F8655F" w:rsidRPr="00C75200" w:rsidRDefault="00F8655F" w:rsidP="00C75200">
      <w:pPr>
        <w:pStyle w:val="Prrafodelista"/>
        <w:numPr>
          <w:ilvl w:val="0"/>
          <w:numId w:val="4"/>
        </w:numPr>
        <w:spacing w:before="120" w:after="120"/>
        <w:ind w:left="11" w:hanging="11"/>
        <w:jc w:val="both"/>
        <w:rPr>
          <w:rFonts w:ascii="Verdana" w:hAnsi="Verdana"/>
          <w:bCs/>
          <w:sz w:val="20"/>
          <w:lang w:val="es-MX"/>
        </w:rPr>
      </w:pPr>
      <w:r w:rsidRPr="00C75200">
        <w:rPr>
          <w:rFonts w:ascii="Verdana" w:hAnsi="Verdana"/>
          <w:bCs/>
          <w:sz w:val="20"/>
          <w:lang w:val="es-MX"/>
        </w:rPr>
        <w:t xml:space="preserve">Por otra parte, </w:t>
      </w:r>
      <w:r>
        <w:rPr>
          <w:rFonts w:ascii="Verdana" w:hAnsi="Verdana"/>
          <w:bCs/>
          <w:sz w:val="20"/>
          <w:lang w:val="es-MX"/>
        </w:rPr>
        <w:t>este Tribunal</w:t>
      </w:r>
      <w:r w:rsidRPr="00C75200">
        <w:rPr>
          <w:rFonts w:ascii="Verdana" w:hAnsi="Verdana"/>
          <w:bCs/>
          <w:sz w:val="20"/>
          <w:lang w:val="es-MX"/>
        </w:rPr>
        <w:t xml:space="preserve"> advierte</w:t>
      </w:r>
      <w:r>
        <w:rPr>
          <w:rFonts w:ascii="Verdana" w:hAnsi="Verdana"/>
          <w:bCs/>
          <w:sz w:val="20"/>
          <w:lang w:val="es-MX"/>
        </w:rPr>
        <w:t>,</w:t>
      </w:r>
      <w:r w:rsidRPr="00C75200">
        <w:rPr>
          <w:rFonts w:ascii="Verdana" w:hAnsi="Verdana"/>
          <w:bCs/>
          <w:sz w:val="20"/>
          <w:lang w:val="es-MX"/>
        </w:rPr>
        <w:t xml:space="preserve"> con base en lo informado por </w:t>
      </w:r>
      <w:r w:rsidR="00357E1F" w:rsidRPr="004C65B7">
        <w:rPr>
          <w:rFonts w:ascii="Verdana" w:hAnsi="Verdana"/>
          <w:bCs/>
          <w:sz w:val="20"/>
          <w:lang w:val="es-MX"/>
        </w:rPr>
        <w:t>las partes</w:t>
      </w:r>
      <w:r w:rsidRPr="00C75200">
        <w:rPr>
          <w:rFonts w:ascii="Verdana" w:hAnsi="Verdana"/>
          <w:bCs/>
          <w:sz w:val="20"/>
          <w:lang w:val="es-MX"/>
        </w:rPr>
        <w:t xml:space="preserve">, que durante </w:t>
      </w:r>
      <w:r>
        <w:rPr>
          <w:rFonts w:ascii="Verdana" w:hAnsi="Verdana"/>
          <w:bCs/>
          <w:sz w:val="20"/>
          <w:lang w:val="es-MX"/>
        </w:rPr>
        <w:t>la celebración d</w:t>
      </w:r>
      <w:r w:rsidRPr="00C75200">
        <w:rPr>
          <w:rFonts w:ascii="Verdana" w:hAnsi="Verdana"/>
          <w:bCs/>
          <w:sz w:val="20"/>
          <w:lang w:val="es-MX"/>
        </w:rPr>
        <w:t>el referido acto público de reconocimiento de responsabilidad se hizo la presentación de dos placas conmemorativas sobre los hechos</w:t>
      </w:r>
      <w:r w:rsidR="00687368">
        <w:rPr>
          <w:rFonts w:ascii="Verdana" w:hAnsi="Verdana"/>
          <w:bCs/>
          <w:sz w:val="20"/>
          <w:lang w:val="es-MX"/>
        </w:rPr>
        <w:t xml:space="preserve"> y las víctimas del caso</w:t>
      </w:r>
      <w:r w:rsidR="00C75200">
        <w:rPr>
          <w:rFonts w:ascii="Verdana" w:hAnsi="Verdana"/>
          <w:bCs/>
          <w:sz w:val="20"/>
          <w:lang w:val="es-MX"/>
        </w:rPr>
        <w:t>,</w:t>
      </w:r>
      <w:r w:rsidRPr="00C75200">
        <w:rPr>
          <w:rFonts w:ascii="Verdana" w:hAnsi="Verdana"/>
          <w:bCs/>
          <w:sz w:val="20"/>
          <w:lang w:val="es-MX"/>
        </w:rPr>
        <w:t xml:space="preserve"> las cuales hacen referencia al cumplimiento de la medida ordenada en el punto resolutivo </w:t>
      </w:r>
      <w:r w:rsidR="00536A78">
        <w:rPr>
          <w:rFonts w:ascii="Verdana" w:hAnsi="Verdana"/>
          <w:bCs/>
          <w:sz w:val="20"/>
          <w:lang w:val="es-MX"/>
        </w:rPr>
        <w:t>vigésimo</w:t>
      </w:r>
      <w:r w:rsidRPr="00C75200">
        <w:rPr>
          <w:rFonts w:ascii="Verdana" w:hAnsi="Verdana"/>
          <w:bCs/>
          <w:sz w:val="20"/>
          <w:lang w:val="es-MX"/>
        </w:rPr>
        <w:t xml:space="preserve"> de la Sentencia</w:t>
      </w:r>
      <w:r w:rsidRPr="00C75200">
        <w:rPr>
          <w:rStyle w:val="Refdenotaalpie"/>
          <w:rFonts w:ascii="Verdana" w:hAnsi="Verdana"/>
          <w:bCs/>
          <w:sz w:val="20"/>
          <w:lang w:val="es-MX"/>
        </w:rPr>
        <w:footnoteReference w:id="14"/>
      </w:r>
      <w:r w:rsidRPr="00C75200">
        <w:rPr>
          <w:rFonts w:ascii="Verdana" w:hAnsi="Verdana"/>
          <w:bCs/>
          <w:sz w:val="20"/>
          <w:lang w:val="es-MX"/>
        </w:rPr>
        <w:t>.</w:t>
      </w:r>
      <w:r w:rsidR="00687368">
        <w:rPr>
          <w:rFonts w:ascii="Verdana" w:hAnsi="Verdana"/>
          <w:bCs/>
          <w:sz w:val="20"/>
          <w:lang w:val="es-MX"/>
        </w:rPr>
        <w:t xml:space="preserve"> </w:t>
      </w:r>
      <w:r w:rsidR="00104ECC">
        <w:rPr>
          <w:rFonts w:ascii="Verdana" w:hAnsi="Verdana"/>
          <w:bCs/>
          <w:sz w:val="20"/>
          <w:lang w:val="es-MX"/>
        </w:rPr>
        <w:t>En su informe 5 de diciembre de 2022, e</w:t>
      </w:r>
      <w:r w:rsidR="00687368">
        <w:rPr>
          <w:rFonts w:ascii="Verdana" w:hAnsi="Verdana"/>
          <w:bCs/>
          <w:sz w:val="20"/>
          <w:lang w:val="es-MX"/>
        </w:rPr>
        <w:t xml:space="preserve">l </w:t>
      </w:r>
      <w:r w:rsidR="00687368" w:rsidRPr="00575C80">
        <w:rPr>
          <w:rFonts w:ascii="Verdana" w:hAnsi="Verdana"/>
          <w:bCs/>
          <w:i/>
          <w:iCs/>
          <w:sz w:val="20"/>
          <w:lang w:val="es-MX"/>
        </w:rPr>
        <w:t>Estado</w:t>
      </w:r>
      <w:r w:rsidR="00687368">
        <w:rPr>
          <w:rFonts w:ascii="Verdana" w:hAnsi="Verdana"/>
          <w:bCs/>
          <w:sz w:val="20"/>
          <w:lang w:val="es-MX"/>
        </w:rPr>
        <w:t xml:space="preserve"> indicó que</w:t>
      </w:r>
      <w:r w:rsidR="00C75200">
        <w:rPr>
          <w:rFonts w:ascii="Verdana" w:hAnsi="Verdana"/>
          <w:bCs/>
          <w:sz w:val="20"/>
          <w:lang w:val="es-MX"/>
        </w:rPr>
        <w:t xml:space="preserve"> éstas</w:t>
      </w:r>
      <w:r w:rsidR="00687368">
        <w:rPr>
          <w:rFonts w:ascii="Verdana" w:hAnsi="Verdana"/>
          <w:bCs/>
          <w:sz w:val="20"/>
          <w:lang w:val="es-MX"/>
        </w:rPr>
        <w:t xml:space="preserve"> “ser[</w:t>
      </w:r>
      <w:proofErr w:type="spellStart"/>
      <w:r w:rsidR="00687368">
        <w:rPr>
          <w:rFonts w:ascii="Verdana" w:hAnsi="Verdana"/>
          <w:bCs/>
          <w:sz w:val="20"/>
          <w:lang w:val="es-MX"/>
        </w:rPr>
        <w:t>ían</w:t>
      </w:r>
      <w:proofErr w:type="spellEnd"/>
      <w:r w:rsidR="00687368">
        <w:rPr>
          <w:rFonts w:ascii="Verdana" w:hAnsi="Verdana"/>
          <w:bCs/>
          <w:sz w:val="20"/>
          <w:lang w:val="es-MX"/>
        </w:rPr>
        <w:t>] fijadas […] en los próximos días”. La Corte ent</w:t>
      </w:r>
      <w:r w:rsidR="00C75200">
        <w:rPr>
          <w:rFonts w:ascii="Verdana" w:hAnsi="Verdana"/>
          <w:bCs/>
          <w:sz w:val="20"/>
          <w:lang w:val="es-MX"/>
        </w:rPr>
        <w:t>iende</w:t>
      </w:r>
      <w:r w:rsidR="00687368">
        <w:rPr>
          <w:rFonts w:ascii="Verdana" w:hAnsi="Verdana"/>
          <w:bCs/>
          <w:sz w:val="20"/>
          <w:lang w:val="es-MX"/>
        </w:rPr>
        <w:t xml:space="preserve"> que </w:t>
      </w:r>
      <w:r w:rsidR="00104ECC">
        <w:rPr>
          <w:rFonts w:ascii="Verdana" w:hAnsi="Verdana"/>
          <w:bCs/>
          <w:sz w:val="20"/>
          <w:lang w:val="es-MX"/>
        </w:rPr>
        <w:t>las víctimas y sus</w:t>
      </w:r>
      <w:r w:rsidR="00687368">
        <w:rPr>
          <w:rFonts w:ascii="Verdana" w:hAnsi="Verdana"/>
          <w:bCs/>
          <w:sz w:val="20"/>
          <w:lang w:val="es-MX"/>
        </w:rPr>
        <w:t xml:space="preserve"> representantes </w:t>
      </w:r>
      <w:r w:rsidR="00B23950">
        <w:rPr>
          <w:rFonts w:ascii="Verdana" w:hAnsi="Verdana"/>
          <w:bCs/>
          <w:sz w:val="20"/>
          <w:lang w:val="es-MX"/>
        </w:rPr>
        <w:t xml:space="preserve">han </w:t>
      </w:r>
      <w:r w:rsidR="00687368">
        <w:rPr>
          <w:rFonts w:ascii="Verdana" w:hAnsi="Verdana"/>
          <w:bCs/>
          <w:sz w:val="20"/>
          <w:lang w:val="es-MX"/>
        </w:rPr>
        <w:t>apr</w:t>
      </w:r>
      <w:r w:rsidR="00B23950">
        <w:rPr>
          <w:rFonts w:ascii="Verdana" w:hAnsi="Verdana"/>
          <w:bCs/>
          <w:sz w:val="20"/>
          <w:lang w:val="es-MX"/>
        </w:rPr>
        <w:t>obado</w:t>
      </w:r>
      <w:r w:rsidR="00687368">
        <w:rPr>
          <w:rFonts w:ascii="Verdana" w:hAnsi="Verdana"/>
          <w:bCs/>
          <w:sz w:val="20"/>
          <w:lang w:val="es-MX"/>
        </w:rPr>
        <w:t xml:space="preserve"> </w:t>
      </w:r>
      <w:r w:rsidR="00B23950">
        <w:rPr>
          <w:rFonts w:ascii="Verdana" w:hAnsi="Verdana"/>
          <w:bCs/>
          <w:sz w:val="20"/>
          <w:lang w:val="es-MX"/>
        </w:rPr>
        <w:t>el</w:t>
      </w:r>
      <w:r w:rsidR="00687368">
        <w:rPr>
          <w:rFonts w:ascii="Verdana" w:hAnsi="Verdana"/>
          <w:bCs/>
          <w:sz w:val="20"/>
          <w:lang w:val="es-MX"/>
        </w:rPr>
        <w:t xml:space="preserve"> contenido </w:t>
      </w:r>
      <w:r w:rsidR="00B23950">
        <w:rPr>
          <w:rFonts w:ascii="Verdana" w:hAnsi="Verdana"/>
          <w:bCs/>
          <w:sz w:val="20"/>
          <w:lang w:val="es-MX"/>
        </w:rPr>
        <w:t xml:space="preserve">de dichas placas </w:t>
      </w:r>
      <w:r w:rsidR="00687368">
        <w:rPr>
          <w:rFonts w:ascii="Verdana" w:hAnsi="Verdana"/>
          <w:bCs/>
          <w:sz w:val="20"/>
          <w:lang w:val="es-MX"/>
        </w:rPr>
        <w:t xml:space="preserve">y </w:t>
      </w:r>
      <w:r w:rsidR="00B23950">
        <w:rPr>
          <w:rFonts w:ascii="Verdana" w:hAnsi="Verdana"/>
          <w:bCs/>
          <w:sz w:val="20"/>
          <w:lang w:val="es-MX"/>
        </w:rPr>
        <w:t xml:space="preserve">que </w:t>
      </w:r>
      <w:r w:rsidR="00687368">
        <w:rPr>
          <w:rFonts w:ascii="Verdana" w:hAnsi="Verdana"/>
          <w:bCs/>
          <w:sz w:val="20"/>
          <w:lang w:val="es-MX"/>
        </w:rPr>
        <w:t xml:space="preserve">sería posible avanzar con su instalación a la mayor brevedad posible. </w:t>
      </w:r>
      <w:r w:rsidR="00B23950">
        <w:rPr>
          <w:rFonts w:ascii="Verdana" w:hAnsi="Verdana"/>
          <w:bCs/>
          <w:sz w:val="20"/>
          <w:lang w:val="es-MX"/>
        </w:rPr>
        <w:t>Por consiguiente, se</w:t>
      </w:r>
      <w:r w:rsidR="00687368">
        <w:rPr>
          <w:rFonts w:ascii="Verdana" w:hAnsi="Verdana"/>
          <w:bCs/>
          <w:sz w:val="20"/>
          <w:lang w:val="es-MX"/>
        </w:rPr>
        <w:t xml:space="preserve"> insta </w:t>
      </w:r>
      <w:r w:rsidR="00A05053">
        <w:rPr>
          <w:rFonts w:ascii="Verdana" w:hAnsi="Verdana"/>
          <w:bCs/>
          <w:sz w:val="20"/>
          <w:lang w:val="es-MX"/>
        </w:rPr>
        <w:t>a Colombia</w:t>
      </w:r>
      <w:r w:rsidR="00687368">
        <w:rPr>
          <w:rFonts w:ascii="Verdana" w:hAnsi="Verdana"/>
          <w:bCs/>
          <w:sz w:val="20"/>
          <w:lang w:val="es-MX"/>
        </w:rPr>
        <w:t xml:space="preserve"> </w:t>
      </w:r>
      <w:r w:rsidR="00B23950">
        <w:rPr>
          <w:rFonts w:ascii="Verdana" w:hAnsi="Verdana"/>
          <w:bCs/>
          <w:sz w:val="20"/>
          <w:lang w:val="es-MX"/>
        </w:rPr>
        <w:t xml:space="preserve">a </w:t>
      </w:r>
      <w:r w:rsidR="00A05053">
        <w:rPr>
          <w:rFonts w:ascii="Verdana" w:hAnsi="Verdana"/>
          <w:bCs/>
          <w:sz w:val="20"/>
          <w:lang w:val="es-MX"/>
        </w:rPr>
        <w:t>adopt</w:t>
      </w:r>
      <w:r w:rsidR="00B23950">
        <w:rPr>
          <w:rFonts w:ascii="Verdana" w:hAnsi="Verdana"/>
          <w:bCs/>
          <w:sz w:val="20"/>
          <w:lang w:val="es-MX"/>
        </w:rPr>
        <w:t>ar</w:t>
      </w:r>
      <w:r w:rsidR="00687368">
        <w:rPr>
          <w:rFonts w:ascii="Verdana" w:hAnsi="Verdana"/>
          <w:bCs/>
          <w:sz w:val="20"/>
          <w:lang w:val="es-MX"/>
        </w:rPr>
        <w:t xml:space="preserve"> las medidas que sean necesarias para ello, lo cual permitiría dar cumplimiento total a este punto de la Sentencia (</w:t>
      </w:r>
      <w:r w:rsidR="00687368" w:rsidRPr="00C75200">
        <w:rPr>
          <w:rFonts w:ascii="Verdana" w:hAnsi="Verdana"/>
          <w:bCs/>
          <w:i/>
          <w:iCs/>
          <w:sz w:val="20"/>
          <w:lang w:val="es-MX"/>
        </w:rPr>
        <w:t>supra</w:t>
      </w:r>
      <w:r w:rsidR="00687368">
        <w:rPr>
          <w:rFonts w:ascii="Verdana" w:hAnsi="Verdana"/>
          <w:bCs/>
          <w:sz w:val="20"/>
          <w:lang w:val="es-MX"/>
        </w:rPr>
        <w:t xml:space="preserve"> nota al pie </w:t>
      </w:r>
      <w:r w:rsidR="002D3AE3">
        <w:rPr>
          <w:rFonts w:ascii="Verdana" w:hAnsi="Verdana"/>
          <w:bCs/>
          <w:sz w:val="20"/>
          <w:lang w:val="es-MX"/>
        </w:rPr>
        <w:t>4</w:t>
      </w:r>
      <w:r w:rsidR="00687368">
        <w:rPr>
          <w:rFonts w:ascii="Verdana" w:hAnsi="Verdana"/>
          <w:bCs/>
          <w:sz w:val="20"/>
          <w:lang w:val="es-MX"/>
        </w:rPr>
        <w:t>).</w:t>
      </w:r>
    </w:p>
    <w:p w14:paraId="279379F3" w14:textId="04F54373" w:rsidR="00C16133" w:rsidRPr="00A7670C" w:rsidRDefault="00C16133" w:rsidP="00C16133">
      <w:pPr>
        <w:spacing w:before="120" w:after="120"/>
        <w:jc w:val="both"/>
        <w:rPr>
          <w:rFonts w:ascii="Verdana" w:hAnsi="Verdana"/>
          <w:b/>
          <w:sz w:val="20"/>
          <w:lang w:val="es-MX"/>
        </w:rPr>
      </w:pPr>
      <w:r w:rsidRPr="00A7670C">
        <w:rPr>
          <w:rFonts w:ascii="Verdana" w:hAnsi="Verdana"/>
          <w:b/>
          <w:sz w:val="20"/>
          <w:lang w:val="es-MX"/>
        </w:rPr>
        <w:lastRenderedPageBreak/>
        <w:t>POR TANTO:</w:t>
      </w:r>
    </w:p>
    <w:p w14:paraId="5FBA191F" w14:textId="77777777" w:rsidR="00C16133" w:rsidRPr="00A7670C" w:rsidRDefault="00C16133" w:rsidP="00C16133">
      <w:pPr>
        <w:spacing w:before="120" w:after="120"/>
        <w:jc w:val="both"/>
        <w:rPr>
          <w:rFonts w:ascii="Verdana" w:hAnsi="Verdana"/>
          <w:b/>
          <w:sz w:val="20"/>
          <w:lang w:val="es-MX"/>
        </w:rPr>
      </w:pPr>
      <w:r w:rsidRPr="00A7670C">
        <w:rPr>
          <w:rFonts w:ascii="Verdana" w:hAnsi="Verdana"/>
          <w:b/>
          <w:sz w:val="20"/>
          <w:lang w:val="es-MX"/>
        </w:rPr>
        <w:t>LA CORTE INTERAMERICANA DE DERECHOS HUMANOS,</w:t>
      </w:r>
    </w:p>
    <w:p w14:paraId="01629CCC" w14:textId="1242387F" w:rsidR="00C16133" w:rsidRPr="00C16133" w:rsidRDefault="00536A78" w:rsidP="00C16133">
      <w:pPr>
        <w:spacing w:before="120" w:after="120"/>
        <w:jc w:val="both"/>
        <w:rPr>
          <w:rFonts w:ascii="Verdana" w:hAnsi="Verdana"/>
          <w:sz w:val="20"/>
        </w:rPr>
      </w:pPr>
      <w:r>
        <w:rPr>
          <w:rFonts w:ascii="Verdana" w:hAnsi="Verdana"/>
          <w:sz w:val="20"/>
        </w:rPr>
        <w:t>e</w:t>
      </w:r>
      <w:r w:rsidR="00C16133" w:rsidRPr="00A7670C">
        <w:rPr>
          <w:rFonts w:ascii="Verdana" w:hAnsi="Verdana"/>
          <w:sz w:val="20"/>
        </w:rPr>
        <w:t>n el ejercicio de sus atribuciones de supervisión del cumplimiento de sus decisiones y de conformidad con los artículos 33, 62.1, 62.3 y 68.1 de la Convención Americana sobre Derechos Humanos, 24 y 30 del Estatuto, y 31.2 y 69 de su Reglamento,</w:t>
      </w:r>
    </w:p>
    <w:p w14:paraId="14B64D88" w14:textId="77777777" w:rsidR="00A05053" w:rsidRDefault="00A05053" w:rsidP="00C16133">
      <w:pPr>
        <w:spacing w:before="120" w:after="120"/>
        <w:ind w:right="4"/>
        <w:jc w:val="both"/>
        <w:rPr>
          <w:rFonts w:ascii="Verdana" w:hAnsi="Verdana"/>
          <w:b/>
          <w:sz w:val="20"/>
          <w:lang w:val="es-MX"/>
        </w:rPr>
      </w:pPr>
    </w:p>
    <w:p w14:paraId="3F25EC1E" w14:textId="6FE5F959" w:rsidR="00C16133" w:rsidRPr="00A7670C" w:rsidRDefault="00C16133" w:rsidP="00C16133">
      <w:pPr>
        <w:spacing w:before="120" w:after="120"/>
        <w:ind w:right="4"/>
        <w:jc w:val="both"/>
        <w:rPr>
          <w:rFonts w:ascii="Verdana" w:hAnsi="Verdana"/>
          <w:b/>
          <w:sz w:val="20"/>
          <w:lang w:val="es-MX"/>
        </w:rPr>
      </w:pPr>
      <w:r w:rsidRPr="00A7670C">
        <w:rPr>
          <w:rFonts w:ascii="Verdana" w:hAnsi="Verdana"/>
          <w:b/>
          <w:sz w:val="20"/>
          <w:lang w:val="es-MX"/>
        </w:rPr>
        <w:t xml:space="preserve">RESUELVE: </w:t>
      </w:r>
    </w:p>
    <w:p w14:paraId="28D0D318" w14:textId="3BEF9655" w:rsidR="00C6100D" w:rsidRPr="00C75200" w:rsidRDefault="00C16133" w:rsidP="00C75200">
      <w:pPr>
        <w:pStyle w:val="Prrafodelista"/>
        <w:numPr>
          <w:ilvl w:val="0"/>
          <w:numId w:val="13"/>
        </w:numPr>
        <w:spacing w:before="120" w:after="120"/>
        <w:ind w:left="0" w:firstLine="0"/>
        <w:jc w:val="both"/>
        <w:rPr>
          <w:rFonts w:ascii="Verdana" w:hAnsi="Verdana"/>
          <w:sz w:val="20"/>
          <w:lang w:val="es-MX"/>
        </w:rPr>
      </w:pPr>
      <w:proofErr w:type="gramStart"/>
      <w:r w:rsidRPr="00687368">
        <w:rPr>
          <w:rFonts w:ascii="Verdana" w:hAnsi="Verdana"/>
          <w:sz w:val="20"/>
        </w:rPr>
        <w:t>Declarar</w:t>
      </w:r>
      <w:proofErr w:type="gramEnd"/>
      <w:r w:rsidR="00587659">
        <w:rPr>
          <w:rFonts w:ascii="Verdana" w:hAnsi="Verdana"/>
          <w:sz w:val="20"/>
        </w:rPr>
        <w:t xml:space="preserve"> </w:t>
      </w:r>
      <w:r w:rsidRPr="00687368">
        <w:rPr>
          <w:rFonts w:ascii="Verdana" w:hAnsi="Verdana"/>
          <w:sz w:val="20"/>
        </w:rPr>
        <w:t xml:space="preserve">que el Estado ha dado cumplimiento </w:t>
      </w:r>
      <w:r w:rsidR="00141D1D" w:rsidRPr="00687368">
        <w:rPr>
          <w:rFonts w:ascii="Verdana" w:hAnsi="Verdana"/>
          <w:sz w:val="20"/>
        </w:rPr>
        <w:t xml:space="preserve">total </w:t>
      </w:r>
      <w:r w:rsidR="00C6100D" w:rsidRPr="00687368">
        <w:rPr>
          <w:rFonts w:ascii="Verdana" w:hAnsi="Verdana"/>
          <w:sz w:val="20"/>
        </w:rPr>
        <w:t>a la reparación</w:t>
      </w:r>
      <w:r w:rsidR="00687368" w:rsidRPr="00687368">
        <w:rPr>
          <w:rFonts w:ascii="Verdana" w:hAnsi="Verdana"/>
          <w:sz w:val="20"/>
        </w:rPr>
        <w:t xml:space="preserve"> relativa a </w:t>
      </w:r>
      <w:r w:rsidR="00687368">
        <w:rPr>
          <w:rFonts w:ascii="Verdana" w:hAnsi="Verdana"/>
          <w:sz w:val="20"/>
          <w:lang w:val="es-MX"/>
        </w:rPr>
        <w:t>r</w:t>
      </w:r>
      <w:r w:rsidR="00687368" w:rsidRPr="00C75200">
        <w:rPr>
          <w:rFonts w:ascii="Verdana" w:hAnsi="Verdana"/>
          <w:sz w:val="20"/>
          <w:lang w:val="es-MX"/>
        </w:rPr>
        <w:t xml:space="preserve">ealizar </w:t>
      </w:r>
      <w:r w:rsidR="00C6100D" w:rsidRPr="00C75200">
        <w:rPr>
          <w:rFonts w:ascii="Verdana" w:hAnsi="Verdana"/>
          <w:sz w:val="20"/>
          <w:lang w:val="es-MX"/>
        </w:rPr>
        <w:t>un acto público de reconocimiento de responsabilidad internacional por los hechos del caso (</w:t>
      </w:r>
      <w:r w:rsidR="00C6100D" w:rsidRPr="00C75200">
        <w:rPr>
          <w:rFonts w:ascii="Verdana" w:hAnsi="Verdana"/>
          <w:i/>
          <w:iCs/>
          <w:sz w:val="20"/>
          <w:lang w:val="es-MX"/>
        </w:rPr>
        <w:t>punto resoluti</w:t>
      </w:r>
      <w:r w:rsidR="00FF6A95" w:rsidRPr="00C75200">
        <w:rPr>
          <w:rFonts w:ascii="Verdana" w:hAnsi="Verdana"/>
          <w:i/>
          <w:iCs/>
          <w:sz w:val="20"/>
          <w:lang w:val="es-MX"/>
        </w:rPr>
        <w:t>vo d</w:t>
      </w:r>
      <w:r w:rsidR="00687368">
        <w:rPr>
          <w:rFonts w:ascii="Verdana" w:hAnsi="Verdana"/>
          <w:i/>
          <w:iCs/>
          <w:sz w:val="20"/>
          <w:lang w:val="es-MX"/>
        </w:rPr>
        <w:t>é</w:t>
      </w:r>
      <w:r w:rsidR="00FF6A95" w:rsidRPr="00C75200">
        <w:rPr>
          <w:rFonts w:ascii="Verdana" w:hAnsi="Verdana"/>
          <w:i/>
          <w:iCs/>
          <w:sz w:val="20"/>
          <w:lang w:val="es-MX"/>
        </w:rPr>
        <w:t>cim</w:t>
      </w:r>
      <w:r w:rsidR="00687368">
        <w:rPr>
          <w:rFonts w:ascii="Verdana" w:hAnsi="Verdana"/>
          <w:i/>
          <w:iCs/>
          <w:sz w:val="20"/>
          <w:lang w:val="es-MX"/>
        </w:rPr>
        <w:t xml:space="preserve">o </w:t>
      </w:r>
      <w:r w:rsidR="00FF6A95" w:rsidRPr="00C75200">
        <w:rPr>
          <w:rFonts w:ascii="Verdana" w:hAnsi="Verdana"/>
          <w:i/>
          <w:iCs/>
          <w:sz w:val="20"/>
          <w:lang w:val="es-MX"/>
        </w:rPr>
        <w:t>octavo de la Sentencia</w:t>
      </w:r>
      <w:r w:rsidR="00FF6A95" w:rsidRPr="00C75200">
        <w:rPr>
          <w:rFonts w:ascii="Verdana" w:hAnsi="Verdana"/>
          <w:sz w:val="20"/>
          <w:lang w:val="es-MX"/>
        </w:rPr>
        <w:t>)</w:t>
      </w:r>
      <w:r w:rsidR="00536A78">
        <w:rPr>
          <w:rFonts w:ascii="Verdana" w:hAnsi="Verdana"/>
          <w:sz w:val="20"/>
          <w:lang w:val="es-MX"/>
        </w:rPr>
        <w:t>.</w:t>
      </w:r>
    </w:p>
    <w:p w14:paraId="6E3F10F0" w14:textId="77777777" w:rsidR="00FF6A95" w:rsidRDefault="00FF6A95" w:rsidP="005123D1">
      <w:pPr>
        <w:pStyle w:val="Prrafodelista"/>
        <w:numPr>
          <w:ilvl w:val="0"/>
          <w:numId w:val="13"/>
        </w:numPr>
        <w:spacing w:before="120" w:after="120"/>
        <w:ind w:left="0" w:firstLine="0"/>
        <w:jc w:val="both"/>
        <w:rPr>
          <w:rFonts w:ascii="Verdana" w:hAnsi="Verdana"/>
          <w:sz w:val="20"/>
          <w:lang w:val="es-MX"/>
        </w:rPr>
      </w:pPr>
      <w:r>
        <w:rPr>
          <w:rFonts w:ascii="Verdana" w:hAnsi="Verdana"/>
          <w:sz w:val="20"/>
          <w:lang w:val="es-MX"/>
        </w:rPr>
        <w:t xml:space="preserve">Mantener abierto el procedimiento de supervisión </w:t>
      </w:r>
      <w:r w:rsidRPr="00FF6A95">
        <w:rPr>
          <w:rFonts w:ascii="Verdana" w:hAnsi="Verdana"/>
          <w:sz w:val="20"/>
          <w:lang w:val="es-MX"/>
        </w:rPr>
        <w:t>de cumplimiento de las siguientes medidas de reparación, que serán valoradas en una posterior resolución:</w:t>
      </w:r>
    </w:p>
    <w:p w14:paraId="0479C37F" w14:textId="1B2A0A8A" w:rsidR="00FF6A95" w:rsidRDefault="00FF6A95" w:rsidP="00FF6A95">
      <w:pPr>
        <w:pStyle w:val="Prrafodelista"/>
        <w:numPr>
          <w:ilvl w:val="0"/>
          <w:numId w:val="15"/>
        </w:numPr>
        <w:spacing w:before="120" w:after="120"/>
        <w:jc w:val="both"/>
        <w:rPr>
          <w:rFonts w:ascii="Verdana" w:hAnsi="Verdana"/>
          <w:sz w:val="20"/>
          <w:lang w:val="es-MX"/>
        </w:rPr>
      </w:pPr>
      <w:r w:rsidRPr="00FF6A95">
        <w:rPr>
          <w:rFonts w:ascii="Verdana" w:hAnsi="Verdana"/>
          <w:sz w:val="20"/>
          <w:lang w:val="es-MX"/>
        </w:rPr>
        <w:t>llevar adelante las diligencias necesarias para proveer justicia en el caso (</w:t>
      </w:r>
      <w:r w:rsidRPr="00C75200">
        <w:rPr>
          <w:rFonts w:ascii="Verdana" w:hAnsi="Verdana"/>
          <w:i/>
          <w:iCs/>
          <w:sz w:val="20"/>
          <w:lang w:val="es-MX"/>
        </w:rPr>
        <w:t>punto resolutivo d</w:t>
      </w:r>
      <w:r w:rsidR="005123D1" w:rsidRPr="00C75200">
        <w:rPr>
          <w:rFonts w:ascii="Verdana" w:hAnsi="Verdana"/>
          <w:i/>
          <w:iCs/>
          <w:sz w:val="20"/>
          <w:lang w:val="es-MX"/>
        </w:rPr>
        <w:t>é</w:t>
      </w:r>
      <w:r w:rsidRPr="00C75200">
        <w:rPr>
          <w:rFonts w:ascii="Verdana" w:hAnsi="Verdana"/>
          <w:i/>
          <w:iCs/>
          <w:sz w:val="20"/>
          <w:lang w:val="es-MX"/>
        </w:rPr>
        <w:t>cimo</w:t>
      </w:r>
      <w:r w:rsidR="005123D1" w:rsidRPr="00C75200">
        <w:rPr>
          <w:rFonts w:ascii="Verdana" w:hAnsi="Verdana"/>
          <w:i/>
          <w:iCs/>
          <w:sz w:val="20"/>
          <w:lang w:val="es-MX"/>
        </w:rPr>
        <w:t xml:space="preserve"> </w:t>
      </w:r>
      <w:r w:rsidRPr="00C75200">
        <w:rPr>
          <w:rFonts w:ascii="Verdana" w:hAnsi="Verdana"/>
          <w:i/>
          <w:iCs/>
          <w:sz w:val="20"/>
          <w:lang w:val="es-MX"/>
        </w:rPr>
        <w:t>quinto de la Sentencia</w:t>
      </w:r>
      <w:r>
        <w:rPr>
          <w:rFonts w:ascii="Verdana" w:hAnsi="Verdana"/>
          <w:sz w:val="20"/>
          <w:lang w:val="es-MX"/>
        </w:rPr>
        <w:t xml:space="preserve">); </w:t>
      </w:r>
    </w:p>
    <w:p w14:paraId="4E4D9FCD" w14:textId="3CB23B5D" w:rsidR="00FF6A95" w:rsidRDefault="00FF6A95" w:rsidP="00FF6A95">
      <w:pPr>
        <w:pStyle w:val="Prrafodelista"/>
        <w:numPr>
          <w:ilvl w:val="0"/>
          <w:numId w:val="15"/>
        </w:numPr>
        <w:spacing w:before="120" w:after="120"/>
        <w:jc w:val="both"/>
        <w:rPr>
          <w:rFonts w:ascii="Verdana" w:hAnsi="Verdana"/>
          <w:sz w:val="20"/>
          <w:lang w:val="es-MX"/>
        </w:rPr>
      </w:pPr>
      <w:r w:rsidRPr="00FF6A95">
        <w:rPr>
          <w:rFonts w:ascii="Verdana" w:hAnsi="Verdana"/>
          <w:sz w:val="20"/>
          <w:lang w:val="es-MX"/>
        </w:rPr>
        <w:t xml:space="preserve">brindar gratuitamente el tratamiento </w:t>
      </w:r>
      <w:r w:rsidR="002A0B40">
        <w:rPr>
          <w:rFonts w:ascii="Verdana" w:hAnsi="Verdana"/>
          <w:sz w:val="20"/>
          <w:lang w:val="es-MX"/>
        </w:rPr>
        <w:t xml:space="preserve">médico y psicológico </w:t>
      </w:r>
      <w:r w:rsidRPr="00FF6A95">
        <w:rPr>
          <w:rFonts w:ascii="Verdana" w:hAnsi="Verdana"/>
          <w:sz w:val="20"/>
          <w:lang w:val="es-MX"/>
        </w:rPr>
        <w:t>adecuado que requieran los familiares de las víctimas ejecutadas en el caso (</w:t>
      </w:r>
      <w:r w:rsidRPr="00C75200">
        <w:rPr>
          <w:rFonts w:ascii="Verdana" w:hAnsi="Verdana"/>
          <w:i/>
          <w:iCs/>
          <w:sz w:val="20"/>
          <w:lang w:val="es-MX"/>
        </w:rPr>
        <w:t>punto resolutivo d</w:t>
      </w:r>
      <w:r w:rsidR="005123D1" w:rsidRPr="00C75200">
        <w:rPr>
          <w:rFonts w:ascii="Verdana" w:hAnsi="Verdana"/>
          <w:i/>
          <w:iCs/>
          <w:sz w:val="20"/>
          <w:lang w:val="es-MX"/>
        </w:rPr>
        <w:t>é</w:t>
      </w:r>
      <w:r w:rsidRPr="00C75200">
        <w:rPr>
          <w:rFonts w:ascii="Verdana" w:hAnsi="Verdana"/>
          <w:i/>
          <w:iCs/>
          <w:sz w:val="20"/>
          <w:lang w:val="es-MX"/>
        </w:rPr>
        <w:t>cimo</w:t>
      </w:r>
      <w:r w:rsidR="005123D1" w:rsidRPr="00C75200">
        <w:rPr>
          <w:rFonts w:ascii="Verdana" w:hAnsi="Verdana"/>
          <w:i/>
          <w:iCs/>
          <w:sz w:val="20"/>
          <w:lang w:val="es-MX"/>
        </w:rPr>
        <w:t xml:space="preserve"> </w:t>
      </w:r>
      <w:r w:rsidRPr="00C75200">
        <w:rPr>
          <w:rFonts w:ascii="Verdana" w:hAnsi="Verdana"/>
          <w:i/>
          <w:iCs/>
          <w:sz w:val="20"/>
          <w:lang w:val="es-MX"/>
        </w:rPr>
        <w:t>sexto de la Sentencia</w:t>
      </w:r>
      <w:r>
        <w:rPr>
          <w:rFonts w:ascii="Verdana" w:hAnsi="Verdana"/>
          <w:sz w:val="20"/>
          <w:lang w:val="es-MX"/>
        </w:rPr>
        <w:t>);</w:t>
      </w:r>
    </w:p>
    <w:p w14:paraId="5A865FE6" w14:textId="272421DB" w:rsidR="00FF6A95" w:rsidRDefault="00FF6A95" w:rsidP="005123D1">
      <w:pPr>
        <w:pStyle w:val="Prrafodelista"/>
        <w:numPr>
          <w:ilvl w:val="0"/>
          <w:numId w:val="15"/>
        </w:numPr>
        <w:spacing w:before="120" w:after="120"/>
        <w:jc w:val="both"/>
        <w:rPr>
          <w:rFonts w:ascii="Verdana" w:hAnsi="Verdana"/>
          <w:sz w:val="20"/>
          <w:lang w:val="es-MX"/>
        </w:rPr>
      </w:pPr>
      <w:r w:rsidRPr="00FF6A95">
        <w:rPr>
          <w:rFonts w:ascii="Verdana" w:hAnsi="Verdana"/>
          <w:sz w:val="20"/>
          <w:lang w:val="es-MX"/>
        </w:rPr>
        <w:t xml:space="preserve"> realizar las acciones necesarias para garantizar las condiciones de seguridad para que los ex habitantes de los corregimientos de El Aro y La Granja que se hayan visto desplazados puedan regresar a El Aro o La Granja, según sea el caso y si así lo desearan (</w:t>
      </w:r>
      <w:r w:rsidRPr="00C75200">
        <w:rPr>
          <w:rFonts w:ascii="Verdana" w:hAnsi="Verdana"/>
          <w:i/>
          <w:iCs/>
          <w:sz w:val="20"/>
          <w:lang w:val="es-MX"/>
        </w:rPr>
        <w:t>punto resolutivo d</w:t>
      </w:r>
      <w:r w:rsidR="005123D1" w:rsidRPr="00C75200">
        <w:rPr>
          <w:rFonts w:ascii="Verdana" w:hAnsi="Verdana"/>
          <w:i/>
          <w:iCs/>
          <w:sz w:val="20"/>
          <w:lang w:val="es-MX"/>
        </w:rPr>
        <w:t>é</w:t>
      </w:r>
      <w:r w:rsidRPr="00C75200">
        <w:rPr>
          <w:rFonts w:ascii="Verdana" w:hAnsi="Verdana"/>
          <w:i/>
          <w:iCs/>
          <w:sz w:val="20"/>
          <w:lang w:val="es-MX"/>
        </w:rPr>
        <w:t>cimo</w:t>
      </w:r>
      <w:r w:rsidR="005123D1" w:rsidRPr="00C75200">
        <w:rPr>
          <w:rFonts w:ascii="Verdana" w:hAnsi="Verdana"/>
          <w:i/>
          <w:iCs/>
          <w:sz w:val="20"/>
          <w:lang w:val="es-MX"/>
        </w:rPr>
        <w:t xml:space="preserve"> </w:t>
      </w:r>
      <w:r w:rsidRPr="00C75200">
        <w:rPr>
          <w:rFonts w:ascii="Verdana" w:hAnsi="Verdana"/>
          <w:i/>
          <w:iCs/>
          <w:sz w:val="20"/>
          <w:lang w:val="es-MX"/>
        </w:rPr>
        <w:t>séptimo de la Sentencia</w:t>
      </w:r>
      <w:r w:rsidR="002D3AE3">
        <w:rPr>
          <w:rFonts w:ascii="Verdana" w:hAnsi="Verdana"/>
          <w:sz w:val="20"/>
          <w:lang w:val="es-MX"/>
        </w:rPr>
        <w:t>)</w:t>
      </w:r>
      <w:r w:rsidRPr="00FF6A95">
        <w:rPr>
          <w:rFonts w:ascii="Verdana" w:hAnsi="Verdana"/>
          <w:sz w:val="20"/>
          <w:lang w:val="es-MX"/>
        </w:rPr>
        <w:t xml:space="preserve">, y </w:t>
      </w:r>
    </w:p>
    <w:p w14:paraId="7019E45A" w14:textId="21FB62C0" w:rsidR="00FF6A95" w:rsidRDefault="00FF6A95" w:rsidP="00FF6A95">
      <w:pPr>
        <w:pStyle w:val="Prrafodelista"/>
        <w:numPr>
          <w:ilvl w:val="0"/>
          <w:numId w:val="15"/>
        </w:numPr>
        <w:spacing w:before="120" w:after="120"/>
        <w:jc w:val="both"/>
        <w:rPr>
          <w:rFonts w:ascii="Verdana" w:hAnsi="Verdana"/>
          <w:sz w:val="20"/>
          <w:lang w:val="es-MX"/>
        </w:rPr>
      </w:pPr>
      <w:r w:rsidRPr="00FF6A95">
        <w:rPr>
          <w:rFonts w:ascii="Verdana" w:hAnsi="Verdana"/>
          <w:sz w:val="20"/>
          <w:lang w:val="es-MX"/>
        </w:rPr>
        <w:t>fijar una placa en un lugar público apropiado en cada uno de los corregimientos de La Granja y El Aro (</w:t>
      </w:r>
      <w:r w:rsidRPr="00C75200">
        <w:rPr>
          <w:rFonts w:ascii="Verdana" w:hAnsi="Verdana"/>
          <w:i/>
          <w:iCs/>
          <w:sz w:val="20"/>
          <w:lang w:val="es-MX"/>
        </w:rPr>
        <w:t>punto resolutivo vigésimo de la Sentencia</w:t>
      </w:r>
      <w:r w:rsidRPr="00FF6A95">
        <w:rPr>
          <w:rFonts w:ascii="Verdana" w:hAnsi="Verdana"/>
          <w:sz w:val="20"/>
          <w:lang w:val="es-MX"/>
        </w:rPr>
        <w:t>).</w:t>
      </w:r>
    </w:p>
    <w:p w14:paraId="2D4332EB" w14:textId="27C3C6FA" w:rsidR="005123D1" w:rsidRPr="005123D1" w:rsidRDefault="00587659" w:rsidP="005123D1">
      <w:pPr>
        <w:pStyle w:val="Prrafodelista"/>
        <w:numPr>
          <w:ilvl w:val="0"/>
          <w:numId w:val="13"/>
        </w:numPr>
        <w:spacing w:before="120" w:after="120"/>
        <w:ind w:left="0" w:firstLine="0"/>
        <w:jc w:val="both"/>
        <w:rPr>
          <w:rFonts w:ascii="Verdana" w:hAnsi="Verdana"/>
          <w:sz w:val="20"/>
          <w:lang w:val="es-MX"/>
        </w:rPr>
      </w:pPr>
      <w:r>
        <w:rPr>
          <w:rFonts w:ascii="Verdana" w:hAnsi="Verdana"/>
          <w:sz w:val="20"/>
        </w:rPr>
        <w:t>Continuar s</w:t>
      </w:r>
      <w:r w:rsidR="005123D1" w:rsidRPr="00C75200">
        <w:rPr>
          <w:rFonts w:ascii="Verdana" w:hAnsi="Verdana"/>
          <w:sz w:val="20"/>
        </w:rPr>
        <w:t>upervisa</w:t>
      </w:r>
      <w:r>
        <w:rPr>
          <w:rFonts w:ascii="Verdana" w:hAnsi="Verdana"/>
          <w:sz w:val="20"/>
        </w:rPr>
        <w:t>ndo</w:t>
      </w:r>
      <w:r w:rsidR="005123D1" w:rsidRPr="00C75200">
        <w:rPr>
          <w:rFonts w:ascii="Verdana" w:hAnsi="Verdana"/>
          <w:sz w:val="20"/>
        </w:rPr>
        <w:t xml:space="preserve"> de manera conjunta, a través de la supervisión de cumplimiento de la medida de reparación sobre atención médica y psicológica ordenada en nueve casos colombianos, la obligación estatal de brindar el tratamiento adecuado que requieran los familiares de las víctimas (</w:t>
      </w:r>
      <w:r w:rsidR="005123D1" w:rsidRPr="00C75200">
        <w:rPr>
          <w:rFonts w:ascii="Verdana" w:hAnsi="Verdana"/>
          <w:i/>
          <w:iCs/>
          <w:sz w:val="20"/>
        </w:rPr>
        <w:t>punto resolutivo décimo sexto de la Sentencia</w:t>
      </w:r>
      <w:r w:rsidR="005123D1" w:rsidRPr="00C75200">
        <w:rPr>
          <w:rFonts w:ascii="Verdana" w:hAnsi="Verdana"/>
          <w:sz w:val="20"/>
        </w:rPr>
        <w:t>).</w:t>
      </w:r>
    </w:p>
    <w:p w14:paraId="2C5A3CD2" w14:textId="107E7F3B" w:rsidR="00FF6A95" w:rsidRDefault="00FF6A95" w:rsidP="00C75200">
      <w:pPr>
        <w:pStyle w:val="Prrafodelista"/>
        <w:numPr>
          <w:ilvl w:val="0"/>
          <w:numId w:val="13"/>
        </w:numPr>
        <w:spacing w:before="120" w:after="120"/>
        <w:ind w:left="0" w:firstLine="0"/>
        <w:jc w:val="both"/>
        <w:rPr>
          <w:rFonts w:ascii="Verdana" w:hAnsi="Verdana"/>
          <w:sz w:val="20"/>
          <w:lang w:val="es-MX"/>
        </w:rPr>
      </w:pPr>
      <w:r w:rsidRPr="00FF6A95">
        <w:rPr>
          <w:rFonts w:ascii="Verdana" w:hAnsi="Verdana"/>
          <w:sz w:val="20"/>
          <w:lang w:val="es-MX"/>
        </w:rPr>
        <w:t>Disponer que el Estado adopte, en definitiva y a la mayor brevedad, las medidas que sean necesarias para dar efectivo y pronto cumplimiento a las reparaciones indicada</w:t>
      </w:r>
      <w:r>
        <w:rPr>
          <w:rFonts w:ascii="Verdana" w:hAnsi="Verdana"/>
          <w:sz w:val="20"/>
          <w:lang w:val="es-MX"/>
        </w:rPr>
        <w:t xml:space="preserve">s en el punto resolutivo </w:t>
      </w:r>
      <w:r w:rsidR="00587659">
        <w:rPr>
          <w:rFonts w:ascii="Verdana" w:hAnsi="Verdana"/>
          <w:sz w:val="20"/>
          <w:lang w:val="es-MX"/>
        </w:rPr>
        <w:t>segundo de esta Resolución</w:t>
      </w:r>
      <w:r>
        <w:rPr>
          <w:rFonts w:ascii="Verdana" w:hAnsi="Verdana"/>
          <w:sz w:val="20"/>
          <w:lang w:val="es-MX"/>
        </w:rPr>
        <w:t xml:space="preserve">, </w:t>
      </w:r>
      <w:r w:rsidRPr="00FF6A95">
        <w:rPr>
          <w:rFonts w:ascii="Verdana" w:hAnsi="Verdana"/>
          <w:sz w:val="20"/>
          <w:lang w:val="es-MX"/>
        </w:rPr>
        <w:t xml:space="preserve">de acuerdo con lo estipulado en </w:t>
      </w:r>
      <w:r w:rsidR="00D27B6B">
        <w:rPr>
          <w:rFonts w:ascii="Verdana" w:hAnsi="Verdana"/>
          <w:sz w:val="20"/>
          <w:lang w:val="es-MX"/>
        </w:rPr>
        <w:t xml:space="preserve">la Sentencia y en </w:t>
      </w:r>
      <w:r w:rsidRPr="00FF6A95">
        <w:rPr>
          <w:rFonts w:ascii="Verdana" w:hAnsi="Verdana"/>
          <w:sz w:val="20"/>
          <w:lang w:val="es-MX"/>
        </w:rPr>
        <w:t>el artículo 68.1 de la Convención Americ</w:t>
      </w:r>
      <w:r>
        <w:rPr>
          <w:rFonts w:ascii="Verdana" w:hAnsi="Verdana"/>
          <w:sz w:val="20"/>
          <w:lang w:val="es-MX"/>
        </w:rPr>
        <w:t>ana sobre Derechos Humanos.</w:t>
      </w:r>
    </w:p>
    <w:p w14:paraId="3E5DE4A2" w14:textId="6071B848" w:rsidR="00EC7D04" w:rsidRDefault="00FF6A95" w:rsidP="00F5285D">
      <w:pPr>
        <w:pStyle w:val="Prrafodelista"/>
        <w:numPr>
          <w:ilvl w:val="0"/>
          <w:numId w:val="13"/>
        </w:numPr>
        <w:spacing w:before="120" w:after="120"/>
        <w:ind w:left="0" w:firstLine="0"/>
        <w:jc w:val="both"/>
        <w:rPr>
          <w:rFonts w:ascii="Verdana" w:hAnsi="Verdana"/>
          <w:sz w:val="20"/>
          <w:lang w:val="es-MX"/>
        </w:rPr>
      </w:pPr>
      <w:r w:rsidRPr="00FF6A95">
        <w:rPr>
          <w:rFonts w:ascii="Verdana" w:hAnsi="Verdana"/>
          <w:sz w:val="20"/>
          <w:lang w:val="es-MX"/>
        </w:rPr>
        <w:t>Disponer que la Secretaría de la Corte notifique la presente Resolución al Estado, a los representantes de las víctimas y a la Comisión Interamericana de Derechos Humanos.</w:t>
      </w:r>
    </w:p>
    <w:p w14:paraId="05B79CBE" w14:textId="77777777" w:rsidR="00EC7D04" w:rsidRDefault="00EC7D04">
      <w:pPr>
        <w:spacing w:after="160" w:line="259" w:lineRule="auto"/>
        <w:rPr>
          <w:rFonts w:ascii="Verdana" w:hAnsi="Verdana"/>
          <w:sz w:val="20"/>
          <w:lang w:val="es-MX"/>
        </w:rPr>
      </w:pPr>
      <w:r>
        <w:rPr>
          <w:rFonts w:ascii="Verdana" w:hAnsi="Verdana"/>
          <w:sz w:val="20"/>
          <w:lang w:val="es-MX"/>
        </w:rPr>
        <w:br w:type="page"/>
      </w:r>
    </w:p>
    <w:p w14:paraId="655484CC" w14:textId="77777777" w:rsidR="00EC7D04" w:rsidRDefault="00EC7D04" w:rsidP="00EC7D04">
      <w:pPr>
        <w:jc w:val="both"/>
        <w:rPr>
          <w:rFonts w:ascii="Verdana" w:hAnsi="Verdana"/>
          <w:sz w:val="20"/>
          <w:lang w:val="es-ES"/>
        </w:rPr>
      </w:pPr>
      <w:r>
        <w:rPr>
          <w:rFonts w:ascii="Verdana" w:hAnsi="Verdana"/>
          <w:sz w:val="20"/>
          <w:lang w:val="pt-BR"/>
        </w:rPr>
        <w:lastRenderedPageBreak/>
        <w:t xml:space="preserve">Corte IDH. </w:t>
      </w:r>
      <w:r>
        <w:rPr>
          <w:rFonts w:ascii="Verdana" w:hAnsi="Verdana"/>
          <w:i/>
          <w:iCs/>
          <w:sz w:val="20"/>
          <w:lang w:val="pt-BR"/>
        </w:rPr>
        <w:t>Caso</w:t>
      </w:r>
      <w:r>
        <w:rPr>
          <w:rFonts w:ascii="Verdana" w:hAnsi="Verdana"/>
          <w:sz w:val="20"/>
          <w:lang w:val="pt-BR"/>
        </w:rPr>
        <w:t xml:space="preserve"> </w:t>
      </w:r>
      <w:proofErr w:type="spellStart"/>
      <w:r>
        <w:rPr>
          <w:rFonts w:ascii="Verdana" w:hAnsi="Verdana"/>
          <w:i/>
          <w:sz w:val="20"/>
          <w:lang w:val="pt-BR"/>
        </w:rPr>
        <w:t>Masacre</w:t>
      </w:r>
      <w:proofErr w:type="spellEnd"/>
      <w:r>
        <w:rPr>
          <w:rFonts w:ascii="Verdana" w:hAnsi="Verdana"/>
          <w:i/>
          <w:sz w:val="20"/>
          <w:lang w:val="pt-BR"/>
        </w:rPr>
        <w:t xml:space="preserve"> de </w:t>
      </w:r>
      <w:proofErr w:type="spellStart"/>
      <w:r>
        <w:rPr>
          <w:rFonts w:ascii="Verdana" w:hAnsi="Verdana"/>
          <w:i/>
          <w:sz w:val="20"/>
          <w:lang w:val="pt-BR"/>
        </w:rPr>
        <w:t>Ituango</w:t>
      </w:r>
      <w:proofErr w:type="spellEnd"/>
      <w:r>
        <w:rPr>
          <w:rFonts w:ascii="Verdana" w:hAnsi="Verdana"/>
          <w:i/>
          <w:sz w:val="20"/>
          <w:lang w:val="pt-BR"/>
        </w:rPr>
        <w:t xml:space="preserve"> Vs. </w:t>
      </w:r>
      <w:r>
        <w:rPr>
          <w:rFonts w:ascii="Verdana" w:hAnsi="Verdana"/>
          <w:i/>
          <w:sz w:val="20"/>
          <w:lang w:val="es-CR"/>
        </w:rPr>
        <w:t xml:space="preserve">Colombia. </w:t>
      </w:r>
      <w:r>
        <w:rPr>
          <w:rFonts w:ascii="Verdana" w:hAnsi="Verdana"/>
          <w:iCs/>
          <w:sz w:val="20"/>
          <w:lang w:val="es-CR"/>
        </w:rPr>
        <w:t>Supervisión de Cumplimiento de Sentencia</w:t>
      </w:r>
      <w:r>
        <w:rPr>
          <w:rFonts w:ascii="Verdana" w:hAnsi="Verdana"/>
          <w:sz w:val="20"/>
          <w:lang w:val="es-ES"/>
        </w:rPr>
        <w:t xml:space="preserve">. </w:t>
      </w:r>
      <w:r>
        <w:rPr>
          <w:rFonts w:ascii="Verdana" w:hAnsi="Verdana"/>
          <w:iCs/>
          <w:sz w:val="20"/>
          <w:lang w:val="es-CR"/>
        </w:rPr>
        <w:t xml:space="preserve">Resolución de la Corte Interamericana de Derechos Humanos </w:t>
      </w:r>
      <w:r>
        <w:rPr>
          <w:rFonts w:ascii="Verdana" w:hAnsi="Verdana"/>
          <w:sz w:val="20"/>
          <w:lang w:val="es-ES"/>
        </w:rPr>
        <w:t xml:space="preserve">de 30 agosto de 2023. </w:t>
      </w:r>
      <w:r>
        <w:rPr>
          <w:rFonts w:ascii="Verdana" w:hAnsi="Verdana"/>
          <w:iCs/>
          <w:sz w:val="20"/>
          <w:lang w:val="es-CR"/>
        </w:rPr>
        <w:t>Resolución adoptada en San José de Costa Rica.</w:t>
      </w:r>
    </w:p>
    <w:p w14:paraId="767764F7" w14:textId="77777777" w:rsidR="00EC7D04" w:rsidRDefault="00EC7D04" w:rsidP="00EC7D04">
      <w:pPr>
        <w:jc w:val="center"/>
        <w:rPr>
          <w:rFonts w:ascii="Verdana" w:hAnsi="Verdana"/>
          <w:sz w:val="20"/>
          <w:lang w:val="es-ES"/>
        </w:rPr>
      </w:pPr>
    </w:p>
    <w:p w14:paraId="5D695648" w14:textId="77777777" w:rsidR="00EC7D04" w:rsidRDefault="00EC7D04" w:rsidP="00EC7D04">
      <w:pPr>
        <w:jc w:val="center"/>
        <w:rPr>
          <w:rFonts w:ascii="Verdana" w:hAnsi="Verdana"/>
          <w:sz w:val="20"/>
          <w:lang w:val="es-ES"/>
        </w:rPr>
      </w:pPr>
    </w:p>
    <w:p w14:paraId="2D20006B" w14:textId="77777777" w:rsidR="00EC7D04" w:rsidRDefault="00EC7D04" w:rsidP="00EC7D04">
      <w:pPr>
        <w:jc w:val="center"/>
        <w:rPr>
          <w:rFonts w:ascii="Verdana" w:hAnsi="Verdana"/>
          <w:sz w:val="20"/>
          <w:lang w:val="es-ES"/>
        </w:rPr>
      </w:pPr>
    </w:p>
    <w:p w14:paraId="3FBCD0CD" w14:textId="77777777" w:rsidR="00EC7D04" w:rsidRDefault="00EC7D04" w:rsidP="00EC7D04">
      <w:pPr>
        <w:jc w:val="center"/>
        <w:rPr>
          <w:rFonts w:ascii="Verdana" w:hAnsi="Verdana"/>
          <w:sz w:val="20"/>
          <w:lang w:val="es-ES"/>
        </w:rPr>
      </w:pPr>
    </w:p>
    <w:p w14:paraId="49A330B3" w14:textId="77777777" w:rsidR="00EC7D04" w:rsidRDefault="00EC7D04" w:rsidP="00EC7D04">
      <w:pPr>
        <w:jc w:val="center"/>
        <w:rPr>
          <w:rFonts w:ascii="Verdana" w:hAnsi="Verdana"/>
          <w:sz w:val="20"/>
          <w:lang w:val="es-ES"/>
        </w:rPr>
      </w:pPr>
    </w:p>
    <w:p w14:paraId="14900FE8" w14:textId="77777777" w:rsidR="00EC7D04" w:rsidRDefault="00EC7D04" w:rsidP="00EC7D04">
      <w:pPr>
        <w:jc w:val="center"/>
        <w:rPr>
          <w:rFonts w:ascii="Verdana" w:hAnsi="Verdana"/>
          <w:sz w:val="20"/>
          <w:lang w:val="es-CR"/>
        </w:rPr>
      </w:pPr>
      <w:r>
        <w:rPr>
          <w:rFonts w:ascii="Verdana" w:hAnsi="Verdana"/>
          <w:sz w:val="20"/>
          <w:lang w:val="es-CR"/>
        </w:rPr>
        <w:t>Ricardo C. Pérez Manrique</w:t>
      </w:r>
    </w:p>
    <w:p w14:paraId="75BEF8B1" w14:textId="77777777" w:rsidR="00EC7D04" w:rsidRDefault="00EC7D04" w:rsidP="00EC7D04">
      <w:pPr>
        <w:jc w:val="center"/>
        <w:rPr>
          <w:rFonts w:ascii="Verdana" w:hAnsi="Verdana"/>
          <w:sz w:val="20"/>
          <w:lang w:val="pt-BR"/>
        </w:rPr>
      </w:pPr>
      <w:r>
        <w:rPr>
          <w:rFonts w:ascii="Verdana" w:hAnsi="Verdana"/>
          <w:sz w:val="20"/>
          <w:lang w:val="pt-BR"/>
        </w:rPr>
        <w:t>Presidente</w:t>
      </w:r>
    </w:p>
    <w:p w14:paraId="3A578E18" w14:textId="77777777" w:rsidR="00EC7D04" w:rsidRDefault="00EC7D04" w:rsidP="00EC7D04">
      <w:pPr>
        <w:jc w:val="center"/>
        <w:rPr>
          <w:rFonts w:ascii="Verdana" w:hAnsi="Verdana"/>
          <w:sz w:val="20"/>
          <w:lang w:val="pt-BR"/>
        </w:rPr>
      </w:pPr>
    </w:p>
    <w:p w14:paraId="4BF308DB" w14:textId="77777777" w:rsidR="00EC7D04" w:rsidRDefault="00EC7D04" w:rsidP="00EC7D04">
      <w:pPr>
        <w:rPr>
          <w:rFonts w:ascii="Verdana" w:hAnsi="Verdana"/>
          <w:sz w:val="20"/>
          <w:lang w:val="pt-BR"/>
        </w:rPr>
      </w:pPr>
    </w:p>
    <w:p w14:paraId="45A7A71B" w14:textId="77777777" w:rsidR="00EC7D04" w:rsidRDefault="00EC7D04" w:rsidP="00EC7D04">
      <w:pPr>
        <w:rPr>
          <w:rFonts w:ascii="Verdana" w:hAnsi="Verdana"/>
          <w:sz w:val="20"/>
          <w:lang w:val="pt-BR"/>
        </w:rPr>
      </w:pPr>
    </w:p>
    <w:p w14:paraId="4BC27FB7" w14:textId="77777777" w:rsidR="00EC7D04" w:rsidRDefault="00EC7D04" w:rsidP="00EC7D04">
      <w:pPr>
        <w:rPr>
          <w:rFonts w:ascii="Verdana" w:hAnsi="Verdana"/>
          <w:sz w:val="20"/>
          <w:lang w:val="pt-BR"/>
        </w:rPr>
      </w:pPr>
    </w:p>
    <w:p w14:paraId="7FAA5F33" w14:textId="77777777" w:rsidR="00EC7D04" w:rsidRDefault="00EC7D04" w:rsidP="00EC7D04">
      <w:pPr>
        <w:rPr>
          <w:rFonts w:ascii="Verdana" w:hAnsi="Verdana"/>
          <w:sz w:val="20"/>
          <w:lang w:val="pt-BR"/>
        </w:rPr>
      </w:pPr>
    </w:p>
    <w:p w14:paraId="461331EB" w14:textId="77777777" w:rsidR="00EC7D04" w:rsidRDefault="00EC7D04" w:rsidP="00EC7D04">
      <w:pPr>
        <w:rPr>
          <w:rFonts w:ascii="Verdana" w:hAnsi="Verdana"/>
          <w:sz w:val="20"/>
          <w:lang w:val="pt-BR"/>
        </w:rPr>
      </w:pPr>
      <w:r>
        <w:rPr>
          <w:rFonts w:ascii="Verdana" w:hAnsi="Verdana"/>
          <w:sz w:val="20"/>
          <w:lang w:val="pt-BR"/>
        </w:rPr>
        <w:t xml:space="preserve">Eduardo Ferrer </w:t>
      </w:r>
      <w:proofErr w:type="spellStart"/>
      <w:r>
        <w:rPr>
          <w:rFonts w:ascii="Verdana" w:hAnsi="Verdana"/>
          <w:sz w:val="20"/>
          <w:lang w:val="pt-BR"/>
        </w:rPr>
        <w:t>Mac-Gregor</w:t>
      </w:r>
      <w:proofErr w:type="spellEnd"/>
      <w:r>
        <w:rPr>
          <w:rFonts w:ascii="Verdana" w:hAnsi="Verdana"/>
          <w:sz w:val="20"/>
          <w:lang w:val="pt-BR"/>
        </w:rPr>
        <w:t xml:space="preserve"> Poisot                                   </w:t>
      </w:r>
      <w:r>
        <w:rPr>
          <w:rFonts w:ascii="Verdana" w:hAnsi="Verdana"/>
          <w:sz w:val="20"/>
          <w:lang w:val="pt-BR"/>
        </w:rPr>
        <w:tab/>
        <w:t xml:space="preserve">Nancy Hernández López                                                                    </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p>
    <w:p w14:paraId="696EF117" w14:textId="77777777" w:rsidR="00EC7D04" w:rsidRDefault="00EC7D04" w:rsidP="00EC7D04">
      <w:pPr>
        <w:rPr>
          <w:rFonts w:ascii="Verdana" w:hAnsi="Verdana"/>
          <w:sz w:val="20"/>
          <w:lang w:val="pt-BR"/>
        </w:rPr>
      </w:pPr>
    </w:p>
    <w:p w14:paraId="6023EEB3" w14:textId="77777777" w:rsidR="00EC7D04" w:rsidRDefault="00EC7D04" w:rsidP="00EC7D04">
      <w:pPr>
        <w:rPr>
          <w:rFonts w:ascii="Verdana" w:hAnsi="Verdana"/>
          <w:sz w:val="20"/>
          <w:lang w:val="pt-BR"/>
        </w:rPr>
      </w:pPr>
    </w:p>
    <w:p w14:paraId="5D891FB8" w14:textId="77777777" w:rsidR="00EC7D04" w:rsidRDefault="00EC7D04" w:rsidP="00EC7D04">
      <w:pPr>
        <w:rPr>
          <w:rFonts w:ascii="Verdana" w:hAnsi="Verdana"/>
          <w:sz w:val="20"/>
          <w:lang w:val="pt-BR"/>
        </w:rPr>
      </w:pPr>
    </w:p>
    <w:p w14:paraId="7092B5C0" w14:textId="77777777" w:rsidR="00EC7D04" w:rsidRDefault="00EC7D04" w:rsidP="00EC7D04">
      <w:pPr>
        <w:rPr>
          <w:rFonts w:ascii="Verdana" w:hAnsi="Verdana"/>
          <w:sz w:val="20"/>
          <w:lang w:val="pt-BR"/>
        </w:rPr>
      </w:pPr>
    </w:p>
    <w:p w14:paraId="475373C5" w14:textId="77777777" w:rsidR="00EC7D04" w:rsidRDefault="00EC7D04" w:rsidP="00EC7D04">
      <w:pPr>
        <w:rPr>
          <w:rFonts w:ascii="Verdana" w:hAnsi="Verdana"/>
          <w:sz w:val="20"/>
          <w:lang w:val="pt-BR"/>
        </w:rPr>
      </w:pPr>
    </w:p>
    <w:p w14:paraId="678D317E" w14:textId="77777777" w:rsidR="00EC7D04" w:rsidRDefault="00EC7D04" w:rsidP="00EC7D04">
      <w:pPr>
        <w:rPr>
          <w:rFonts w:ascii="Verdana" w:hAnsi="Verdana"/>
          <w:sz w:val="20"/>
          <w:lang w:val="pt-BR"/>
        </w:rPr>
      </w:pPr>
    </w:p>
    <w:p w14:paraId="2EB0A250" w14:textId="6BF43446" w:rsidR="00EC7D04" w:rsidRDefault="00EC7D04" w:rsidP="00EC7D04">
      <w:pPr>
        <w:rPr>
          <w:rFonts w:ascii="Verdana" w:hAnsi="Verdana"/>
          <w:sz w:val="20"/>
          <w:lang w:val="pt-BR"/>
        </w:rPr>
      </w:pPr>
      <w:r>
        <w:rPr>
          <w:rFonts w:ascii="Verdana" w:hAnsi="Verdana"/>
          <w:sz w:val="20"/>
          <w:lang w:val="pt-BR"/>
        </w:rPr>
        <w:t xml:space="preserve"> </w:t>
      </w:r>
      <w:proofErr w:type="spellStart"/>
      <w:r>
        <w:rPr>
          <w:rFonts w:ascii="Verdana" w:hAnsi="Verdana"/>
          <w:sz w:val="20"/>
          <w:lang w:val="pt-BR"/>
        </w:rPr>
        <w:t>Patricia</w:t>
      </w:r>
      <w:proofErr w:type="spellEnd"/>
      <w:r>
        <w:rPr>
          <w:rFonts w:ascii="Verdana" w:hAnsi="Verdana"/>
          <w:sz w:val="20"/>
          <w:lang w:val="pt-BR"/>
        </w:rPr>
        <w:t xml:space="preserve"> Pérez Goldberg                                                     </w:t>
      </w:r>
      <w:r>
        <w:rPr>
          <w:rFonts w:ascii="Verdana" w:hAnsi="Verdana"/>
          <w:sz w:val="20"/>
          <w:lang w:val="pt-BR"/>
        </w:rPr>
        <w:tab/>
        <w:t xml:space="preserve"> </w:t>
      </w:r>
      <w:r w:rsidRPr="00EC7D04">
        <w:rPr>
          <w:rFonts w:ascii="Verdana" w:hAnsi="Verdana" w:cs="Arial"/>
          <w:color w:val="212529"/>
          <w:sz w:val="20"/>
          <w:lang w:val="pt-BR"/>
        </w:rPr>
        <w:t xml:space="preserve">Rodrigo </w:t>
      </w:r>
      <w:proofErr w:type="spellStart"/>
      <w:r w:rsidRPr="00EC7D04">
        <w:rPr>
          <w:rFonts w:ascii="Verdana" w:hAnsi="Verdana" w:cs="Arial"/>
          <w:color w:val="212529"/>
          <w:sz w:val="20"/>
          <w:lang w:val="pt-BR"/>
        </w:rPr>
        <w:t>Mudrovitsch</w:t>
      </w:r>
      <w:proofErr w:type="spellEnd"/>
    </w:p>
    <w:p w14:paraId="494FB459" w14:textId="77777777" w:rsidR="00EC7D04" w:rsidRDefault="00EC7D04" w:rsidP="00EC7D04">
      <w:pPr>
        <w:rPr>
          <w:rFonts w:ascii="Verdana" w:hAnsi="Verdana"/>
          <w:sz w:val="20"/>
          <w:lang w:val="pt-BR"/>
        </w:rPr>
      </w:pPr>
    </w:p>
    <w:p w14:paraId="11C699A5" w14:textId="77777777" w:rsidR="00EC7D04" w:rsidRDefault="00EC7D04" w:rsidP="00EC7D04">
      <w:pPr>
        <w:rPr>
          <w:rFonts w:ascii="Verdana" w:hAnsi="Verdana"/>
          <w:sz w:val="20"/>
          <w:lang w:val="pt-BR"/>
        </w:rPr>
      </w:pPr>
    </w:p>
    <w:p w14:paraId="0B010438" w14:textId="77777777" w:rsidR="00EC7D04" w:rsidRDefault="00EC7D04" w:rsidP="00EC7D04">
      <w:pPr>
        <w:rPr>
          <w:rFonts w:ascii="Verdana" w:hAnsi="Verdana"/>
          <w:sz w:val="20"/>
          <w:lang w:val="pt-BR"/>
        </w:rPr>
      </w:pPr>
    </w:p>
    <w:p w14:paraId="410B9170" w14:textId="77777777" w:rsidR="00EC7D04" w:rsidRDefault="00EC7D04" w:rsidP="00EC7D04">
      <w:pPr>
        <w:rPr>
          <w:rFonts w:ascii="Verdana" w:hAnsi="Verdana"/>
          <w:sz w:val="20"/>
          <w:lang w:val="pt-BR"/>
        </w:rPr>
      </w:pPr>
    </w:p>
    <w:p w14:paraId="73D75F42" w14:textId="77777777" w:rsidR="00EC7D04" w:rsidRDefault="00EC7D04" w:rsidP="00EC7D04">
      <w:pPr>
        <w:rPr>
          <w:rFonts w:ascii="Verdana" w:hAnsi="Verdana"/>
          <w:sz w:val="20"/>
          <w:lang w:val="pt-BR"/>
        </w:rPr>
      </w:pPr>
    </w:p>
    <w:p w14:paraId="286E648F" w14:textId="77777777" w:rsidR="00EC7D04" w:rsidRDefault="00EC7D04" w:rsidP="00EC7D04">
      <w:pPr>
        <w:rPr>
          <w:rFonts w:ascii="Verdana" w:hAnsi="Verdana" w:cs="Arial"/>
          <w:color w:val="212529"/>
          <w:sz w:val="20"/>
          <w:lang w:val="en-US"/>
        </w:rPr>
      </w:pPr>
    </w:p>
    <w:p w14:paraId="2E1485E9" w14:textId="77777777" w:rsidR="00EC7D04" w:rsidRDefault="00EC7D04" w:rsidP="00EC7D04">
      <w:pPr>
        <w:rPr>
          <w:rFonts w:ascii="Verdana" w:hAnsi="Verdana"/>
          <w:sz w:val="20"/>
          <w:lang w:val="pt-BR"/>
        </w:rPr>
      </w:pPr>
      <w:r w:rsidRPr="00EC7D04">
        <w:rPr>
          <w:rFonts w:ascii="Verdana" w:hAnsi="Verdana" w:cs="Arial"/>
          <w:color w:val="212529"/>
          <w:sz w:val="20"/>
          <w:lang w:val="pt-BR"/>
        </w:rPr>
        <w:t xml:space="preserve">                                             </w:t>
      </w:r>
    </w:p>
    <w:p w14:paraId="64620BD1" w14:textId="77777777" w:rsidR="00EC7D04" w:rsidRDefault="00EC7D04" w:rsidP="00EC7D04">
      <w:pPr>
        <w:jc w:val="both"/>
        <w:rPr>
          <w:rFonts w:ascii="Verdana" w:hAnsi="Verdana"/>
          <w:sz w:val="20"/>
          <w:lang w:val="pt-BR"/>
        </w:rPr>
      </w:pPr>
    </w:p>
    <w:p w14:paraId="206C3867" w14:textId="77777777" w:rsidR="00EC7D04" w:rsidRDefault="00EC7D04" w:rsidP="00EC7D04">
      <w:pPr>
        <w:jc w:val="both"/>
        <w:rPr>
          <w:rFonts w:ascii="Verdana" w:hAnsi="Verdana"/>
          <w:sz w:val="20"/>
          <w:lang w:val="pt-BR"/>
        </w:rPr>
      </w:pPr>
    </w:p>
    <w:p w14:paraId="72BC9B56" w14:textId="77777777" w:rsidR="00EC7D04" w:rsidRDefault="00EC7D04" w:rsidP="00EC7D04">
      <w:pPr>
        <w:jc w:val="both"/>
        <w:rPr>
          <w:rFonts w:ascii="Verdana" w:hAnsi="Verdana"/>
          <w:sz w:val="20"/>
          <w:lang w:val="pt-BR"/>
        </w:rPr>
      </w:pPr>
    </w:p>
    <w:p w14:paraId="48A01CDD" w14:textId="77777777" w:rsidR="00EC7D04" w:rsidRDefault="00EC7D04" w:rsidP="00EC7D04">
      <w:pPr>
        <w:jc w:val="both"/>
        <w:rPr>
          <w:rFonts w:ascii="Verdana" w:hAnsi="Verdana"/>
          <w:sz w:val="20"/>
          <w:lang w:val="pt-BR"/>
        </w:rPr>
      </w:pPr>
    </w:p>
    <w:p w14:paraId="41803668" w14:textId="77777777" w:rsidR="00EC7D04" w:rsidRDefault="00EC7D04" w:rsidP="00EC7D04">
      <w:pPr>
        <w:jc w:val="center"/>
        <w:rPr>
          <w:rFonts w:ascii="Verdana" w:hAnsi="Verdana"/>
          <w:sz w:val="20"/>
          <w:lang w:val="pt-BR"/>
        </w:rPr>
      </w:pPr>
      <w:r>
        <w:rPr>
          <w:rFonts w:ascii="Verdana" w:hAnsi="Verdana"/>
          <w:sz w:val="20"/>
          <w:lang w:val="pt-BR"/>
        </w:rPr>
        <w:t xml:space="preserve">Romina I. </w:t>
      </w:r>
      <w:proofErr w:type="spellStart"/>
      <w:r>
        <w:rPr>
          <w:rFonts w:ascii="Verdana" w:hAnsi="Verdana"/>
          <w:sz w:val="20"/>
          <w:lang w:val="pt-BR"/>
        </w:rPr>
        <w:t>Sijniensky</w:t>
      </w:r>
      <w:proofErr w:type="spellEnd"/>
    </w:p>
    <w:p w14:paraId="6EB411BD" w14:textId="77777777" w:rsidR="00EC7D04" w:rsidRPr="00EC7D04" w:rsidRDefault="00EC7D04" w:rsidP="00EC7D04">
      <w:pPr>
        <w:jc w:val="center"/>
        <w:rPr>
          <w:rFonts w:ascii="Verdana" w:hAnsi="Verdana"/>
          <w:sz w:val="20"/>
          <w:lang w:val="pt-BR"/>
        </w:rPr>
      </w:pPr>
      <w:r w:rsidRPr="00EC7D04">
        <w:rPr>
          <w:rFonts w:ascii="Verdana" w:hAnsi="Verdana"/>
          <w:sz w:val="20"/>
          <w:lang w:val="pt-BR"/>
        </w:rPr>
        <w:t xml:space="preserve">Secretaria Adjunta </w:t>
      </w:r>
    </w:p>
    <w:p w14:paraId="0D197753" w14:textId="77777777" w:rsidR="00EC7D04" w:rsidRPr="00EC7D04" w:rsidRDefault="00EC7D04" w:rsidP="00EC7D04">
      <w:pPr>
        <w:pStyle w:val="Textonotapie"/>
        <w:rPr>
          <w:rFonts w:ascii="Verdana" w:hAnsi="Verdana"/>
          <w:sz w:val="20"/>
          <w:lang w:val="pt-BR"/>
        </w:rPr>
      </w:pPr>
    </w:p>
    <w:p w14:paraId="250361C7" w14:textId="77777777" w:rsidR="00EC7D04" w:rsidRPr="00EC7D04" w:rsidRDefault="00EC7D04" w:rsidP="00EC7D04">
      <w:pPr>
        <w:pStyle w:val="Textonotapie"/>
        <w:rPr>
          <w:rFonts w:ascii="Verdana" w:hAnsi="Verdana"/>
          <w:lang w:val="pt-BR"/>
        </w:rPr>
      </w:pPr>
    </w:p>
    <w:p w14:paraId="0DCAD2BB" w14:textId="77777777" w:rsidR="00EC7D04" w:rsidRPr="00EC7D04" w:rsidRDefault="00EC7D04" w:rsidP="00EC7D04">
      <w:pPr>
        <w:jc w:val="both"/>
        <w:rPr>
          <w:rFonts w:ascii="Verdana" w:hAnsi="Verdana"/>
          <w:sz w:val="20"/>
          <w:lang w:val="pt-BR"/>
        </w:rPr>
      </w:pPr>
      <w:proofErr w:type="spellStart"/>
      <w:r w:rsidRPr="00EC7D04">
        <w:rPr>
          <w:rFonts w:ascii="Verdana" w:hAnsi="Verdana"/>
          <w:sz w:val="20"/>
          <w:lang w:val="pt-BR"/>
        </w:rPr>
        <w:t>Comuníquese</w:t>
      </w:r>
      <w:proofErr w:type="spellEnd"/>
      <w:r w:rsidRPr="00EC7D04">
        <w:rPr>
          <w:rFonts w:ascii="Verdana" w:hAnsi="Verdana"/>
          <w:sz w:val="20"/>
          <w:lang w:val="pt-BR"/>
        </w:rPr>
        <w:t xml:space="preserve"> y </w:t>
      </w:r>
      <w:proofErr w:type="spellStart"/>
      <w:r w:rsidRPr="00EC7D04">
        <w:rPr>
          <w:rFonts w:ascii="Verdana" w:hAnsi="Verdana"/>
          <w:sz w:val="20"/>
          <w:lang w:val="pt-BR"/>
        </w:rPr>
        <w:t>ejecútese</w:t>
      </w:r>
      <w:proofErr w:type="spellEnd"/>
      <w:r w:rsidRPr="00EC7D04">
        <w:rPr>
          <w:rFonts w:ascii="Verdana" w:hAnsi="Verdana"/>
          <w:sz w:val="20"/>
          <w:lang w:val="pt-BR"/>
        </w:rPr>
        <w:t>,</w:t>
      </w:r>
    </w:p>
    <w:p w14:paraId="390315B1" w14:textId="77777777" w:rsidR="00EC7D04" w:rsidRPr="00EC7D04" w:rsidRDefault="00EC7D04" w:rsidP="00EC7D04">
      <w:pPr>
        <w:rPr>
          <w:rFonts w:ascii="Verdana" w:hAnsi="Verdana"/>
          <w:sz w:val="20"/>
          <w:lang w:val="pt-BR"/>
        </w:rPr>
      </w:pPr>
    </w:p>
    <w:p w14:paraId="46640543" w14:textId="77777777" w:rsidR="00EC7D04" w:rsidRPr="00EC7D04" w:rsidRDefault="00EC7D04" w:rsidP="00EC7D04">
      <w:pPr>
        <w:jc w:val="center"/>
        <w:rPr>
          <w:rFonts w:ascii="Verdana" w:hAnsi="Verdana"/>
          <w:sz w:val="20"/>
          <w:lang w:val="pt-BR"/>
        </w:rPr>
      </w:pPr>
    </w:p>
    <w:p w14:paraId="062AACA4" w14:textId="77777777" w:rsidR="00EC7D04" w:rsidRPr="00EC7D04" w:rsidRDefault="00EC7D04" w:rsidP="00EC7D04">
      <w:pPr>
        <w:jc w:val="right"/>
        <w:rPr>
          <w:rFonts w:ascii="Verdana" w:hAnsi="Verdana"/>
          <w:sz w:val="20"/>
          <w:lang w:val="pt-BR"/>
        </w:rPr>
      </w:pPr>
    </w:p>
    <w:p w14:paraId="2E2DC621" w14:textId="107C70CB" w:rsidR="00EC7D04" w:rsidRPr="00EC7D04" w:rsidRDefault="00EC7D04" w:rsidP="00EC7D04">
      <w:pPr>
        <w:jc w:val="center"/>
        <w:rPr>
          <w:rFonts w:ascii="Verdana" w:hAnsi="Verdana"/>
          <w:sz w:val="20"/>
          <w:lang w:val="pt-BR"/>
        </w:rPr>
      </w:pPr>
      <w:r w:rsidRPr="00EC7D04">
        <w:rPr>
          <w:rFonts w:ascii="Verdana" w:hAnsi="Verdana"/>
          <w:sz w:val="20"/>
          <w:lang w:val="pt-BR"/>
        </w:rPr>
        <w:t xml:space="preserve">                                                                                      Ricardo C. Pérez </w:t>
      </w:r>
      <w:proofErr w:type="spellStart"/>
      <w:r w:rsidRPr="00EC7D04">
        <w:rPr>
          <w:rFonts w:ascii="Verdana" w:hAnsi="Verdana"/>
          <w:sz w:val="20"/>
          <w:lang w:val="pt-BR"/>
        </w:rPr>
        <w:t>Manrique</w:t>
      </w:r>
      <w:proofErr w:type="spellEnd"/>
    </w:p>
    <w:p w14:paraId="2D169C75" w14:textId="59D0802A" w:rsidR="00EC7D04" w:rsidRPr="00EC7D04" w:rsidRDefault="00EC7D04" w:rsidP="00EC7D04">
      <w:pPr>
        <w:ind w:left="6480" w:firstLine="720"/>
        <w:rPr>
          <w:rFonts w:ascii="Verdana" w:hAnsi="Verdana"/>
          <w:sz w:val="20"/>
          <w:lang w:val="pt-BR"/>
        </w:rPr>
      </w:pPr>
      <w:r w:rsidRPr="00EC7D04">
        <w:rPr>
          <w:rFonts w:ascii="Verdana" w:hAnsi="Verdana"/>
          <w:sz w:val="20"/>
          <w:lang w:val="pt-BR"/>
        </w:rPr>
        <w:t>Presidente</w:t>
      </w:r>
    </w:p>
    <w:p w14:paraId="577CFE62" w14:textId="77777777" w:rsidR="00EC7D04" w:rsidRPr="00EC7D04" w:rsidRDefault="00EC7D04" w:rsidP="00EC7D04">
      <w:pPr>
        <w:jc w:val="both"/>
        <w:rPr>
          <w:rFonts w:ascii="Verdana" w:hAnsi="Verdana"/>
          <w:sz w:val="20"/>
          <w:lang w:val="pt-BR"/>
        </w:rPr>
      </w:pPr>
    </w:p>
    <w:p w14:paraId="7137D32F" w14:textId="77777777" w:rsidR="00EC7D04" w:rsidRPr="00EC7D04" w:rsidRDefault="00EC7D04" w:rsidP="00EC7D04">
      <w:pPr>
        <w:jc w:val="both"/>
        <w:rPr>
          <w:rFonts w:ascii="Verdana" w:hAnsi="Verdana"/>
          <w:sz w:val="20"/>
          <w:lang w:val="pt-BR"/>
        </w:rPr>
      </w:pPr>
    </w:p>
    <w:p w14:paraId="05ADAD43" w14:textId="77777777" w:rsidR="00EC7D04" w:rsidRPr="00EC7D04" w:rsidRDefault="00EC7D04" w:rsidP="00EC7D04">
      <w:pPr>
        <w:jc w:val="both"/>
        <w:rPr>
          <w:rFonts w:ascii="Verdana" w:hAnsi="Verdana"/>
          <w:sz w:val="20"/>
          <w:lang w:val="pt-BR"/>
        </w:rPr>
      </w:pPr>
    </w:p>
    <w:p w14:paraId="72DC8820" w14:textId="77777777" w:rsidR="00EC7D04" w:rsidRPr="00EC7D04" w:rsidRDefault="00EC7D04" w:rsidP="00EC7D04">
      <w:pPr>
        <w:jc w:val="both"/>
        <w:rPr>
          <w:rFonts w:ascii="Verdana" w:hAnsi="Verdana"/>
          <w:sz w:val="20"/>
          <w:lang w:val="pt-BR"/>
        </w:rPr>
      </w:pPr>
    </w:p>
    <w:p w14:paraId="115F3AF3" w14:textId="77777777" w:rsidR="00EC7D04" w:rsidRDefault="00EC7D04" w:rsidP="00EC7D04">
      <w:pPr>
        <w:rPr>
          <w:rFonts w:ascii="Verdana" w:hAnsi="Verdana"/>
          <w:sz w:val="20"/>
          <w:lang w:val="pt-BR"/>
        </w:rPr>
      </w:pPr>
      <w:r>
        <w:rPr>
          <w:rFonts w:ascii="Verdana" w:hAnsi="Verdana"/>
          <w:sz w:val="20"/>
          <w:lang w:val="pt-BR"/>
        </w:rPr>
        <w:t xml:space="preserve">Romina I. </w:t>
      </w:r>
      <w:proofErr w:type="spellStart"/>
      <w:r>
        <w:rPr>
          <w:rFonts w:ascii="Verdana" w:hAnsi="Verdana"/>
          <w:sz w:val="20"/>
          <w:lang w:val="pt-BR"/>
        </w:rPr>
        <w:t>Sijniensky</w:t>
      </w:r>
      <w:proofErr w:type="spellEnd"/>
    </w:p>
    <w:p w14:paraId="0D65318E" w14:textId="77777777" w:rsidR="00EC7D04" w:rsidRPr="00EC7D04" w:rsidRDefault="00EC7D04" w:rsidP="00EC7D04">
      <w:pPr>
        <w:rPr>
          <w:rFonts w:ascii="Verdana" w:hAnsi="Verdana"/>
          <w:sz w:val="20"/>
          <w:lang w:val="pt-BR"/>
        </w:rPr>
      </w:pPr>
      <w:r w:rsidRPr="00EC7D04">
        <w:rPr>
          <w:rFonts w:ascii="Verdana" w:hAnsi="Verdana"/>
          <w:sz w:val="20"/>
          <w:lang w:val="pt-BR"/>
        </w:rPr>
        <w:t xml:space="preserve">Secretaria Adjunta </w:t>
      </w:r>
    </w:p>
    <w:p w14:paraId="21554CD8" w14:textId="77777777" w:rsidR="00F5285D" w:rsidRPr="00EC7D04" w:rsidRDefault="00F5285D" w:rsidP="00EC7D04">
      <w:pPr>
        <w:pStyle w:val="Prrafodelista"/>
        <w:spacing w:before="120" w:after="120"/>
        <w:ind w:left="0"/>
        <w:jc w:val="both"/>
        <w:rPr>
          <w:rFonts w:ascii="Verdana" w:hAnsi="Verdana"/>
          <w:sz w:val="20"/>
          <w:lang w:val="pt-BR"/>
        </w:rPr>
      </w:pPr>
    </w:p>
    <w:sectPr w:rsidR="00F5285D" w:rsidRPr="00EC7D04" w:rsidSect="00456EB2">
      <w:headerReference w:type="even" r:id="rId8"/>
      <w:footerReference w:type="even" r:id="rId9"/>
      <w:footerReference w:type="default" r:id="rId10"/>
      <w:pgSz w:w="12240" w:h="15840"/>
      <w:pgMar w:top="1417" w:right="1701" w:bottom="1417"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AD225" w14:textId="77777777" w:rsidR="00BB1386" w:rsidRDefault="00BB1386" w:rsidP="00663F56">
      <w:r>
        <w:separator/>
      </w:r>
    </w:p>
  </w:endnote>
  <w:endnote w:type="continuationSeparator" w:id="0">
    <w:p w14:paraId="190A087E" w14:textId="77777777" w:rsidR="00BB1386" w:rsidRDefault="00BB1386" w:rsidP="00663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85191" w14:textId="77777777" w:rsidR="00C6100D" w:rsidRDefault="00C6100D">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858619"/>
      <w:docPartObj>
        <w:docPartGallery w:val="Page Numbers (Bottom of Page)"/>
        <w:docPartUnique/>
      </w:docPartObj>
    </w:sdtPr>
    <w:sdtEndPr>
      <w:rPr>
        <w:rFonts w:ascii="Verdana" w:hAnsi="Verdana"/>
        <w:sz w:val="20"/>
      </w:rPr>
    </w:sdtEndPr>
    <w:sdtContent>
      <w:p w14:paraId="60F3A70F" w14:textId="55F56941" w:rsidR="00C6100D" w:rsidRPr="00E613E2" w:rsidRDefault="00C6100D" w:rsidP="002A0B40">
        <w:pPr>
          <w:pStyle w:val="Piedepgina"/>
          <w:jc w:val="center"/>
          <w:rPr>
            <w:rFonts w:ascii="Verdana" w:hAnsi="Verdana"/>
            <w:sz w:val="20"/>
          </w:rPr>
        </w:pPr>
        <w:r w:rsidRPr="007762F4">
          <w:rPr>
            <w:rFonts w:ascii="Verdana" w:hAnsi="Verdana"/>
            <w:sz w:val="20"/>
          </w:rPr>
          <w:t>-</w:t>
        </w:r>
        <w:r w:rsidRPr="007762F4">
          <w:rPr>
            <w:rFonts w:ascii="Verdana" w:hAnsi="Verdana"/>
            <w:sz w:val="20"/>
          </w:rPr>
          <w:fldChar w:fldCharType="begin"/>
        </w:r>
        <w:r w:rsidRPr="007762F4">
          <w:rPr>
            <w:rFonts w:ascii="Verdana" w:hAnsi="Verdana"/>
            <w:sz w:val="20"/>
          </w:rPr>
          <w:instrText>PAGE   \* MERGEFORMAT</w:instrText>
        </w:r>
        <w:r w:rsidRPr="007762F4">
          <w:rPr>
            <w:rFonts w:ascii="Verdana" w:hAnsi="Verdana"/>
            <w:sz w:val="20"/>
          </w:rPr>
          <w:fldChar w:fldCharType="separate"/>
        </w:r>
        <w:r w:rsidR="009B5C72" w:rsidRPr="009B5C72">
          <w:rPr>
            <w:rFonts w:ascii="Verdana" w:hAnsi="Verdana"/>
            <w:noProof/>
            <w:sz w:val="20"/>
            <w:lang w:val="es-ES"/>
          </w:rPr>
          <w:t>2</w:t>
        </w:r>
        <w:r w:rsidRPr="007762F4">
          <w:rPr>
            <w:rFonts w:ascii="Verdana" w:hAnsi="Verdana"/>
            <w:sz w:val="20"/>
          </w:rPr>
          <w:fldChar w:fldCharType="end"/>
        </w:r>
        <w:r w:rsidRPr="007762F4">
          <w:rPr>
            <w:rFonts w:ascii="Verdana" w:hAnsi="Verdana"/>
            <w:sz w:val="20"/>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2BEEE" w14:textId="77777777" w:rsidR="00BB1386" w:rsidRDefault="00BB1386" w:rsidP="00663F56">
      <w:r>
        <w:separator/>
      </w:r>
    </w:p>
  </w:footnote>
  <w:footnote w:type="continuationSeparator" w:id="0">
    <w:p w14:paraId="390913D5" w14:textId="77777777" w:rsidR="00BB1386" w:rsidRDefault="00BB1386" w:rsidP="00663F56">
      <w:r>
        <w:continuationSeparator/>
      </w:r>
    </w:p>
  </w:footnote>
  <w:footnote w:id="1">
    <w:p w14:paraId="5B110C6F" w14:textId="6F6A9F2A" w:rsidR="00C6100D" w:rsidRDefault="004B7C04" w:rsidP="00A05053">
      <w:pPr>
        <w:jc w:val="both"/>
        <w:rPr>
          <w:rFonts w:ascii="Verdana" w:hAnsi="Verdana"/>
          <w:sz w:val="16"/>
          <w:szCs w:val="16"/>
        </w:rPr>
      </w:pPr>
      <w:r w:rsidRPr="00C75200">
        <w:rPr>
          <w:rFonts w:ascii="Verdana" w:hAnsi="Verdana"/>
          <w:sz w:val="16"/>
          <w:szCs w:val="16"/>
        </w:rPr>
        <w:t xml:space="preserve">* </w:t>
      </w:r>
      <w:r w:rsidRPr="00C75200">
        <w:rPr>
          <w:rFonts w:ascii="Verdana" w:hAnsi="Verdana"/>
          <w:sz w:val="16"/>
          <w:szCs w:val="16"/>
        </w:rPr>
        <w:tab/>
        <w:t>El Juez Humberto Antonio Sierra Porto, de nacionalidad colombiana, no participó en la deliberación y firma de la presente Resolución, de conformidad con lo dispuesto en el artículo 19.1 del Reglamento de la Corte.</w:t>
      </w:r>
    </w:p>
    <w:p w14:paraId="312921BB" w14:textId="7DECBCD7" w:rsidR="00E513C5" w:rsidRPr="00E513C5" w:rsidRDefault="00E513C5" w:rsidP="00E513C5">
      <w:pPr>
        <w:pStyle w:val="Textonotapie"/>
        <w:tabs>
          <w:tab w:val="left" w:pos="284"/>
        </w:tabs>
        <w:jc w:val="both"/>
        <w:rPr>
          <w:rFonts w:ascii="Verdana" w:eastAsiaTheme="minorHAnsi" w:hAnsi="Verdana"/>
          <w:color w:val="000000" w:themeColor="text1"/>
          <w:sz w:val="16"/>
          <w:szCs w:val="16"/>
          <w:vertAlign w:val="superscript"/>
          <w:lang w:val="es-CR"/>
        </w:rPr>
      </w:pPr>
      <w:r>
        <w:rPr>
          <w:rFonts w:ascii="Verdana" w:hAnsi="Verdana"/>
          <w:sz w:val="16"/>
          <w:szCs w:val="16"/>
        </w:rPr>
        <w:tab/>
      </w:r>
      <w:r>
        <w:rPr>
          <w:rFonts w:ascii="Verdana" w:hAnsi="Verdana"/>
          <w:sz w:val="16"/>
          <w:szCs w:val="16"/>
        </w:rPr>
        <w:tab/>
        <w:t>La Jueza Verónica Gómez se excusó de conocer el presente caso</w:t>
      </w:r>
      <w:r w:rsidR="000B4656">
        <w:rPr>
          <w:rFonts w:ascii="Verdana" w:hAnsi="Verdana"/>
          <w:sz w:val="16"/>
          <w:szCs w:val="16"/>
        </w:rPr>
        <w:t>,</w:t>
      </w:r>
      <w:r>
        <w:rPr>
          <w:rFonts w:ascii="Verdana" w:hAnsi="Verdana"/>
          <w:sz w:val="16"/>
          <w:szCs w:val="16"/>
        </w:rPr>
        <w:t xml:space="preserve"> en los términos </w:t>
      </w:r>
      <w:r w:rsidR="000B4656">
        <w:rPr>
          <w:rFonts w:ascii="Verdana" w:hAnsi="Verdana"/>
          <w:sz w:val="16"/>
          <w:szCs w:val="16"/>
        </w:rPr>
        <w:t>del</w:t>
      </w:r>
      <w:r>
        <w:rPr>
          <w:rFonts w:ascii="Verdana" w:hAnsi="Verdana"/>
          <w:sz w:val="16"/>
          <w:szCs w:val="16"/>
        </w:rPr>
        <w:t xml:space="preserve"> artículo 19.2 del Estatuto, lo cual fue aceptado por el </w:t>
      </w:r>
      <w:proofErr w:type="gramStart"/>
      <w:r>
        <w:rPr>
          <w:rFonts w:ascii="Verdana" w:hAnsi="Verdana"/>
          <w:sz w:val="16"/>
          <w:szCs w:val="16"/>
        </w:rPr>
        <w:t>Presidente</w:t>
      </w:r>
      <w:proofErr w:type="gramEnd"/>
      <w:r>
        <w:rPr>
          <w:rFonts w:ascii="Verdana" w:hAnsi="Verdana"/>
          <w:sz w:val="16"/>
          <w:szCs w:val="16"/>
        </w:rPr>
        <w:t>.</w:t>
      </w:r>
    </w:p>
  </w:footnote>
  <w:footnote w:id="2">
    <w:p w14:paraId="3816E2CE" w14:textId="77777777" w:rsidR="00C6100D" w:rsidRPr="00D83789" w:rsidRDefault="00C6100D" w:rsidP="00A05053">
      <w:pPr>
        <w:pStyle w:val="Textonotapie"/>
        <w:jc w:val="both"/>
        <w:rPr>
          <w:rFonts w:ascii="Verdana" w:hAnsi="Verdana"/>
          <w:i/>
          <w:sz w:val="16"/>
          <w:szCs w:val="16"/>
        </w:rPr>
      </w:pPr>
      <w:r w:rsidRPr="006E0ECB">
        <w:rPr>
          <w:rStyle w:val="Refdenotaalpie"/>
          <w:rFonts w:ascii="Verdana" w:hAnsi="Verdana"/>
          <w:sz w:val="16"/>
          <w:szCs w:val="16"/>
        </w:rPr>
        <w:footnoteRef/>
      </w:r>
      <w:r w:rsidRPr="006E0ECB">
        <w:rPr>
          <w:rFonts w:ascii="Verdana" w:hAnsi="Verdana"/>
          <w:sz w:val="16"/>
          <w:szCs w:val="16"/>
        </w:rPr>
        <w:t xml:space="preserve"> </w:t>
      </w:r>
      <w:r w:rsidRPr="006E0ECB">
        <w:rPr>
          <w:rFonts w:ascii="Verdana" w:hAnsi="Verdana"/>
          <w:sz w:val="16"/>
          <w:szCs w:val="16"/>
        </w:rPr>
        <w:tab/>
      </w:r>
      <w:r w:rsidRPr="00D83789">
        <w:rPr>
          <w:rFonts w:ascii="Verdana" w:hAnsi="Verdana"/>
          <w:i/>
          <w:sz w:val="16"/>
          <w:szCs w:val="16"/>
        </w:rPr>
        <w:t xml:space="preserve">Cfr. </w:t>
      </w:r>
      <w:r w:rsidRPr="00C75200">
        <w:rPr>
          <w:rFonts w:ascii="Verdana" w:hAnsi="Verdana"/>
          <w:i/>
          <w:iCs/>
          <w:sz w:val="16"/>
          <w:szCs w:val="16"/>
        </w:rPr>
        <w:t>Caso Masacres de Ituango vs. Colombia. Fondo, Reparaciones y Costas</w:t>
      </w:r>
      <w:r w:rsidRPr="00D83789">
        <w:rPr>
          <w:rFonts w:ascii="Verdana" w:hAnsi="Verdana"/>
          <w:sz w:val="16"/>
          <w:szCs w:val="16"/>
        </w:rPr>
        <w:t xml:space="preserve">. Sentencia de 1 de julio de 2006. Serie C No. 148. El texto íntegro de la Sentencia se encuentra disponible en: </w:t>
      </w:r>
      <w:hyperlink r:id="rId1" w:history="1">
        <w:r w:rsidRPr="005B3E95">
          <w:rPr>
            <w:rStyle w:val="Hipervnculo"/>
            <w:rFonts w:ascii="Verdana" w:hAnsi="Verdana"/>
            <w:sz w:val="16"/>
            <w:szCs w:val="16"/>
          </w:rPr>
          <w:t>http://corteidh.or.cr/docs/casos/articulos/seriec_148_esp.pdf</w:t>
        </w:r>
      </w:hyperlink>
      <w:r w:rsidRPr="00D83789">
        <w:rPr>
          <w:rFonts w:ascii="Verdana" w:hAnsi="Verdana"/>
          <w:sz w:val="16"/>
          <w:szCs w:val="16"/>
        </w:rPr>
        <w:t>.</w:t>
      </w:r>
      <w:r>
        <w:rPr>
          <w:rFonts w:ascii="Verdana" w:hAnsi="Verdana"/>
          <w:sz w:val="16"/>
          <w:szCs w:val="16"/>
        </w:rPr>
        <w:t xml:space="preserve"> </w:t>
      </w:r>
      <w:r w:rsidRPr="00D83789">
        <w:rPr>
          <w:rFonts w:ascii="Verdana" w:hAnsi="Verdana"/>
          <w:sz w:val="16"/>
          <w:szCs w:val="16"/>
        </w:rPr>
        <w:t>La Sentencia fue notificada el 27 de julio de 2006.</w:t>
      </w:r>
    </w:p>
  </w:footnote>
  <w:footnote w:id="3">
    <w:p w14:paraId="4039D5F9" w14:textId="30EF7BD9" w:rsidR="00AA692B" w:rsidRPr="006E0ECB" w:rsidRDefault="00AA692B" w:rsidP="00AA692B">
      <w:pPr>
        <w:pStyle w:val="Textonotapie"/>
        <w:jc w:val="both"/>
        <w:rPr>
          <w:rFonts w:ascii="Verdana" w:hAnsi="Verdana"/>
          <w:sz w:val="16"/>
          <w:szCs w:val="16"/>
          <w:lang w:val="es-ES"/>
        </w:rPr>
      </w:pPr>
      <w:r w:rsidRPr="006E0ECB">
        <w:rPr>
          <w:rStyle w:val="Refdenotaalpie"/>
          <w:rFonts w:ascii="Verdana" w:hAnsi="Verdana"/>
          <w:sz w:val="16"/>
          <w:szCs w:val="16"/>
        </w:rPr>
        <w:footnoteRef/>
      </w:r>
      <w:r w:rsidRPr="006E0ECB">
        <w:rPr>
          <w:rFonts w:ascii="Verdana" w:hAnsi="Verdana"/>
          <w:sz w:val="16"/>
          <w:szCs w:val="16"/>
        </w:rPr>
        <w:t xml:space="preserve"> </w:t>
      </w:r>
      <w:r w:rsidRPr="00196B02">
        <w:rPr>
          <w:rFonts w:ascii="Verdana" w:hAnsi="Verdana"/>
          <w:sz w:val="16"/>
          <w:szCs w:val="16"/>
        </w:rPr>
        <w:tab/>
      </w:r>
      <w:r>
        <w:rPr>
          <w:rFonts w:ascii="Verdana" w:hAnsi="Verdana"/>
          <w:sz w:val="16"/>
          <w:szCs w:val="16"/>
        </w:rPr>
        <w:t xml:space="preserve">Grupo Interdisciplinario de Derechos Humanos (GIDH) y la Comisión Colombiana de Juristas (CCJ). Los escritos en la etapa de supervisión han sido presentados por </w:t>
      </w:r>
      <w:r w:rsidR="00B23950">
        <w:rPr>
          <w:rFonts w:ascii="Verdana" w:hAnsi="Verdana"/>
          <w:sz w:val="16"/>
          <w:szCs w:val="16"/>
        </w:rPr>
        <w:t>el</w:t>
      </w:r>
      <w:r>
        <w:rPr>
          <w:rFonts w:ascii="Verdana" w:hAnsi="Verdana"/>
          <w:sz w:val="16"/>
          <w:szCs w:val="16"/>
        </w:rPr>
        <w:t xml:space="preserve"> GIDH.</w:t>
      </w:r>
    </w:p>
  </w:footnote>
  <w:footnote w:id="4">
    <w:p w14:paraId="01C00454" w14:textId="77777777" w:rsidR="00C6100D" w:rsidRPr="006E0ECB" w:rsidRDefault="00C6100D" w:rsidP="00A05053">
      <w:pPr>
        <w:pStyle w:val="Textonotapie"/>
        <w:jc w:val="both"/>
        <w:rPr>
          <w:rFonts w:ascii="Verdana" w:hAnsi="Verdana"/>
          <w:sz w:val="16"/>
          <w:szCs w:val="16"/>
          <w:lang w:val="es-ES"/>
        </w:rPr>
      </w:pPr>
      <w:r w:rsidRPr="006E0ECB">
        <w:rPr>
          <w:rStyle w:val="Refdenotaalpie"/>
          <w:rFonts w:ascii="Verdana" w:hAnsi="Verdana"/>
          <w:sz w:val="16"/>
          <w:szCs w:val="16"/>
        </w:rPr>
        <w:footnoteRef/>
      </w:r>
      <w:r w:rsidRPr="006E0ECB">
        <w:rPr>
          <w:rFonts w:ascii="Verdana" w:hAnsi="Verdana"/>
          <w:sz w:val="16"/>
          <w:szCs w:val="16"/>
        </w:rPr>
        <w:t xml:space="preserve"> </w:t>
      </w:r>
      <w:r w:rsidRPr="006E0ECB">
        <w:rPr>
          <w:rFonts w:ascii="Verdana" w:hAnsi="Verdana"/>
          <w:sz w:val="16"/>
          <w:szCs w:val="16"/>
        </w:rPr>
        <w:tab/>
      </w:r>
      <w:r w:rsidRPr="00BD03F1">
        <w:rPr>
          <w:rFonts w:ascii="Verdana" w:hAnsi="Verdana"/>
          <w:sz w:val="16"/>
          <w:szCs w:val="16"/>
        </w:rPr>
        <w:t xml:space="preserve">En el ejercicio de su función jurisdiccional de supervisar el cumplimiento de sus decisiones, </w:t>
      </w:r>
      <w:r w:rsidRPr="00E1382D">
        <w:rPr>
          <w:rFonts w:ascii="Verdana" w:hAnsi="Verdana"/>
          <w:sz w:val="16"/>
          <w:szCs w:val="16"/>
        </w:rPr>
        <w:t xml:space="preserve">facultad </w:t>
      </w:r>
      <w:r w:rsidRPr="006E0ECB">
        <w:rPr>
          <w:rFonts w:ascii="Verdana" w:hAnsi="Verdana"/>
          <w:sz w:val="16"/>
          <w:szCs w:val="16"/>
        </w:rPr>
        <w:t>que además se desprende de lo dispuesto en los artículos 33, 62.1, 62.3 y 65 de la Convención Americana sobre Derechos Humanos y 30 de su Estatuto y se encuentra regulada en el artículo 69 de su Reglamento.</w:t>
      </w:r>
    </w:p>
  </w:footnote>
  <w:footnote w:id="5">
    <w:p w14:paraId="462ADD61" w14:textId="480B18CE" w:rsidR="002B6683" w:rsidRPr="00C75200" w:rsidRDefault="002B6683" w:rsidP="00A05053">
      <w:pPr>
        <w:pStyle w:val="Textonotapie"/>
        <w:jc w:val="both"/>
        <w:rPr>
          <w:rFonts w:ascii="Verdana" w:hAnsi="Verdana"/>
          <w:sz w:val="16"/>
          <w:szCs w:val="16"/>
        </w:rPr>
      </w:pPr>
      <w:r w:rsidRPr="00C75200">
        <w:rPr>
          <w:rStyle w:val="Refdenotaalpie"/>
          <w:rFonts w:ascii="Verdana" w:hAnsi="Verdana"/>
          <w:sz w:val="16"/>
          <w:szCs w:val="16"/>
        </w:rPr>
        <w:footnoteRef/>
      </w:r>
      <w:r w:rsidRPr="00C75200">
        <w:rPr>
          <w:rFonts w:ascii="Verdana" w:hAnsi="Verdana"/>
          <w:sz w:val="16"/>
          <w:szCs w:val="16"/>
        </w:rPr>
        <w:t xml:space="preserve"> </w:t>
      </w:r>
      <w:r w:rsidRPr="00C75200">
        <w:rPr>
          <w:rFonts w:ascii="Verdana" w:hAnsi="Verdana"/>
          <w:sz w:val="16"/>
          <w:szCs w:val="16"/>
        </w:rPr>
        <w:tab/>
        <w:t>En las Resoluciones de 7 de julio de 2009, 28 de febrero de 2011 y 5 de abril de 2022 se declaró el cumplimiento total de las medidas relativas a: (i) implementar programas de educación en derechos humanos y derecho internacional humanitario permanentes dentro de las fuerzas armadas colombianas; (</w:t>
      </w:r>
      <w:proofErr w:type="spellStart"/>
      <w:r w:rsidRPr="00C75200">
        <w:rPr>
          <w:rFonts w:ascii="Verdana" w:hAnsi="Verdana"/>
          <w:sz w:val="16"/>
          <w:szCs w:val="16"/>
        </w:rPr>
        <w:t>ii</w:t>
      </w:r>
      <w:proofErr w:type="spellEnd"/>
      <w:r w:rsidRPr="00C75200">
        <w:rPr>
          <w:rFonts w:ascii="Verdana" w:hAnsi="Verdana"/>
          <w:sz w:val="16"/>
          <w:szCs w:val="16"/>
        </w:rPr>
        <w:t>) publicar en el Diario Oficial y en un diario de circulación nacional los hechos probados de la Sentencia y la parte resolutiva del Fallo; (</w:t>
      </w:r>
      <w:proofErr w:type="spellStart"/>
      <w:r w:rsidRPr="00C75200">
        <w:rPr>
          <w:rFonts w:ascii="Verdana" w:hAnsi="Verdana"/>
          <w:sz w:val="16"/>
          <w:szCs w:val="16"/>
        </w:rPr>
        <w:t>iii</w:t>
      </w:r>
      <w:proofErr w:type="spellEnd"/>
      <w:r w:rsidRPr="00C75200">
        <w:rPr>
          <w:rFonts w:ascii="Verdana" w:hAnsi="Verdana"/>
          <w:sz w:val="16"/>
          <w:szCs w:val="16"/>
        </w:rPr>
        <w:t>) pagar los montos ordenados por concepto del reintegro de costas y gastos; (</w:t>
      </w:r>
      <w:proofErr w:type="spellStart"/>
      <w:r w:rsidRPr="00C75200">
        <w:rPr>
          <w:rFonts w:ascii="Verdana" w:hAnsi="Verdana"/>
          <w:sz w:val="16"/>
          <w:szCs w:val="16"/>
        </w:rPr>
        <w:t>iv</w:t>
      </w:r>
      <w:proofErr w:type="spellEnd"/>
      <w:r w:rsidRPr="00C75200">
        <w:rPr>
          <w:rFonts w:ascii="Verdana" w:hAnsi="Verdana"/>
          <w:sz w:val="16"/>
          <w:szCs w:val="16"/>
        </w:rPr>
        <w:t>) pagar a las personas señaladas en los anexos I, II y III de la Sentencia por concepto de la indemnización por daño material e inmaterial, y (v) implementar un programa habitacional para proveer vivienda adecuada a aquellas víctimas sobrevivientes que perdieron sus casas y que así lo requieran. En la Resolución de 21 de mayo de 2013 se declaró el cumplimiento parcial de la medida relativa a: fijar una placa en un lugar público apropiado en cada uno de los corregimientos de La Granja y El Aro.</w:t>
      </w:r>
    </w:p>
  </w:footnote>
  <w:footnote w:id="6">
    <w:p w14:paraId="09C52E62" w14:textId="6077F7CB" w:rsidR="00BA75E5" w:rsidRPr="00C75200" w:rsidRDefault="00BA75E5" w:rsidP="00A05053">
      <w:pPr>
        <w:pStyle w:val="Textonotapie"/>
        <w:jc w:val="both"/>
        <w:rPr>
          <w:rFonts w:ascii="Verdana" w:hAnsi="Verdana"/>
          <w:sz w:val="16"/>
          <w:szCs w:val="16"/>
          <w:lang w:val="es-ES"/>
        </w:rPr>
      </w:pPr>
      <w:r w:rsidRPr="00C75200">
        <w:rPr>
          <w:rStyle w:val="Refdenotaalpie"/>
          <w:rFonts w:ascii="Verdana" w:hAnsi="Verdana"/>
          <w:sz w:val="16"/>
          <w:szCs w:val="16"/>
        </w:rPr>
        <w:footnoteRef/>
      </w:r>
      <w:r w:rsidRPr="00C75200">
        <w:rPr>
          <w:rFonts w:ascii="Verdana" w:hAnsi="Verdana"/>
          <w:sz w:val="16"/>
          <w:szCs w:val="16"/>
        </w:rPr>
        <w:t xml:space="preserve"> </w:t>
      </w:r>
      <w:r w:rsidRPr="00C75200">
        <w:rPr>
          <w:rFonts w:ascii="Verdana" w:hAnsi="Verdana"/>
          <w:sz w:val="16"/>
          <w:szCs w:val="16"/>
          <w:lang w:val="es-ES"/>
        </w:rPr>
        <w:tab/>
        <w:t>La Corte dispuso en el párrafo 406 que el Estado debía “</w:t>
      </w:r>
      <w:r w:rsidRPr="00C75200">
        <w:rPr>
          <w:rFonts w:ascii="Verdana" w:hAnsi="Verdana"/>
          <w:sz w:val="16"/>
          <w:szCs w:val="16"/>
        </w:rPr>
        <w:t>pedir una disculpa a los familiares de las personas desaparecidas y privadas de su vida por haber incumplido sus obligaciones de garantizar los derechos a la libertad personal, integridad personal y vida de esas personas, como consecuencia de las faltas del Estado a sus deberes de prevención, protección e investigación, así como por las violaciones a los derechos de acceso a la justicia, protección judicial y garantías judiciales cometidas en su perjuicio”.</w:t>
      </w:r>
    </w:p>
  </w:footnote>
  <w:footnote w:id="7">
    <w:p w14:paraId="0745927D" w14:textId="496619AB" w:rsidR="007F5A10" w:rsidRPr="00C75200" w:rsidRDefault="007F5A10" w:rsidP="00A05053">
      <w:pPr>
        <w:pStyle w:val="Textonotapie"/>
        <w:jc w:val="both"/>
        <w:rPr>
          <w:rFonts w:ascii="Verdana" w:hAnsi="Verdana"/>
          <w:sz w:val="16"/>
          <w:szCs w:val="16"/>
          <w:lang w:val="es-ES"/>
        </w:rPr>
      </w:pPr>
      <w:r w:rsidRPr="00C75200">
        <w:rPr>
          <w:rStyle w:val="Refdenotaalpie"/>
          <w:rFonts w:ascii="Verdana" w:hAnsi="Verdana"/>
          <w:sz w:val="16"/>
          <w:szCs w:val="16"/>
        </w:rPr>
        <w:footnoteRef/>
      </w:r>
      <w:r w:rsidRPr="00C75200">
        <w:rPr>
          <w:rFonts w:ascii="Verdana" w:hAnsi="Verdana"/>
          <w:sz w:val="16"/>
          <w:szCs w:val="16"/>
        </w:rPr>
        <w:t xml:space="preserve"> </w:t>
      </w:r>
      <w:r w:rsidRPr="00C75200">
        <w:rPr>
          <w:rFonts w:ascii="Verdana" w:hAnsi="Verdana"/>
          <w:sz w:val="16"/>
          <w:szCs w:val="16"/>
          <w:lang w:val="es-ES"/>
        </w:rPr>
        <w:tab/>
      </w:r>
      <w:r w:rsidRPr="00536A78">
        <w:rPr>
          <w:rFonts w:ascii="Verdana" w:hAnsi="Verdana"/>
          <w:i/>
          <w:iCs/>
          <w:sz w:val="16"/>
          <w:szCs w:val="16"/>
          <w:lang w:val="es-ES"/>
        </w:rPr>
        <w:t>Cfr.</w:t>
      </w:r>
      <w:r w:rsidRPr="00536A78">
        <w:rPr>
          <w:rFonts w:ascii="Verdana" w:hAnsi="Verdana"/>
          <w:sz w:val="16"/>
          <w:szCs w:val="16"/>
          <w:lang w:val="es-ES"/>
        </w:rPr>
        <w:t xml:space="preserve"> </w:t>
      </w:r>
      <w:r w:rsidR="003C2385" w:rsidRPr="00536A78">
        <w:rPr>
          <w:rFonts w:ascii="Verdana" w:hAnsi="Verdana"/>
          <w:i/>
          <w:iCs/>
          <w:sz w:val="16"/>
          <w:szCs w:val="16"/>
          <w:lang w:val="es-ES"/>
        </w:rPr>
        <w:t xml:space="preserve">Caso de las Masacres de Ituango Vs. Colombia. Supervisión de Cumplimiento de Sentencia. </w:t>
      </w:r>
      <w:r w:rsidR="003C2385" w:rsidRPr="00536A78">
        <w:rPr>
          <w:rFonts w:ascii="Verdana" w:hAnsi="Verdana"/>
          <w:sz w:val="16"/>
          <w:szCs w:val="16"/>
          <w:lang w:val="es-ES"/>
        </w:rPr>
        <w:t xml:space="preserve">Resolución de la Corte Interamericana de Derechos Humanos de 21 de mayo de 2013, </w:t>
      </w:r>
      <w:r w:rsidRPr="00536A78">
        <w:rPr>
          <w:rFonts w:ascii="Verdana" w:hAnsi="Verdana"/>
          <w:sz w:val="16"/>
          <w:szCs w:val="16"/>
          <w:lang w:val="es-ES"/>
        </w:rPr>
        <w:t>Considerandos 33 a 35.</w:t>
      </w:r>
    </w:p>
  </w:footnote>
  <w:footnote w:id="8">
    <w:p w14:paraId="18AB9994" w14:textId="21E9FEBA" w:rsidR="0064229E" w:rsidRPr="003C2385" w:rsidRDefault="0064229E" w:rsidP="00A05053">
      <w:pPr>
        <w:pStyle w:val="Textonotapie"/>
        <w:jc w:val="both"/>
        <w:rPr>
          <w:rFonts w:ascii="Verdana" w:hAnsi="Verdana"/>
          <w:sz w:val="16"/>
          <w:szCs w:val="16"/>
          <w:lang w:val="es-ES"/>
        </w:rPr>
      </w:pPr>
      <w:r w:rsidRPr="003C2385">
        <w:rPr>
          <w:rStyle w:val="Refdenotaalpie"/>
          <w:rFonts w:ascii="Verdana" w:hAnsi="Verdana"/>
          <w:sz w:val="16"/>
          <w:szCs w:val="16"/>
        </w:rPr>
        <w:footnoteRef/>
      </w:r>
      <w:r w:rsidRPr="003C2385">
        <w:rPr>
          <w:rFonts w:ascii="Verdana" w:hAnsi="Verdana"/>
          <w:sz w:val="16"/>
          <w:szCs w:val="16"/>
        </w:rPr>
        <w:t xml:space="preserve"> </w:t>
      </w:r>
      <w:r w:rsidRPr="003C2385">
        <w:rPr>
          <w:rFonts w:ascii="Verdana" w:hAnsi="Verdana"/>
          <w:sz w:val="16"/>
          <w:szCs w:val="16"/>
          <w:lang w:val="es-ES"/>
        </w:rPr>
        <w:tab/>
        <w:t xml:space="preserve">El </w:t>
      </w:r>
      <w:r w:rsidRPr="003C2385">
        <w:rPr>
          <w:rFonts w:ascii="Verdana" w:hAnsi="Verdana"/>
          <w:i/>
          <w:iCs/>
          <w:sz w:val="16"/>
          <w:szCs w:val="16"/>
          <w:lang w:val="es-ES"/>
        </w:rPr>
        <w:t>Estado</w:t>
      </w:r>
      <w:r w:rsidRPr="003C2385">
        <w:rPr>
          <w:rFonts w:ascii="Verdana" w:hAnsi="Verdana"/>
          <w:sz w:val="16"/>
          <w:szCs w:val="16"/>
          <w:lang w:val="es-ES"/>
        </w:rPr>
        <w:t xml:space="preserve"> aportó un documento titulado </w:t>
      </w:r>
      <w:r w:rsidRPr="00536A78">
        <w:rPr>
          <w:rFonts w:ascii="Verdana" w:hAnsi="Verdana"/>
          <w:i/>
          <w:iCs/>
          <w:sz w:val="16"/>
          <w:szCs w:val="16"/>
          <w:lang w:val="es-ES"/>
        </w:rPr>
        <w:t>“Lineamientos presidenciales Derechos Humanos</w:t>
      </w:r>
      <w:r w:rsidR="00F31B91" w:rsidRPr="00536A78">
        <w:rPr>
          <w:rFonts w:ascii="Verdana" w:hAnsi="Verdana"/>
          <w:i/>
          <w:iCs/>
          <w:sz w:val="16"/>
          <w:szCs w:val="16"/>
          <w:lang w:val="es-ES"/>
        </w:rPr>
        <w:t xml:space="preserve"> </w:t>
      </w:r>
      <w:r w:rsidRPr="00536A78">
        <w:rPr>
          <w:rFonts w:ascii="Verdana" w:hAnsi="Verdana"/>
          <w:i/>
          <w:iCs/>
          <w:sz w:val="16"/>
          <w:szCs w:val="16"/>
          <w:lang w:val="es-ES"/>
        </w:rPr>
        <w:t>- Acto de Reconocimiento de Responsabilidad por</w:t>
      </w:r>
      <w:r w:rsidR="00376D14" w:rsidRPr="00536A78">
        <w:rPr>
          <w:rFonts w:ascii="Verdana" w:hAnsi="Verdana"/>
          <w:i/>
          <w:iCs/>
          <w:sz w:val="16"/>
          <w:szCs w:val="16"/>
          <w:lang w:val="es-ES"/>
        </w:rPr>
        <w:t xml:space="preserve"> </w:t>
      </w:r>
      <w:r w:rsidRPr="00536A78">
        <w:rPr>
          <w:rFonts w:ascii="Verdana" w:hAnsi="Verdana"/>
          <w:i/>
          <w:iCs/>
          <w:sz w:val="16"/>
          <w:szCs w:val="16"/>
          <w:lang w:val="es-ES"/>
        </w:rPr>
        <w:t>masacres de El Aro</w:t>
      </w:r>
      <w:r w:rsidR="00376D14" w:rsidRPr="00536A78">
        <w:rPr>
          <w:rFonts w:ascii="Verdana" w:hAnsi="Verdana"/>
          <w:i/>
          <w:iCs/>
          <w:sz w:val="16"/>
          <w:szCs w:val="16"/>
          <w:lang w:val="es-ES"/>
        </w:rPr>
        <w:t xml:space="preserve"> y La Granja”</w:t>
      </w:r>
      <w:r w:rsidR="00376D14" w:rsidRPr="003C2385">
        <w:rPr>
          <w:rFonts w:ascii="Verdana" w:hAnsi="Verdana"/>
          <w:sz w:val="16"/>
          <w:szCs w:val="16"/>
          <w:lang w:val="es-ES"/>
        </w:rPr>
        <w:t xml:space="preserve">. En éste se indica que la grabación en video del acto está disponible en el siguiente enlace: </w:t>
      </w:r>
      <w:hyperlink r:id="rId2" w:history="1">
        <w:r w:rsidR="00376D14" w:rsidRPr="003C2385">
          <w:rPr>
            <w:rStyle w:val="Hipervnculo"/>
            <w:rFonts w:ascii="Verdana" w:hAnsi="Verdana"/>
            <w:sz w:val="16"/>
            <w:szCs w:val="16"/>
            <w:lang w:val="es-ES"/>
          </w:rPr>
          <w:t>https://www.youtube.com/watch?v=fwdg3ckqjAg</w:t>
        </w:r>
      </w:hyperlink>
      <w:r w:rsidR="00376D14" w:rsidRPr="003C2385">
        <w:rPr>
          <w:rFonts w:ascii="Verdana" w:hAnsi="Verdana"/>
          <w:sz w:val="16"/>
          <w:szCs w:val="16"/>
          <w:lang w:val="es-ES"/>
        </w:rPr>
        <w:t xml:space="preserve"> (consultado por última vez el </w:t>
      </w:r>
      <w:r w:rsidR="003C2385" w:rsidRPr="003C2385">
        <w:rPr>
          <w:rFonts w:ascii="Verdana" w:hAnsi="Verdana"/>
          <w:sz w:val="16"/>
          <w:szCs w:val="16"/>
          <w:lang w:val="es-ES"/>
        </w:rPr>
        <w:t>30</w:t>
      </w:r>
      <w:r w:rsidR="00376D14" w:rsidRPr="003C2385">
        <w:rPr>
          <w:rFonts w:ascii="Verdana" w:hAnsi="Verdana"/>
          <w:sz w:val="16"/>
          <w:szCs w:val="16"/>
          <w:lang w:val="es-ES"/>
        </w:rPr>
        <w:t xml:space="preserve"> de agosto de 2023).</w:t>
      </w:r>
      <w:r w:rsidR="003C2385" w:rsidRPr="003C2385">
        <w:rPr>
          <w:rFonts w:ascii="Verdana" w:hAnsi="Verdana"/>
          <w:sz w:val="16"/>
          <w:szCs w:val="16"/>
          <w:lang w:val="es-ES"/>
        </w:rPr>
        <w:t xml:space="preserve"> </w:t>
      </w:r>
      <w:r w:rsidR="003C2385" w:rsidRPr="00536A78">
        <w:rPr>
          <w:rFonts w:ascii="Verdana" w:hAnsi="Verdana"/>
          <w:i/>
          <w:iCs/>
          <w:sz w:val="16"/>
          <w:szCs w:val="16"/>
          <w:lang w:val="es-ES"/>
        </w:rPr>
        <w:t>Cfr</w:t>
      </w:r>
      <w:r w:rsidR="003C2385" w:rsidRPr="003C2385">
        <w:rPr>
          <w:rFonts w:ascii="Verdana" w:hAnsi="Verdana"/>
          <w:sz w:val="16"/>
          <w:szCs w:val="16"/>
          <w:lang w:val="es-ES"/>
        </w:rPr>
        <w:t xml:space="preserve">. </w:t>
      </w:r>
      <w:r w:rsidR="003C2385" w:rsidRPr="00536A78">
        <w:rPr>
          <w:rFonts w:ascii="Verdana" w:hAnsi="Verdana"/>
          <w:sz w:val="16"/>
          <w:szCs w:val="16"/>
        </w:rPr>
        <w:t>Informe estatal de 5 de diciembre de 2022</w:t>
      </w:r>
      <w:r w:rsidR="002B3B49">
        <w:rPr>
          <w:rFonts w:ascii="Verdana" w:hAnsi="Verdana"/>
          <w:sz w:val="16"/>
          <w:szCs w:val="16"/>
        </w:rPr>
        <w:t>.</w:t>
      </w:r>
    </w:p>
  </w:footnote>
  <w:footnote w:id="9">
    <w:p w14:paraId="55802009" w14:textId="6BE0BF3A" w:rsidR="00376D14" w:rsidRPr="00C75200" w:rsidRDefault="00376D14" w:rsidP="00A05053">
      <w:pPr>
        <w:pStyle w:val="Textonotapie"/>
        <w:jc w:val="both"/>
        <w:rPr>
          <w:rFonts w:ascii="Verdana" w:hAnsi="Verdana"/>
          <w:sz w:val="16"/>
          <w:szCs w:val="16"/>
          <w:lang w:val="es-ES"/>
        </w:rPr>
      </w:pPr>
      <w:r w:rsidRPr="00C75200">
        <w:rPr>
          <w:rStyle w:val="Refdenotaalpie"/>
          <w:rFonts w:ascii="Verdana" w:hAnsi="Verdana"/>
          <w:sz w:val="16"/>
          <w:szCs w:val="16"/>
        </w:rPr>
        <w:footnoteRef/>
      </w:r>
      <w:r w:rsidRPr="00C75200">
        <w:rPr>
          <w:rFonts w:ascii="Verdana" w:hAnsi="Verdana"/>
          <w:sz w:val="16"/>
          <w:szCs w:val="16"/>
        </w:rPr>
        <w:t xml:space="preserve"> </w:t>
      </w:r>
      <w:r w:rsidRPr="00C75200">
        <w:rPr>
          <w:rFonts w:ascii="Verdana" w:hAnsi="Verdana"/>
          <w:sz w:val="16"/>
          <w:szCs w:val="16"/>
          <w:lang w:val="es-ES"/>
        </w:rPr>
        <w:tab/>
      </w:r>
      <w:r w:rsidR="00357E1F" w:rsidRPr="004C65B7">
        <w:rPr>
          <w:rFonts w:ascii="Verdana" w:hAnsi="Verdana"/>
          <w:sz w:val="16"/>
          <w:szCs w:val="16"/>
          <w:lang w:val="es-ES"/>
        </w:rPr>
        <w:t xml:space="preserve">Los </w:t>
      </w:r>
      <w:r w:rsidR="00357E1F" w:rsidRPr="004C65B7">
        <w:rPr>
          <w:rFonts w:ascii="Verdana" w:hAnsi="Verdana"/>
          <w:i/>
          <w:iCs/>
          <w:sz w:val="16"/>
          <w:szCs w:val="16"/>
          <w:lang w:val="es-ES"/>
        </w:rPr>
        <w:t>representantes</w:t>
      </w:r>
      <w:r w:rsidR="00357E1F" w:rsidRPr="004C65B7">
        <w:rPr>
          <w:rFonts w:ascii="Verdana" w:hAnsi="Verdana"/>
          <w:sz w:val="16"/>
          <w:szCs w:val="16"/>
          <w:lang w:val="es-ES"/>
        </w:rPr>
        <w:t xml:space="preserve"> indicaron que todos los aspectos del acto fueron concertados con las víctimas y sus representantes. Además, que “[l]a característica principal del mismo fue la centralidad en las víctimas y familiares, desde la misma disposición del recito que privilegió la ubicación de los familiares por encima de protocolos para la ubicación de autoridades nacionales, departamentales o municipales”. Agregaron que, “[t]odas las familias fueron informadas que cada una podía nombrar un integrante para pronunciar unas </w:t>
      </w:r>
      <w:proofErr w:type="gramStart"/>
      <w:r w:rsidR="00357E1F" w:rsidRPr="004C65B7">
        <w:rPr>
          <w:rFonts w:ascii="Verdana" w:hAnsi="Verdana"/>
          <w:sz w:val="16"/>
          <w:szCs w:val="16"/>
          <w:lang w:val="es-ES"/>
        </w:rPr>
        <w:t>palabras[</w:t>
      </w:r>
      <w:proofErr w:type="gramEnd"/>
      <w:r w:rsidR="00357E1F" w:rsidRPr="004C65B7">
        <w:rPr>
          <w:rFonts w:ascii="Verdana" w:hAnsi="Verdana"/>
          <w:sz w:val="16"/>
          <w:szCs w:val="16"/>
          <w:lang w:val="es-ES"/>
        </w:rPr>
        <w:t>, y que] seis familiares de las víctima</w:t>
      </w:r>
      <w:r w:rsidR="000E2E08">
        <w:rPr>
          <w:rFonts w:ascii="Verdana" w:hAnsi="Verdana"/>
          <w:sz w:val="16"/>
          <w:szCs w:val="16"/>
          <w:lang w:val="es-ES"/>
        </w:rPr>
        <w:t>s</w:t>
      </w:r>
      <w:r w:rsidR="00357E1F" w:rsidRPr="004C65B7">
        <w:rPr>
          <w:rFonts w:ascii="Verdana" w:hAnsi="Verdana"/>
          <w:sz w:val="16"/>
          <w:szCs w:val="16"/>
          <w:lang w:val="es-ES"/>
        </w:rPr>
        <w:t xml:space="preserve"> hicieron uso de la palabra” en el acto. También, l</w:t>
      </w:r>
      <w:r w:rsidRPr="004C65B7">
        <w:rPr>
          <w:rFonts w:ascii="Verdana" w:hAnsi="Verdana"/>
          <w:sz w:val="16"/>
          <w:szCs w:val="16"/>
          <w:lang w:val="es-ES"/>
        </w:rPr>
        <w:t xml:space="preserve">a señora </w:t>
      </w:r>
      <w:r w:rsidRPr="004C65B7">
        <w:rPr>
          <w:rFonts w:ascii="Verdana" w:hAnsi="Verdana"/>
          <w:sz w:val="16"/>
          <w:szCs w:val="16"/>
        </w:rPr>
        <w:t xml:space="preserve">a María Victoria Fallón del Grupo Interdisciplinario por los Derechos Humanos, organización que representa a las víctimas en este proceso internacional, asistió e intervino con el uso de la palabra durante el acto de reconocimiento de responsabilidad internacional. </w:t>
      </w:r>
      <w:r w:rsidRPr="00536A78">
        <w:rPr>
          <w:rFonts w:ascii="Verdana" w:hAnsi="Verdana"/>
          <w:i/>
          <w:iCs/>
          <w:sz w:val="16"/>
          <w:szCs w:val="16"/>
        </w:rPr>
        <w:t>Cfr</w:t>
      </w:r>
      <w:r w:rsidRPr="004C65B7">
        <w:rPr>
          <w:rFonts w:ascii="Verdana" w:hAnsi="Verdana"/>
          <w:sz w:val="16"/>
          <w:szCs w:val="16"/>
        </w:rPr>
        <w:t xml:space="preserve">. </w:t>
      </w:r>
      <w:r w:rsidR="002B3B49">
        <w:rPr>
          <w:rFonts w:ascii="Verdana" w:hAnsi="Verdana"/>
          <w:sz w:val="16"/>
          <w:szCs w:val="16"/>
        </w:rPr>
        <w:t>Escrito de observaciones de representantes de 22 de junio de 2023 y v</w:t>
      </w:r>
      <w:r w:rsidRPr="004C65B7">
        <w:rPr>
          <w:rFonts w:ascii="Verdana" w:hAnsi="Verdana"/>
          <w:sz w:val="16"/>
          <w:szCs w:val="16"/>
        </w:rPr>
        <w:t xml:space="preserve">ideo del acto público de reconocimiento de responsabilidad, </w:t>
      </w:r>
      <w:r w:rsidRPr="004C65B7">
        <w:rPr>
          <w:rFonts w:ascii="Verdana" w:hAnsi="Verdana"/>
          <w:i/>
          <w:iCs/>
          <w:sz w:val="16"/>
          <w:szCs w:val="16"/>
        </w:rPr>
        <w:t xml:space="preserve">supra </w:t>
      </w:r>
      <w:r w:rsidRPr="004C65B7">
        <w:rPr>
          <w:rFonts w:ascii="Verdana" w:hAnsi="Verdana"/>
          <w:sz w:val="16"/>
          <w:szCs w:val="16"/>
        </w:rPr>
        <w:t xml:space="preserve">nota </w:t>
      </w:r>
      <w:r w:rsidR="00F31B91">
        <w:rPr>
          <w:rFonts w:ascii="Verdana" w:hAnsi="Verdana"/>
          <w:sz w:val="16"/>
          <w:szCs w:val="16"/>
        </w:rPr>
        <w:t>7</w:t>
      </w:r>
      <w:r w:rsidR="00357E1F" w:rsidRPr="004C65B7">
        <w:rPr>
          <w:rFonts w:ascii="Verdana" w:hAnsi="Verdana"/>
          <w:sz w:val="16"/>
          <w:szCs w:val="16"/>
        </w:rPr>
        <w:t xml:space="preserve"> y escrito de observaciones de los representantes de junio de 2023</w:t>
      </w:r>
      <w:r w:rsidRPr="004C65B7">
        <w:rPr>
          <w:rFonts w:ascii="Verdana" w:hAnsi="Verdana"/>
          <w:sz w:val="16"/>
          <w:szCs w:val="16"/>
        </w:rPr>
        <w:t xml:space="preserve">.  </w:t>
      </w:r>
    </w:p>
  </w:footnote>
  <w:footnote w:id="10">
    <w:p w14:paraId="2881066D" w14:textId="3B01EB8A" w:rsidR="007419F0" w:rsidRPr="00AA2171" w:rsidRDefault="007419F0" w:rsidP="007419F0">
      <w:pPr>
        <w:pStyle w:val="Textonotapie"/>
        <w:jc w:val="both"/>
        <w:rPr>
          <w:rFonts w:ascii="Verdana" w:hAnsi="Verdana"/>
          <w:sz w:val="20"/>
          <w:lang w:val="es-ES"/>
        </w:rPr>
      </w:pPr>
      <w:r w:rsidRPr="00BC4F97">
        <w:rPr>
          <w:rStyle w:val="Refdenotaalpie"/>
          <w:rFonts w:ascii="Verdana" w:hAnsi="Verdana"/>
          <w:sz w:val="16"/>
        </w:rPr>
        <w:footnoteRef/>
      </w:r>
      <w:r>
        <w:t xml:space="preserve"> </w:t>
      </w:r>
      <w:r>
        <w:rPr>
          <w:lang w:val="es-ES"/>
        </w:rPr>
        <w:tab/>
      </w:r>
      <w:r w:rsidRPr="00BC4F97">
        <w:rPr>
          <w:rFonts w:ascii="Verdana" w:hAnsi="Verdana"/>
          <w:sz w:val="16"/>
          <w:lang w:val="es-ES"/>
        </w:rPr>
        <w:t xml:space="preserve">Conforme </w:t>
      </w:r>
      <w:r>
        <w:rPr>
          <w:rFonts w:ascii="Verdana" w:hAnsi="Verdana"/>
          <w:sz w:val="16"/>
          <w:lang w:val="es-ES"/>
        </w:rPr>
        <w:t xml:space="preserve">a lo </w:t>
      </w:r>
      <w:r w:rsidRPr="00BC4F97">
        <w:rPr>
          <w:rFonts w:ascii="Verdana" w:hAnsi="Verdana"/>
          <w:sz w:val="16"/>
          <w:lang w:val="es-ES"/>
        </w:rPr>
        <w:t>informa</w:t>
      </w:r>
      <w:r>
        <w:rPr>
          <w:rFonts w:ascii="Verdana" w:hAnsi="Verdana"/>
          <w:sz w:val="16"/>
          <w:lang w:val="es-ES"/>
        </w:rPr>
        <w:t>do por</w:t>
      </w:r>
      <w:r w:rsidRPr="00BC4F97">
        <w:rPr>
          <w:rFonts w:ascii="Verdana" w:hAnsi="Verdana"/>
          <w:sz w:val="16"/>
          <w:lang w:val="es-ES"/>
        </w:rPr>
        <w:t xml:space="preserve"> el </w:t>
      </w:r>
      <w:r w:rsidRPr="00536A78">
        <w:rPr>
          <w:rFonts w:ascii="Verdana" w:hAnsi="Verdana"/>
          <w:i/>
          <w:iCs/>
          <w:sz w:val="16"/>
          <w:lang w:val="es-ES"/>
        </w:rPr>
        <w:t>Estado</w:t>
      </w:r>
      <w:r w:rsidRPr="00BC4F97">
        <w:rPr>
          <w:rFonts w:ascii="Verdana" w:hAnsi="Verdana"/>
          <w:sz w:val="16"/>
          <w:lang w:val="es-ES"/>
        </w:rPr>
        <w:t xml:space="preserve">, se contó con la participación de las siguientes autoridades: </w:t>
      </w:r>
      <w:r>
        <w:rPr>
          <w:rFonts w:ascii="Verdana" w:hAnsi="Verdana"/>
          <w:sz w:val="16"/>
          <w:lang w:val="es-ES"/>
        </w:rPr>
        <w:t>“</w:t>
      </w:r>
      <w:r w:rsidRPr="00BC4F97">
        <w:rPr>
          <w:rFonts w:ascii="Verdana" w:hAnsi="Verdana"/>
          <w:sz w:val="16"/>
          <w:lang w:val="es-ES"/>
        </w:rPr>
        <w:t xml:space="preserve">el Director de Derechos Humanos y Derecho Internacional Humanitario del Ministerio de Relaciones Exteriores, Edgar Rodrigo Rojas Garavito; la Directora General de la Agencia Nacional para la Defensa Jurídica del Estado, Martha Lucía Zamora Ávila; la Directora General del Archivo General de la Nación, </w:t>
      </w:r>
      <w:proofErr w:type="spellStart"/>
      <w:r w:rsidRPr="00BC4F97">
        <w:rPr>
          <w:rFonts w:ascii="Verdana" w:hAnsi="Verdana"/>
          <w:sz w:val="16"/>
          <w:lang w:val="es-ES"/>
        </w:rPr>
        <w:t>lvonne</w:t>
      </w:r>
      <w:proofErr w:type="spellEnd"/>
      <w:r w:rsidRPr="00BC4F97">
        <w:rPr>
          <w:rFonts w:ascii="Verdana" w:hAnsi="Verdana"/>
          <w:sz w:val="16"/>
          <w:lang w:val="es-ES"/>
        </w:rPr>
        <w:t xml:space="preserve"> Suárez Pinzón; Patricia Tobón </w:t>
      </w:r>
      <w:proofErr w:type="spellStart"/>
      <w:r w:rsidRPr="00BC4F97">
        <w:rPr>
          <w:rFonts w:ascii="Verdana" w:hAnsi="Verdana"/>
          <w:sz w:val="16"/>
          <w:lang w:val="es-ES"/>
        </w:rPr>
        <w:t>Yagarí</w:t>
      </w:r>
      <w:proofErr w:type="spellEnd"/>
      <w:r w:rsidRPr="00BC4F97">
        <w:rPr>
          <w:rFonts w:ascii="Verdana" w:hAnsi="Verdana"/>
          <w:sz w:val="16"/>
          <w:lang w:val="es-ES"/>
        </w:rPr>
        <w:t>, Directora General de la Unidad para la Atención y Reparación Integral a las Víctimas; el Gobernador del Departamento de Antioquia, Aníbal Gaviria Correa; el Alcalde de Medellín, Daniel Quintero Calle; el Director General del Museo Casa de la Memoria de Medellín, Edwin Arias Valencia</w:t>
      </w:r>
      <w:r>
        <w:rPr>
          <w:rFonts w:ascii="Verdana" w:hAnsi="Verdana"/>
          <w:sz w:val="16"/>
          <w:lang w:val="es-ES"/>
        </w:rPr>
        <w:t>[, y]</w:t>
      </w:r>
      <w:r w:rsidRPr="00BC4F97">
        <w:rPr>
          <w:rFonts w:ascii="Verdana" w:hAnsi="Verdana"/>
          <w:sz w:val="16"/>
          <w:lang w:val="es-ES"/>
        </w:rPr>
        <w:t xml:space="preserve"> la Directora General del Centro Nacional de Memoria Histórica, María Gaitán Valencia</w:t>
      </w:r>
      <w:r>
        <w:rPr>
          <w:rFonts w:ascii="Verdana" w:hAnsi="Verdana"/>
          <w:sz w:val="16"/>
          <w:lang w:val="es-ES"/>
        </w:rPr>
        <w:t>”</w:t>
      </w:r>
      <w:r w:rsidRPr="00BC4F97">
        <w:rPr>
          <w:rFonts w:ascii="Verdana" w:hAnsi="Verdana"/>
          <w:sz w:val="16"/>
          <w:lang w:val="es-ES"/>
        </w:rPr>
        <w:t>.</w:t>
      </w:r>
      <w:r w:rsidR="002B3B49" w:rsidRPr="002B3B49">
        <w:rPr>
          <w:rFonts w:ascii="Verdana" w:hAnsi="Verdana"/>
          <w:i/>
          <w:iCs/>
          <w:sz w:val="16"/>
          <w:szCs w:val="16"/>
          <w:lang w:val="es-ES"/>
        </w:rPr>
        <w:t xml:space="preserve"> </w:t>
      </w:r>
      <w:r w:rsidR="002B3B49" w:rsidRPr="00336BB6">
        <w:rPr>
          <w:rFonts w:ascii="Verdana" w:hAnsi="Verdana"/>
          <w:i/>
          <w:iCs/>
          <w:sz w:val="16"/>
          <w:szCs w:val="16"/>
          <w:lang w:val="es-ES"/>
        </w:rPr>
        <w:t>Cfr</w:t>
      </w:r>
      <w:r w:rsidR="002B3B49" w:rsidRPr="003C2385">
        <w:rPr>
          <w:rFonts w:ascii="Verdana" w:hAnsi="Verdana"/>
          <w:sz w:val="16"/>
          <w:szCs w:val="16"/>
          <w:lang w:val="es-ES"/>
        </w:rPr>
        <w:t xml:space="preserve">. </w:t>
      </w:r>
      <w:r w:rsidR="002B3B49" w:rsidRPr="00336BB6">
        <w:rPr>
          <w:rFonts w:ascii="Verdana" w:hAnsi="Verdana"/>
          <w:sz w:val="16"/>
          <w:szCs w:val="16"/>
        </w:rPr>
        <w:t>Informe estatal de 5 de diciembre de 2022</w:t>
      </w:r>
      <w:r w:rsidR="002B3B49">
        <w:rPr>
          <w:rFonts w:ascii="Verdana" w:hAnsi="Verdana"/>
          <w:sz w:val="16"/>
          <w:szCs w:val="16"/>
        </w:rPr>
        <w:t>.</w:t>
      </w:r>
    </w:p>
  </w:footnote>
  <w:footnote w:id="11">
    <w:p w14:paraId="211F2D26" w14:textId="1A62C5BB" w:rsidR="002F2B38" w:rsidRPr="004C65B7" w:rsidRDefault="002F2B38" w:rsidP="00A05053">
      <w:pPr>
        <w:pStyle w:val="Textonotapie"/>
        <w:jc w:val="both"/>
        <w:rPr>
          <w:rFonts w:ascii="Verdana" w:hAnsi="Verdana"/>
          <w:sz w:val="16"/>
          <w:szCs w:val="16"/>
          <w:lang w:val="es-ES"/>
        </w:rPr>
      </w:pPr>
      <w:r w:rsidRPr="004C65B7">
        <w:rPr>
          <w:rStyle w:val="Refdenotaalpie"/>
          <w:rFonts w:ascii="Verdana" w:hAnsi="Verdana"/>
          <w:sz w:val="16"/>
          <w:szCs w:val="16"/>
        </w:rPr>
        <w:footnoteRef/>
      </w:r>
      <w:r w:rsidRPr="004C65B7">
        <w:rPr>
          <w:rFonts w:ascii="Verdana" w:hAnsi="Verdana"/>
          <w:sz w:val="16"/>
          <w:szCs w:val="16"/>
        </w:rPr>
        <w:t xml:space="preserve"> </w:t>
      </w:r>
      <w:r w:rsidRPr="004C65B7">
        <w:rPr>
          <w:rFonts w:ascii="Verdana" w:hAnsi="Verdana"/>
          <w:sz w:val="16"/>
          <w:szCs w:val="16"/>
          <w:lang w:val="es-ES"/>
        </w:rPr>
        <w:tab/>
        <w:t xml:space="preserve">El señor Gustavo Francisco Petro Urrego. </w:t>
      </w:r>
    </w:p>
  </w:footnote>
  <w:footnote w:id="12">
    <w:p w14:paraId="59104C12" w14:textId="281515D9" w:rsidR="00357E1F" w:rsidRPr="004C65B7" w:rsidRDefault="00357E1F" w:rsidP="00357E1F">
      <w:pPr>
        <w:pStyle w:val="Textonotapie"/>
        <w:jc w:val="both"/>
        <w:rPr>
          <w:rFonts w:ascii="Verdana" w:hAnsi="Verdana"/>
          <w:sz w:val="16"/>
          <w:szCs w:val="16"/>
        </w:rPr>
      </w:pPr>
      <w:r w:rsidRPr="004C65B7">
        <w:rPr>
          <w:rStyle w:val="Refdenotaalpie"/>
          <w:rFonts w:ascii="Verdana" w:hAnsi="Verdana"/>
          <w:sz w:val="16"/>
          <w:szCs w:val="16"/>
        </w:rPr>
        <w:footnoteRef/>
      </w:r>
      <w:r w:rsidRPr="004C65B7">
        <w:rPr>
          <w:rFonts w:ascii="Verdana" w:hAnsi="Verdana"/>
          <w:sz w:val="16"/>
          <w:szCs w:val="16"/>
        </w:rPr>
        <w:t xml:space="preserve"> </w:t>
      </w:r>
      <w:r w:rsidRPr="004C65B7">
        <w:rPr>
          <w:rFonts w:ascii="Verdana" w:hAnsi="Verdana"/>
          <w:sz w:val="16"/>
          <w:szCs w:val="16"/>
        </w:rPr>
        <w:tab/>
      </w:r>
      <w:r w:rsidRPr="00536A78">
        <w:rPr>
          <w:rFonts w:ascii="Verdana" w:hAnsi="Verdana"/>
          <w:sz w:val="16"/>
          <w:szCs w:val="16"/>
        </w:rPr>
        <w:t>Los</w:t>
      </w:r>
      <w:r w:rsidRPr="004C65B7">
        <w:rPr>
          <w:rFonts w:ascii="Verdana" w:hAnsi="Verdana"/>
          <w:i/>
          <w:iCs/>
          <w:sz w:val="16"/>
          <w:szCs w:val="16"/>
        </w:rPr>
        <w:t xml:space="preserve"> representantes </w:t>
      </w:r>
      <w:r w:rsidRPr="004C65B7">
        <w:rPr>
          <w:rFonts w:ascii="Verdana" w:hAnsi="Verdana"/>
          <w:sz w:val="16"/>
          <w:szCs w:val="16"/>
        </w:rPr>
        <w:t>expresaron su satisfacción en cuanto a que haya sido considerad</w:t>
      </w:r>
      <w:r w:rsidR="002B3B49">
        <w:rPr>
          <w:rFonts w:ascii="Verdana" w:hAnsi="Verdana"/>
          <w:sz w:val="16"/>
          <w:szCs w:val="16"/>
        </w:rPr>
        <w:t>a</w:t>
      </w:r>
      <w:r w:rsidRPr="004C65B7">
        <w:rPr>
          <w:rFonts w:ascii="Verdana" w:hAnsi="Verdana"/>
          <w:sz w:val="16"/>
          <w:szCs w:val="16"/>
        </w:rPr>
        <w:t xml:space="preserve"> su solicitud de participación del </w:t>
      </w:r>
      <w:proofErr w:type="gramStart"/>
      <w:r w:rsidRPr="004C65B7">
        <w:rPr>
          <w:rFonts w:ascii="Verdana" w:hAnsi="Verdana"/>
          <w:sz w:val="16"/>
          <w:szCs w:val="16"/>
        </w:rPr>
        <w:t>Presidente</w:t>
      </w:r>
      <w:proofErr w:type="gramEnd"/>
      <w:r w:rsidRPr="004C65B7">
        <w:rPr>
          <w:rFonts w:ascii="Verdana" w:hAnsi="Verdana"/>
          <w:sz w:val="16"/>
          <w:szCs w:val="16"/>
        </w:rPr>
        <w:t xml:space="preserve"> de la República en este acto.</w:t>
      </w:r>
      <w:r w:rsidR="002D3AE3" w:rsidRPr="002D3AE3">
        <w:rPr>
          <w:rFonts w:ascii="Verdana" w:hAnsi="Verdana"/>
          <w:i/>
          <w:iCs/>
          <w:sz w:val="16"/>
          <w:szCs w:val="16"/>
        </w:rPr>
        <w:t xml:space="preserve"> </w:t>
      </w:r>
      <w:r w:rsidR="002D3AE3" w:rsidRPr="00336BB6">
        <w:rPr>
          <w:rFonts w:ascii="Verdana" w:hAnsi="Verdana"/>
          <w:i/>
          <w:iCs/>
          <w:sz w:val="16"/>
          <w:szCs w:val="16"/>
        </w:rPr>
        <w:t>Cfr</w:t>
      </w:r>
      <w:r w:rsidR="002D3AE3" w:rsidRPr="004C65B7">
        <w:rPr>
          <w:rFonts w:ascii="Verdana" w:hAnsi="Verdana"/>
          <w:sz w:val="16"/>
          <w:szCs w:val="16"/>
        </w:rPr>
        <w:t xml:space="preserve">. </w:t>
      </w:r>
      <w:r w:rsidR="002D3AE3">
        <w:rPr>
          <w:rFonts w:ascii="Verdana" w:hAnsi="Verdana"/>
          <w:sz w:val="16"/>
          <w:szCs w:val="16"/>
        </w:rPr>
        <w:t xml:space="preserve">Escrito de observaciones de representantes de 22 de junio de 2023. </w:t>
      </w:r>
    </w:p>
  </w:footnote>
  <w:footnote w:id="13">
    <w:p w14:paraId="44775294" w14:textId="3A9CE0E2" w:rsidR="00C6100D" w:rsidRPr="00652DDA" w:rsidRDefault="00C6100D" w:rsidP="00A05053">
      <w:pPr>
        <w:pStyle w:val="Textonotapie"/>
        <w:jc w:val="both"/>
        <w:rPr>
          <w:rFonts w:ascii="Verdana" w:hAnsi="Verdana"/>
          <w:sz w:val="16"/>
          <w:szCs w:val="16"/>
          <w:lang w:val="es-ES"/>
        </w:rPr>
      </w:pPr>
      <w:r w:rsidRPr="00652DDA">
        <w:rPr>
          <w:rStyle w:val="Refdenotaalpie"/>
          <w:rFonts w:ascii="Verdana" w:hAnsi="Verdana"/>
          <w:sz w:val="16"/>
          <w:szCs w:val="16"/>
        </w:rPr>
        <w:footnoteRef/>
      </w:r>
      <w:r w:rsidRPr="00652DDA">
        <w:rPr>
          <w:rFonts w:ascii="Verdana" w:hAnsi="Verdana"/>
          <w:sz w:val="16"/>
          <w:szCs w:val="16"/>
        </w:rPr>
        <w:t xml:space="preserve"> </w:t>
      </w:r>
      <w:r w:rsidRPr="00652DDA">
        <w:rPr>
          <w:rFonts w:ascii="Verdana" w:hAnsi="Verdana"/>
          <w:sz w:val="16"/>
          <w:szCs w:val="16"/>
          <w:lang w:val="es-ES"/>
        </w:rPr>
        <w:tab/>
      </w:r>
      <w:r w:rsidR="001F4614" w:rsidRPr="00C75200">
        <w:rPr>
          <w:rFonts w:ascii="Verdana" w:hAnsi="Verdana"/>
          <w:iCs/>
          <w:sz w:val="16"/>
          <w:szCs w:val="16"/>
          <w:lang w:val="es-ES"/>
        </w:rPr>
        <w:t>E</w:t>
      </w:r>
      <w:r w:rsidRPr="00652DDA">
        <w:rPr>
          <w:rFonts w:ascii="Verdana" w:hAnsi="Verdana"/>
          <w:sz w:val="16"/>
          <w:szCs w:val="16"/>
          <w:lang w:val="es-ES"/>
        </w:rPr>
        <w:t xml:space="preserve">l </w:t>
      </w:r>
      <w:r w:rsidRPr="00536A78">
        <w:rPr>
          <w:rFonts w:ascii="Verdana" w:hAnsi="Verdana"/>
          <w:i/>
          <w:iCs/>
          <w:sz w:val="16"/>
          <w:szCs w:val="16"/>
          <w:lang w:val="es-ES"/>
        </w:rPr>
        <w:t>Estado</w:t>
      </w:r>
      <w:r w:rsidR="001F4614">
        <w:rPr>
          <w:rFonts w:ascii="Verdana" w:hAnsi="Verdana"/>
          <w:sz w:val="16"/>
          <w:szCs w:val="16"/>
          <w:lang w:val="es-ES"/>
        </w:rPr>
        <w:t xml:space="preserve"> indicó que tuvo cobertura de medios “tales como</w:t>
      </w:r>
      <w:r w:rsidRPr="00652DDA">
        <w:rPr>
          <w:rFonts w:ascii="Verdana" w:hAnsi="Verdana"/>
          <w:sz w:val="16"/>
          <w:szCs w:val="16"/>
          <w:lang w:val="es-ES"/>
        </w:rPr>
        <w:t xml:space="preserve">: Hora 13 Noticias, </w:t>
      </w:r>
      <w:proofErr w:type="spellStart"/>
      <w:r w:rsidRPr="00652DDA">
        <w:rPr>
          <w:rFonts w:ascii="Verdana" w:hAnsi="Verdana"/>
          <w:sz w:val="16"/>
          <w:szCs w:val="16"/>
          <w:lang w:val="es-ES"/>
        </w:rPr>
        <w:t>Telemedellín</w:t>
      </w:r>
      <w:proofErr w:type="spellEnd"/>
      <w:r w:rsidRPr="00652DDA">
        <w:rPr>
          <w:rFonts w:ascii="Verdana" w:hAnsi="Verdana"/>
          <w:sz w:val="16"/>
          <w:szCs w:val="16"/>
          <w:lang w:val="es-ES"/>
        </w:rPr>
        <w:t xml:space="preserve">, </w:t>
      </w:r>
      <w:proofErr w:type="spellStart"/>
      <w:r w:rsidRPr="00652DDA">
        <w:rPr>
          <w:rFonts w:ascii="Verdana" w:hAnsi="Verdana"/>
          <w:sz w:val="16"/>
          <w:szCs w:val="16"/>
          <w:lang w:val="es-ES"/>
        </w:rPr>
        <w:t>Blu</w:t>
      </w:r>
      <w:proofErr w:type="spellEnd"/>
      <w:r w:rsidRPr="00652DDA">
        <w:rPr>
          <w:rFonts w:ascii="Verdana" w:hAnsi="Verdana"/>
          <w:sz w:val="16"/>
          <w:szCs w:val="16"/>
          <w:lang w:val="es-ES"/>
        </w:rPr>
        <w:t xml:space="preserve"> Radio, Canal RCN, Canal Caracol, Canal Uno</w:t>
      </w:r>
      <w:r w:rsidR="001F4614">
        <w:rPr>
          <w:rFonts w:ascii="Verdana" w:hAnsi="Verdana"/>
          <w:sz w:val="16"/>
          <w:szCs w:val="16"/>
          <w:lang w:val="es-ES"/>
        </w:rPr>
        <w:t>”</w:t>
      </w:r>
      <w:r w:rsidRPr="00652DDA">
        <w:rPr>
          <w:rFonts w:ascii="Verdana" w:hAnsi="Verdana"/>
          <w:sz w:val="16"/>
          <w:szCs w:val="16"/>
          <w:lang w:val="es-ES"/>
        </w:rPr>
        <w:t>.</w:t>
      </w:r>
      <w:r w:rsidR="002D3AE3" w:rsidRPr="002D3AE3">
        <w:rPr>
          <w:rFonts w:ascii="Verdana" w:hAnsi="Verdana"/>
          <w:i/>
          <w:iCs/>
          <w:sz w:val="16"/>
          <w:szCs w:val="16"/>
          <w:lang w:val="es-ES"/>
        </w:rPr>
        <w:t xml:space="preserve"> </w:t>
      </w:r>
      <w:r w:rsidR="002D3AE3" w:rsidRPr="00336BB6">
        <w:rPr>
          <w:rFonts w:ascii="Verdana" w:hAnsi="Verdana"/>
          <w:i/>
          <w:iCs/>
          <w:sz w:val="16"/>
          <w:szCs w:val="16"/>
          <w:lang w:val="es-ES"/>
        </w:rPr>
        <w:t>Cfr</w:t>
      </w:r>
      <w:r w:rsidR="002D3AE3" w:rsidRPr="003C2385">
        <w:rPr>
          <w:rFonts w:ascii="Verdana" w:hAnsi="Verdana"/>
          <w:sz w:val="16"/>
          <w:szCs w:val="16"/>
          <w:lang w:val="es-ES"/>
        </w:rPr>
        <w:t xml:space="preserve">. </w:t>
      </w:r>
      <w:r w:rsidR="002D3AE3" w:rsidRPr="00336BB6">
        <w:rPr>
          <w:rFonts w:ascii="Verdana" w:hAnsi="Verdana"/>
          <w:sz w:val="16"/>
          <w:szCs w:val="16"/>
        </w:rPr>
        <w:t>Informe estatal de 5 de diciembre de 2022</w:t>
      </w:r>
      <w:r w:rsidR="002D3AE3">
        <w:rPr>
          <w:rFonts w:ascii="Verdana" w:hAnsi="Verdana"/>
          <w:sz w:val="16"/>
          <w:szCs w:val="16"/>
        </w:rPr>
        <w:t>.</w:t>
      </w:r>
    </w:p>
  </w:footnote>
  <w:footnote w:id="14">
    <w:p w14:paraId="03445F64" w14:textId="267C09AF" w:rsidR="00F8655F" w:rsidRPr="00C75200" w:rsidRDefault="00F8655F" w:rsidP="00A05053">
      <w:pPr>
        <w:pStyle w:val="Textonotapie"/>
        <w:jc w:val="both"/>
        <w:rPr>
          <w:rFonts w:ascii="Verdana" w:hAnsi="Verdana"/>
          <w:sz w:val="16"/>
          <w:szCs w:val="16"/>
          <w:lang w:val="es-ES"/>
        </w:rPr>
      </w:pPr>
      <w:r w:rsidRPr="00C75200">
        <w:rPr>
          <w:rStyle w:val="Refdenotaalpie"/>
          <w:rFonts w:ascii="Verdana" w:hAnsi="Verdana"/>
          <w:sz w:val="16"/>
          <w:szCs w:val="16"/>
        </w:rPr>
        <w:footnoteRef/>
      </w:r>
      <w:r w:rsidRPr="00C75200">
        <w:rPr>
          <w:rFonts w:ascii="Verdana" w:hAnsi="Verdana"/>
          <w:sz w:val="16"/>
          <w:szCs w:val="16"/>
        </w:rPr>
        <w:t xml:space="preserve"> </w:t>
      </w:r>
      <w:r w:rsidRPr="00C75200">
        <w:rPr>
          <w:rFonts w:ascii="Verdana" w:hAnsi="Verdana"/>
          <w:sz w:val="16"/>
          <w:szCs w:val="16"/>
          <w:lang w:val="es-ES"/>
        </w:rPr>
        <w:tab/>
      </w:r>
      <w:r w:rsidR="00687368">
        <w:rPr>
          <w:rFonts w:ascii="Verdana" w:hAnsi="Verdana"/>
          <w:sz w:val="16"/>
          <w:szCs w:val="16"/>
          <w:lang w:val="es-ES"/>
        </w:rPr>
        <w:t xml:space="preserve">En el punto resolutivo 20 y el párrafo 408 de la Sentencia, se ordenó al Estado “fijar una placa en un lugar público apropiado en cada uno de los corregimientos de La Granja y El Aro, con el propósito de que las nuevas generaciones conozcan acerca de los hechos que dieron lugar al presente caso”.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66E92" w14:textId="77777777" w:rsidR="00C6100D" w:rsidRPr="002F13B3" w:rsidRDefault="00C6100D">
    <w:pPr>
      <w:pStyle w:val="Encabezado"/>
      <w:jc w:val="center"/>
      <w:rPr>
        <w:rFonts w:ascii="Verdana" w:hAnsi="Verdana"/>
        <w:sz w:val="20"/>
      </w:rPr>
    </w:pPr>
    <w:r w:rsidRPr="002F13B3">
      <w:rPr>
        <w:rFonts w:ascii="Verdana" w:hAnsi="Verdana"/>
        <w:sz w:val="20"/>
      </w:rPr>
      <w:t>-</w:t>
    </w:r>
    <w:r w:rsidRPr="002F13B3">
      <w:rPr>
        <w:rFonts w:ascii="Verdana" w:hAnsi="Verdana"/>
        <w:sz w:val="20"/>
      </w:rPr>
      <w:fldChar w:fldCharType="begin"/>
    </w:r>
    <w:r w:rsidRPr="002F13B3">
      <w:rPr>
        <w:rFonts w:ascii="Verdana" w:hAnsi="Verdana"/>
        <w:sz w:val="20"/>
      </w:rPr>
      <w:instrText>PAGE   \* MERGEFORMAT</w:instrText>
    </w:r>
    <w:r w:rsidRPr="002F13B3">
      <w:rPr>
        <w:rFonts w:ascii="Verdana" w:hAnsi="Verdana"/>
        <w:sz w:val="20"/>
      </w:rPr>
      <w:fldChar w:fldCharType="separate"/>
    </w:r>
    <w:r w:rsidRPr="002F13B3">
      <w:rPr>
        <w:rFonts w:ascii="Verdana" w:hAnsi="Verdana"/>
        <w:noProof/>
        <w:sz w:val="20"/>
        <w:lang w:val="es-ES"/>
      </w:rPr>
      <w:t>6</w:t>
    </w:r>
    <w:r w:rsidRPr="002F13B3">
      <w:rPr>
        <w:rFonts w:ascii="Verdana" w:hAnsi="Verdana"/>
        <w:sz w:val="20"/>
      </w:rPr>
      <w:fldChar w:fldCharType="end"/>
    </w:r>
    <w:r w:rsidRPr="002F13B3">
      <w:rPr>
        <w:rFonts w:ascii="Verdana" w:hAnsi="Verdana"/>
        <w:sz w:val="20"/>
      </w:rPr>
      <w:t>-</w:t>
    </w:r>
  </w:p>
  <w:p w14:paraId="6DECB872" w14:textId="77777777" w:rsidR="00C6100D" w:rsidRDefault="00C6100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A2AE6"/>
    <w:multiLevelType w:val="multilevel"/>
    <w:tmpl w:val="86806766"/>
    <w:lvl w:ilvl="0">
      <w:start w:val="1"/>
      <w:numFmt w:val="decimal"/>
      <w:lvlText w:val="%1."/>
      <w:lvlJc w:val="left"/>
      <w:pPr>
        <w:ind w:left="360" w:hanging="360"/>
      </w:pPr>
      <w:rPr>
        <w:rFonts w:hint="default"/>
      </w:rPr>
    </w:lvl>
    <w:lvl w:ilvl="1">
      <w:start w:val="2"/>
      <w:numFmt w:val="decimal"/>
      <w:isLgl/>
      <w:lvlText w:val="%1.%2."/>
      <w:lvlJc w:val="left"/>
      <w:pPr>
        <w:ind w:left="1151" w:hanging="720"/>
      </w:pPr>
      <w:rPr>
        <w:rFonts w:hint="default"/>
      </w:rPr>
    </w:lvl>
    <w:lvl w:ilvl="2">
      <w:start w:val="1"/>
      <w:numFmt w:val="decimal"/>
      <w:isLgl/>
      <w:lvlText w:val="%1.%2.%3."/>
      <w:lvlJc w:val="left"/>
      <w:pPr>
        <w:ind w:left="1211" w:hanging="720"/>
      </w:pPr>
      <w:rPr>
        <w:rFonts w:hint="default"/>
      </w:rPr>
    </w:lvl>
    <w:lvl w:ilvl="3">
      <w:start w:val="1"/>
      <w:numFmt w:val="decimal"/>
      <w:isLgl/>
      <w:lvlText w:val="%1.%2.%3.%4."/>
      <w:lvlJc w:val="left"/>
      <w:pPr>
        <w:ind w:left="1631" w:hanging="1080"/>
      </w:pPr>
      <w:rPr>
        <w:rFonts w:hint="default"/>
      </w:rPr>
    </w:lvl>
    <w:lvl w:ilvl="4">
      <w:start w:val="1"/>
      <w:numFmt w:val="decimal"/>
      <w:isLgl/>
      <w:lvlText w:val="%1.%2.%3.%4.%5."/>
      <w:lvlJc w:val="left"/>
      <w:pPr>
        <w:ind w:left="2051" w:hanging="1440"/>
      </w:pPr>
      <w:rPr>
        <w:rFonts w:hint="default"/>
      </w:rPr>
    </w:lvl>
    <w:lvl w:ilvl="5">
      <w:start w:val="1"/>
      <w:numFmt w:val="decimal"/>
      <w:isLgl/>
      <w:lvlText w:val="%1.%2.%3.%4.%5.%6."/>
      <w:lvlJc w:val="left"/>
      <w:pPr>
        <w:ind w:left="2111" w:hanging="1440"/>
      </w:pPr>
      <w:rPr>
        <w:rFonts w:hint="default"/>
      </w:rPr>
    </w:lvl>
    <w:lvl w:ilvl="6">
      <w:start w:val="1"/>
      <w:numFmt w:val="decimal"/>
      <w:isLgl/>
      <w:lvlText w:val="%1.%2.%3.%4.%5.%6.%7."/>
      <w:lvlJc w:val="left"/>
      <w:pPr>
        <w:ind w:left="2531" w:hanging="1800"/>
      </w:pPr>
      <w:rPr>
        <w:rFonts w:hint="default"/>
      </w:rPr>
    </w:lvl>
    <w:lvl w:ilvl="7">
      <w:start w:val="1"/>
      <w:numFmt w:val="decimal"/>
      <w:isLgl/>
      <w:lvlText w:val="%1.%2.%3.%4.%5.%6.%7.%8."/>
      <w:lvlJc w:val="left"/>
      <w:pPr>
        <w:ind w:left="2951" w:hanging="2160"/>
      </w:pPr>
      <w:rPr>
        <w:rFonts w:hint="default"/>
      </w:rPr>
    </w:lvl>
    <w:lvl w:ilvl="8">
      <w:start w:val="1"/>
      <w:numFmt w:val="decimal"/>
      <w:isLgl/>
      <w:lvlText w:val="%1.%2.%3.%4.%5.%6.%7.%8.%9."/>
      <w:lvlJc w:val="left"/>
      <w:pPr>
        <w:ind w:left="3011" w:hanging="2160"/>
      </w:pPr>
      <w:rPr>
        <w:rFonts w:hint="default"/>
      </w:rPr>
    </w:lvl>
  </w:abstractNum>
  <w:abstractNum w:abstractNumId="1" w15:restartNumberingAfterBreak="0">
    <w:nsid w:val="0779606D"/>
    <w:multiLevelType w:val="hybridMultilevel"/>
    <w:tmpl w:val="03E27570"/>
    <w:lvl w:ilvl="0" w:tplc="C1BE0D14">
      <w:start w:val="1"/>
      <w:numFmt w:val="decimal"/>
      <w:lvlText w:val="%1."/>
      <w:lvlJc w:val="left"/>
      <w:pPr>
        <w:ind w:left="360" w:hanging="360"/>
      </w:pPr>
      <w:rPr>
        <w:rFonts w:ascii="Verdana" w:hAnsi="Verdana" w:hint="default"/>
        <w:b w:val="0"/>
        <w:i w:val="0"/>
        <w:iCs/>
        <w:color w:val="auto"/>
        <w:sz w:val="20"/>
        <w:szCs w:val="20"/>
        <w:lang w:val="es-CR"/>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79D215A"/>
    <w:multiLevelType w:val="hybridMultilevel"/>
    <w:tmpl w:val="51022128"/>
    <w:lvl w:ilvl="0" w:tplc="64A0DCEC">
      <w:start w:val="1"/>
      <w:numFmt w:val="lowerLetter"/>
      <w:lvlText w:val="%1)"/>
      <w:lvlJc w:val="left"/>
      <w:pPr>
        <w:ind w:left="720" w:hanging="36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F1231EC"/>
    <w:multiLevelType w:val="hybridMultilevel"/>
    <w:tmpl w:val="06C4F71E"/>
    <w:lvl w:ilvl="0" w:tplc="140A000F">
      <w:start w:val="13"/>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9AC5B63"/>
    <w:multiLevelType w:val="hybridMultilevel"/>
    <w:tmpl w:val="897E49EC"/>
    <w:lvl w:ilvl="0" w:tplc="A85C61B2">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5" w15:restartNumberingAfterBreak="0">
    <w:nsid w:val="3AAA47CC"/>
    <w:multiLevelType w:val="hybridMultilevel"/>
    <w:tmpl w:val="068EF612"/>
    <w:lvl w:ilvl="0" w:tplc="5630F67E">
      <w:start w:val="1"/>
      <w:numFmt w:val="upperLetter"/>
      <w:lvlText w:val="%1."/>
      <w:lvlJc w:val="left"/>
      <w:pPr>
        <w:ind w:left="720" w:hanging="360"/>
      </w:pPr>
      <w:rPr>
        <w:rFonts w:eastAsiaTheme="minorEastAsia"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3B5C77DB"/>
    <w:multiLevelType w:val="hybridMultilevel"/>
    <w:tmpl w:val="DF148D1E"/>
    <w:lvl w:ilvl="0" w:tplc="A4E8C750">
      <w:start w:val="1"/>
      <w:numFmt w:val="upperLetter"/>
      <w:lvlText w:val="%1."/>
      <w:lvlJc w:val="left"/>
      <w:pPr>
        <w:ind w:left="927" w:hanging="360"/>
      </w:pPr>
      <w:rPr>
        <w:rFonts w:hint="default"/>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7" w15:restartNumberingAfterBreak="0">
    <w:nsid w:val="3BB30538"/>
    <w:multiLevelType w:val="hybridMultilevel"/>
    <w:tmpl w:val="A91E5F42"/>
    <w:lvl w:ilvl="0" w:tplc="BD32B8B2">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404C522E"/>
    <w:multiLevelType w:val="hybridMultilevel"/>
    <w:tmpl w:val="739E1214"/>
    <w:lvl w:ilvl="0" w:tplc="817ACCDA">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9" w15:restartNumberingAfterBreak="0">
    <w:nsid w:val="47EE4003"/>
    <w:multiLevelType w:val="hybridMultilevel"/>
    <w:tmpl w:val="7DBAE9A0"/>
    <w:lvl w:ilvl="0" w:tplc="1BC23FE0">
      <w:start w:val="3"/>
      <w:numFmt w:val="upperLetter"/>
      <w:lvlText w:val="%1."/>
      <w:lvlJc w:val="left"/>
      <w:pPr>
        <w:ind w:left="720" w:hanging="360"/>
      </w:pPr>
      <w:rPr>
        <w:rFonts w:hint="default"/>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48AE09E9"/>
    <w:multiLevelType w:val="hybridMultilevel"/>
    <w:tmpl w:val="286AD2B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50BA38D9"/>
    <w:multiLevelType w:val="hybridMultilevel"/>
    <w:tmpl w:val="70C225B0"/>
    <w:lvl w:ilvl="0" w:tplc="140A000F">
      <w:start w:val="13"/>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61F71744"/>
    <w:multiLevelType w:val="hybridMultilevel"/>
    <w:tmpl w:val="6A0A8BC2"/>
    <w:lvl w:ilvl="0" w:tplc="71D0C580">
      <w:start w:val="1"/>
      <w:numFmt w:val="decimal"/>
      <w:lvlText w:val="%1."/>
      <w:lvlJc w:val="left"/>
      <w:pPr>
        <w:ind w:left="720" w:hanging="360"/>
      </w:pPr>
      <w:rPr>
        <w:rFonts w:hint="default"/>
        <w:b w:val="0"/>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659B2F37"/>
    <w:multiLevelType w:val="hybridMultilevel"/>
    <w:tmpl w:val="AB88058C"/>
    <w:lvl w:ilvl="0" w:tplc="140A0015">
      <w:start w:val="2"/>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713B46A6"/>
    <w:multiLevelType w:val="hybridMultilevel"/>
    <w:tmpl w:val="98D6B84A"/>
    <w:lvl w:ilvl="0" w:tplc="140A000F">
      <w:start w:val="13"/>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7B2517D6"/>
    <w:multiLevelType w:val="hybridMultilevel"/>
    <w:tmpl w:val="587C1306"/>
    <w:lvl w:ilvl="0" w:tplc="21BEED70">
      <w:start w:val="1"/>
      <w:numFmt w:val="upperLetter"/>
      <w:pStyle w:val="TDC1"/>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7E1F3BE1"/>
    <w:multiLevelType w:val="hybridMultilevel"/>
    <w:tmpl w:val="FA260EA8"/>
    <w:lvl w:ilvl="0" w:tplc="A688582A">
      <w:start w:val="3"/>
      <w:numFmt w:val="upperLetter"/>
      <w:lvlText w:val="%1."/>
      <w:lvlJc w:val="left"/>
      <w:pPr>
        <w:ind w:left="720" w:hanging="360"/>
      </w:pPr>
      <w:rPr>
        <w:rFonts w:hint="default"/>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349452899">
    <w:abstractNumId w:val="0"/>
  </w:num>
  <w:num w:numId="2" w16cid:durableId="1462578360">
    <w:abstractNumId w:val="12"/>
  </w:num>
  <w:num w:numId="3" w16cid:durableId="912156443">
    <w:abstractNumId w:val="6"/>
  </w:num>
  <w:num w:numId="4" w16cid:durableId="1413116864">
    <w:abstractNumId w:val="1"/>
  </w:num>
  <w:num w:numId="5" w16cid:durableId="1994916086">
    <w:abstractNumId w:val="2"/>
  </w:num>
  <w:num w:numId="6" w16cid:durableId="1511875327">
    <w:abstractNumId w:val="5"/>
  </w:num>
  <w:num w:numId="7" w16cid:durableId="1434015726">
    <w:abstractNumId w:val="16"/>
  </w:num>
  <w:num w:numId="8" w16cid:durableId="14578679">
    <w:abstractNumId w:val="9"/>
  </w:num>
  <w:num w:numId="9" w16cid:durableId="1493981914">
    <w:abstractNumId w:val="13"/>
  </w:num>
  <w:num w:numId="10" w16cid:durableId="238291455">
    <w:abstractNumId w:val="11"/>
  </w:num>
  <w:num w:numId="11" w16cid:durableId="1937211214">
    <w:abstractNumId w:val="3"/>
  </w:num>
  <w:num w:numId="12" w16cid:durableId="1727101919">
    <w:abstractNumId w:val="14"/>
  </w:num>
  <w:num w:numId="13" w16cid:durableId="1275019488">
    <w:abstractNumId w:val="10"/>
  </w:num>
  <w:num w:numId="14" w16cid:durableId="1648775339">
    <w:abstractNumId w:val="4"/>
  </w:num>
  <w:num w:numId="15" w16cid:durableId="1562015456">
    <w:abstractNumId w:val="8"/>
  </w:num>
  <w:num w:numId="16" w16cid:durableId="763964696">
    <w:abstractNumId w:val="7"/>
  </w:num>
  <w:num w:numId="17" w16cid:durableId="4454660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F56"/>
    <w:rsid w:val="00040A5E"/>
    <w:rsid w:val="000845BF"/>
    <w:rsid w:val="000B4656"/>
    <w:rsid w:val="000E2E08"/>
    <w:rsid w:val="00104ECC"/>
    <w:rsid w:val="00116AF3"/>
    <w:rsid w:val="00130611"/>
    <w:rsid w:val="00133DA4"/>
    <w:rsid w:val="00141D1D"/>
    <w:rsid w:val="0014354F"/>
    <w:rsid w:val="00162918"/>
    <w:rsid w:val="001A21D8"/>
    <w:rsid w:val="001A33D2"/>
    <w:rsid w:val="001F4614"/>
    <w:rsid w:val="001F74E6"/>
    <w:rsid w:val="00221875"/>
    <w:rsid w:val="002A005B"/>
    <w:rsid w:val="002A0B40"/>
    <w:rsid w:val="002B21D2"/>
    <w:rsid w:val="002B3B49"/>
    <w:rsid w:val="002B6683"/>
    <w:rsid w:val="002B7CE4"/>
    <w:rsid w:val="002D3AE3"/>
    <w:rsid w:val="002E6DEA"/>
    <w:rsid w:val="002E7D89"/>
    <w:rsid w:val="002F2B38"/>
    <w:rsid w:val="00357E1F"/>
    <w:rsid w:val="00376D14"/>
    <w:rsid w:val="003866AC"/>
    <w:rsid w:val="003A0906"/>
    <w:rsid w:val="003C2385"/>
    <w:rsid w:val="003D4F30"/>
    <w:rsid w:val="003E74D3"/>
    <w:rsid w:val="004215D8"/>
    <w:rsid w:val="00421917"/>
    <w:rsid w:val="00456EB2"/>
    <w:rsid w:val="00465E88"/>
    <w:rsid w:val="00470C6B"/>
    <w:rsid w:val="004A4514"/>
    <w:rsid w:val="004B7C04"/>
    <w:rsid w:val="004C65B7"/>
    <w:rsid w:val="005123D1"/>
    <w:rsid w:val="00536A78"/>
    <w:rsid w:val="00564941"/>
    <w:rsid w:val="00575C80"/>
    <w:rsid w:val="00587659"/>
    <w:rsid w:val="005D6106"/>
    <w:rsid w:val="005D723C"/>
    <w:rsid w:val="006073FA"/>
    <w:rsid w:val="00611895"/>
    <w:rsid w:val="0064229E"/>
    <w:rsid w:val="00652DDA"/>
    <w:rsid w:val="006633FF"/>
    <w:rsid w:val="00663F56"/>
    <w:rsid w:val="00675E73"/>
    <w:rsid w:val="00686793"/>
    <w:rsid w:val="00687368"/>
    <w:rsid w:val="006A74F0"/>
    <w:rsid w:val="006B3C39"/>
    <w:rsid w:val="007116A1"/>
    <w:rsid w:val="00726E71"/>
    <w:rsid w:val="007419F0"/>
    <w:rsid w:val="00766478"/>
    <w:rsid w:val="00770B6C"/>
    <w:rsid w:val="007C2276"/>
    <w:rsid w:val="007F3F8C"/>
    <w:rsid w:val="007F5A10"/>
    <w:rsid w:val="00834AC8"/>
    <w:rsid w:val="00847556"/>
    <w:rsid w:val="00883CFD"/>
    <w:rsid w:val="008A1BA4"/>
    <w:rsid w:val="008C6260"/>
    <w:rsid w:val="009239D2"/>
    <w:rsid w:val="00927BA5"/>
    <w:rsid w:val="009B5C72"/>
    <w:rsid w:val="009B6D5F"/>
    <w:rsid w:val="009E713E"/>
    <w:rsid w:val="00A05053"/>
    <w:rsid w:val="00A1600E"/>
    <w:rsid w:val="00A36596"/>
    <w:rsid w:val="00A62DE0"/>
    <w:rsid w:val="00AA2171"/>
    <w:rsid w:val="00AA501B"/>
    <w:rsid w:val="00AA692B"/>
    <w:rsid w:val="00AC17B5"/>
    <w:rsid w:val="00B04A06"/>
    <w:rsid w:val="00B23950"/>
    <w:rsid w:val="00B5592A"/>
    <w:rsid w:val="00B70C6A"/>
    <w:rsid w:val="00B95B2A"/>
    <w:rsid w:val="00BA6DA0"/>
    <w:rsid w:val="00BA75E5"/>
    <w:rsid w:val="00BB1386"/>
    <w:rsid w:val="00BC4F97"/>
    <w:rsid w:val="00BD42A9"/>
    <w:rsid w:val="00C16133"/>
    <w:rsid w:val="00C17E72"/>
    <w:rsid w:val="00C609C0"/>
    <w:rsid w:val="00C6100D"/>
    <w:rsid w:val="00C75200"/>
    <w:rsid w:val="00C82F54"/>
    <w:rsid w:val="00C8504C"/>
    <w:rsid w:val="00CA4998"/>
    <w:rsid w:val="00CD2261"/>
    <w:rsid w:val="00CF0AA2"/>
    <w:rsid w:val="00D07BD6"/>
    <w:rsid w:val="00D123D5"/>
    <w:rsid w:val="00D159CD"/>
    <w:rsid w:val="00D27B6B"/>
    <w:rsid w:val="00D441EB"/>
    <w:rsid w:val="00D53B45"/>
    <w:rsid w:val="00D82BA4"/>
    <w:rsid w:val="00D83789"/>
    <w:rsid w:val="00D9240D"/>
    <w:rsid w:val="00DC2FFE"/>
    <w:rsid w:val="00DC6E54"/>
    <w:rsid w:val="00DD64C7"/>
    <w:rsid w:val="00E202DB"/>
    <w:rsid w:val="00E513C5"/>
    <w:rsid w:val="00E660A2"/>
    <w:rsid w:val="00E75AC6"/>
    <w:rsid w:val="00EA3424"/>
    <w:rsid w:val="00EB64BC"/>
    <w:rsid w:val="00EC0BDF"/>
    <w:rsid w:val="00EC7D04"/>
    <w:rsid w:val="00EF2E5C"/>
    <w:rsid w:val="00F31B91"/>
    <w:rsid w:val="00F5285D"/>
    <w:rsid w:val="00F57355"/>
    <w:rsid w:val="00F71273"/>
    <w:rsid w:val="00F8655F"/>
    <w:rsid w:val="00FE4B9E"/>
    <w:rsid w:val="00FF6A9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3F6D36"/>
  <w15:chartTrackingRefBased/>
  <w15:docId w15:val="{30FA1AAA-5C83-49B8-85A6-6190EB70A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F56"/>
    <w:pPr>
      <w:spacing w:after="0" w:line="240" w:lineRule="auto"/>
    </w:pPr>
    <w:rPr>
      <w:rFonts w:ascii="Garamond" w:eastAsia="Times" w:hAnsi="Garamond" w:cs="Times New Roman"/>
      <w:sz w:val="24"/>
      <w:szCs w:val="20"/>
      <w:lang w:val="es-ES_tradnl"/>
    </w:rPr>
  </w:style>
  <w:style w:type="paragraph" w:styleId="Ttulo1">
    <w:name w:val="heading 1"/>
    <w:basedOn w:val="Normal"/>
    <w:next w:val="Normal"/>
    <w:link w:val="Ttulo1Car"/>
    <w:uiPriority w:val="9"/>
    <w:qFormat/>
    <w:rsid w:val="00663F56"/>
    <w:pPr>
      <w:keepNext/>
      <w:spacing w:before="240" w:after="60"/>
      <w:outlineLvl w:val="0"/>
    </w:pPr>
    <w:rPr>
      <w:rFonts w:ascii="Cambria" w:eastAsia="Times New Roman" w:hAnsi="Cambria"/>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3F56"/>
    <w:rPr>
      <w:rFonts w:ascii="Cambria" w:eastAsia="Times New Roman" w:hAnsi="Cambria" w:cs="Times New Roman"/>
      <w:b/>
      <w:bCs/>
      <w:kern w:val="32"/>
      <w:sz w:val="32"/>
      <w:szCs w:val="32"/>
      <w:lang w:val="es-ES_tradnl"/>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qFormat/>
    <w:rsid w:val="00663F56"/>
    <w:rPr>
      <w:rFonts w:ascii="Times" w:hAnsi="Tim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qFormat/>
    <w:rsid w:val="00663F56"/>
    <w:rPr>
      <w:rFonts w:ascii="Times" w:eastAsia="Times" w:hAnsi="Times" w:cs="Times New Roman"/>
      <w:sz w:val="24"/>
      <w:szCs w:val="20"/>
      <w:lang w:val="es-ES_tradnl"/>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link w:val="4GChar"/>
    <w:uiPriority w:val="99"/>
    <w:qFormat/>
    <w:rsid w:val="00663F56"/>
    <w:rPr>
      <w:vertAlign w:val="superscript"/>
    </w:rPr>
  </w:style>
  <w:style w:type="paragraph" w:styleId="Piedepgina">
    <w:name w:val="footer"/>
    <w:basedOn w:val="Normal"/>
    <w:link w:val="PiedepginaCar"/>
    <w:uiPriority w:val="99"/>
    <w:rsid w:val="00663F56"/>
    <w:pPr>
      <w:tabs>
        <w:tab w:val="center" w:pos="4320"/>
        <w:tab w:val="right" w:pos="8640"/>
      </w:tabs>
    </w:pPr>
  </w:style>
  <w:style w:type="character" w:customStyle="1" w:styleId="PiedepginaCar">
    <w:name w:val="Pie de página Car"/>
    <w:basedOn w:val="Fuentedeprrafopredeter"/>
    <w:link w:val="Piedepgina"/>
    <w:uiPriority w:val="99"/>
    <w:rsid w:val="00663F56"/>
    <w:rPr>
      <w:rFonts w:ascii="Garamond" w:eastAsia="Times" w:hAnsi="Garamond" w:cs="Times New Roman"/>
      <w:sz w:val="24"/>
      <w:szCs w:val="20"/>
      <w:lang w:val="es-ES_tradnl"/>
    </w:rPr>
  </w:style>
  <w:style w:type="paragraph" w:styleId="Encabezado">
    <w:name w:val="header"/>
    <w:basedOn w:val="Normal"/>
    <w:link w:val="EncabezadoCar"/>
    <w:uiPriority w:val="99"/>
    <w:rsid w:val="00663F56"/>
    <w:pPr>
      <w:tabs>
        <w:tab w:val="center" w:pos="4320"/>
        <w:tab w:val="right" w:pos="8640"/>
      </w:tabs>
    </w:pPr>
  </w:style>
  <w:style w:type="character" w:customStyle="1" w:styleId="EncabezadoCar">
    <w:name w:val="Encabezado Car"/>
    <w:basedOn w:val="Fuentedeprrafopredeter"/>
    <w:link w:val="Encabezado"/>
    <w:uiPriority w:val="99"/>
    <w:rsid w:val="00663F56"/>
    <w:rPr>
      <w:rFonts w:ascii="Garamond" w:eastAsia="Times" w:hAnsi="Garamond" w:cs="Times New Roman"/>
      <w:sz w:val="24"/>
      <w:szCs w:val="20"/>
      <w:lang w:val="es-ES_tradnl"/>
    </w:rPr>
  </w:style>
  <w:style w:type="character" w:styleId="Hipervnculo">
    <w:name w:val="Hyperlink"/>
    <w:uiPriority w:val="99"/>
    <w:unhideWhenUsed/>
    <w:rsid w:val="00663F56"/>
    <w:rPr>
      <w:color w:val="0000FF"/>
      <w:u w:val="single"/>
    </w:rPr>
  </w:style>
  <w:style w:type="paragraph" w:styleId="NormalWeb">
    <w:name w:val="Normal (Web)"/>
    <w:basedOn w:val="Normal"/>
    <w:uiPriority w:val="99"/>
    <w:unhideWhenUsed/>
    <w:rsid w:val="00663F56"/>
    <w:pPr>
      <w:spacing w:before="100" w:beforeAutospacing="1" w:after="100" w:afterAutospacing="1"/>
    </w:pPr>
    <w:rPr>
      <w:rFonts w:ascii="Times New Roman" w:eastAsia="Times New Roman" w:hAnsi="Times New Roman"/>
      <w:szCs w:val="24"/>
      <w:lang w:val="es-CR" w:eastAsia="es-CR"/>
    </w:rPr>
  </w:style>
  <w:style w:type="paragraph" w:styleId="Prrafodelista">
    <w:name w:val="List Paragraph"/>
    <w:aliases w:val="List Paragraph1,Cuadrícula clara - Énfasis 31,List Paragraph2,Lista vistosa - Énfasis 11,Lista clara - Énfasis 51"/>
    <w:basedOn w:val="Normal"/>
    <w:link w:val="PrrafodelistaCar"/>
    <w:uiPriority w:val="34"/>
    <w:qFormat/>
    <w:rsid w:val="00663F56"/>
    <w:pPr>
      <w:ind w:left="708"/>
    </w:pPr>
  </w:style>
  <w:style w:type="paragraph" w:styleId="TDC1">
    <w:name w:val="toc 1"/>
    <w:basedOn w:val="Normal"/>
    <w:next w:val="Normal"/>
    <w:autoRedefine/>
    <w:uiPriority w:val="39"/>
    <w:unhideWhenUsed/>
    <w:rsid w:val="00456EB2"/>
    <w:pPr>
      <w:numPr>
        <w:numId w:val="17"/>
      </w:numPr>
      <w:tabs>
        <w:tab w:val="left" w:pos="567"/>
        <w:tab w:val="right" w:leader="dot" w:pos="8828"/>
      </w:tabs>
      <w:jc w:val="both"/>
    </w:pPr>
    <w:rPr>
      <w:rFonts w:ascii="Verdana" w:hAnsi="Verdana"/>
      <w:b/>
      <w:i/>
      <w:iCs/>
      <w:noProof/>
      <w:sz w:val="20"/>
      <w:lang w:val="es-CR" w:eastAsia="es-CR"/>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663F56"/>
    <w:pPr>
      <w:jc w:val="both"/>
    </w:pPr>
    <w:rPr>
      <w:rFonts w:asciiTheme="minorHAnsi" w:eastAsiaTheme="minorHAnsi" w:hAnsiTheme="minorHAnsi" w:cstheme="minorBidi"/>
      <w:sz w:val="22"/>
      <w:szCs w:val="22"/>
      <w:vertAlign w:val="superscript"/>
      <w:lang w:val="es-CR"/>
    </w:rPr>
  </w:style>
  <w:style w:type="character" w:customStyle="1" w:styleId="PrrafodelistaCar">
    <w:name w:val="Párrafo de lista Car"/>
    <w:aliases w:val="List Paragraph1 Car,Cuadrícula clara - Énfasis 31 Car,List Paragraph2 Car,Lista vistosa - Énfasis 11 Car,Lista clara - Énfasis 51 Car"/>
    <w:link w:val="Prrafodelista"/>
    <w:uiPriority w:val="34"/>
    <w:rsid w:val="00663F56"/>
    <w:rPr>
      <w:rFonts w:ascii="Garamond" w:eastAsia="Times" w:hAnsi="Garamond" w:cs="Times New Roman"/>
      <w:sz w:val="24"/>
      <w:szCs w:val="20"/>
      <w:lang w:val="es-ES_tradnl"/>
    </w:rPr>
  </w:style>
  <w:style w:type="character" w:styleId="Nmerodelnea">
    <w:name w:val="line number"/>
    <w:basedOn w:val="Fuentedeprrafopredeter"/>
    <w:uiPriority w:val="99"/>
    <w:semiHidden/>
    <w:unhideWhenUsed/>
    <w:rsid w:val="00663F56"/>
  </w:style>
  <w:style w:type="character" w:styleId="Hipervnculovisitado">
    <w:name w:val="FollowedHyperlink"/>
    <w:basedOn w:val="Fuentedeprrafopredeter"/>
    <w:uiPriority w:val="99"/>
    <w:semiHidden/>
    <w:unhideWhenUsed/>
    <w:rsid w:val="00D9240D"/>
    <w:rPr>
      <w:color w:val="954F72" w:themeColor="followedHyperlink"/>
      <w:u w:val="single"/>
    </w:rPr>
  </w:style>
  <w:style w:type="paragraph" w:styleId="Revisin">
    <w:name w:val="Revision"/>
    <w:hidden/>
    <w:uiPriority w:val="99"/>
    <w:semiHidden/>
    <w:rsid w:val="00C17E72"/>
    <w:pPr>
      <w:spacing w:after="0" w:line="240" w:lineRule="auto"/>
    </w:pPr>
    <w:rPr>
      <w:rFonts w:ascii="Garamond" w:eastAsia="Times" w:hAnsi="Garamond" w:cs="Times New Roman"/>
      <w:sz w:val="24"/>
      <w:szCs w:val="20"/>
      <w:lang w:val="es-ES_tradnl"/>
    </w:rPr>
  </w:style>
  <w:style w:type="character" w:styleId="Refdecomentario">
    <w:name w:val="annotation reference"/>
    <w:basedOn w:val="Fuentedeprrafopredeter"/>
    <w:uiPriority w:val="99"/>
    <w:semiHidden/>
    <w:unhideWhenUsed/>
    <w:rsid w:val="004B7C04"/>
    <w:rPr>
      <w:sz w:val="16"/>
      <w:szCs w:val="16"/>
    </w:rPr>
  </w:style>
  <w:style w:type="paragraph" w:styleId="Textocomentario">
    <w:name w:val="annotation text"/>
    <w:basedOn w:val="Normal"/>
    <w:link w:val="TextocomentarioCar"/>
    <w:uiPriority w:val="99"/>
    <w:unhideWhenUsed/>
    <w:rsid w:val="004B7C04"/>
    <w:rPr>
      <w:sz w:val="20"/>
    </w:rPr>
  </w:style>
  <w:style w:type="character" w:customStyle="1" w:styleId="TextocomentarioCar">
    <w:name w:val="Texto comentario Car"/>
    <w:basedOn w:val="Fuentedeprrafopredeter"/>
    <w:link w:val="Textocomentario"/>
    <w:uiPriority w:val="99"/>
    <w:rsid w:val="004B7C04"/>
    <w:rPr>
      <w:rFonts w:ascii="Garamond" w:eastAsia="Times" w:hAnsi="Garamond"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4B7C04"/>
    <w:rPr>
      <w:b/>
      <w:bCs/>
    </w:rPr>
  </w:style>
  <w:style w:type="character" w:customStyle="1" w:styleId="AsuntodelcomentarioCar">
    <w:name w:val="Asunto del comentario Car"/>
    <w:basedOn w:val="TextocomentarioCar"/>
    <w:link w:val="Asuntodelcomentario"/>
    <w:uiPriority w:val="99"/>
    <w:semiHidden/>
    <w:rsid w:val="004B7C04"/>
    <w:rPr>
      <w:rFonts w:ascii="Garamond" w:eastAsia="Times" w:hAnsi="Garamond" w:cs="Times New Roman"/>
      <w:b/>
      <w:bCs/>
      <w:sz w:val="20"/>
      <w:szCs w:val="20"/>
      <w:lang w:val="es-ES_tradnl"/>
    </w:rPr>
  </w:style>
  <w:style w:type="character" w:styleId="Mencinsinresolver">
    <w:name w:val="Unresolved Mention"/>
    <w:basedOn w:val="Fuentedeprrafopredeter"/>
    <w:uiPriority w:val="99"/>
    <w:semiHidden/>
    <w:unhideWhenUsed/>
    <w:rsid w:val="00376D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039586">
      <w:bodyDiv w:val="1"/>
      <w:marLeft w:val="0"/>
      <w:marRight w:val="0"/>
      <w:marTop w:val="0"/>
      <w:marBottom w:val="0"/>
      <w:divBdr>
        <w:top w:val="none" w:sz="0" w:space="0" w:color="auto"/>
        <w:left w:val="none" w:sz="0" w:space="0" w:color="auto"/>
        <w:bottom w:val="none" w:sz="0" w:space="0" w:color="auto"/>
        <w:right w:val="none" w:sz="0" w:space="0" w:color="auto"/>
      </w:divBdr>
    </w:div>
    <w:div w:id="850339429">
      <w:bodyDiv w:val="1"/>
      <w:marLeft w:val="0"/>
      <w:marRight w:val="0"/>
      <w:marTop w:val="0"/>
      <w:marBottom w:val="0"/>
      <w:divBdr>
        <w:top w:val="none" w:sz="0" w:space="0" w:color="auto"/>
        <w:left w:val="none" w:sz="0" w:space="0" w:color="auto"/>
        <w:bottom w:val="none" w:sz="0" w:space="0" w:color="auto"/>
        <w:right w:val="none" w:sz="0" w:space="0" w:color="auto"/>
      </w:divBdr>
    </w:div>
    <w:div w:id="110048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youtube.com/watch?v=fwdg3ckqjAg" TargetMode="External"/><Relationship Id="rId1" Type="http://schemas.openxmlformats.org/officeDocument/2006/relationships/hyperlink" Target="http://corteidh.or.cr/docs/casos/articulos/seriec_148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B8DB6-5C43-41D4-A952-D2125B00F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1442</Words>
  <Characters>7427</Characters>
  <Application>Microsoft Office Word</Application>
  <DocSecurity>0</DocSecurity>
  <Lines>130</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dcterms:created xsi:type="dcterms:W3CDTF">2023-10-05T19:47:00Z</dcterms:created>
  <dcterms:modified xsi:type="dcterms:W3CDTF">2023-10-05T19:47:00Z</dcterms:modified>
</cp:coreProperties>
</file>