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7A262" w14:textId="77777777" w:rsidR="008E5334" w:rsidRDefault="008E5334" w:rsidP="00695B53">
      <w:pPr>
        <w:jc w:val="center"/>
        <w:rPr>
          <w:rFonts w:ascii="Verdana" w:hAnsi="Verdana"/>
          <w:b/>
          <w:sz w:val="20"/>
          <w:lang w:val="es-MX"/>
        </w:rPr>
      </w:pPr>
    </w:p>
    <w:p w14:paraId="0B5E6A29" w14:textId="77777777" w:rsidR="008E5334" w:rsidRDefault="008E5334" w:rsidP="00695B53">
      <w:pPr>
        <w:jc w:val="center"/>
        <w:rPr>
          <w:rFonts w:ascii="Verdana" w:hAnsi="Verdana"/>
          <w:b/>
          <w:sz w:val="20"/>
          <w:lang w:val="es-MX"/>
        </w:rPr>
      </w:pPr>
    </w:p>
    <w:p w14:paraId="0C5BD016" w14:textId="77777777" w:rsidR="00695B53" w:rsidRDefault="00695B53" w:rsidP="00695B53">
      <w:pPr>
        <w:jc w:val="center"/>
        <w:rPr>
          <w:rFonts w:ascii="Verdana" w:hAnsi="Verdana"/>
          <w:b/>
          <w:sz w:val="20"/>
          <w:lang w:val="es-MX"/>
        </w:rPr>
      </w:pPr>
      <w:r>
        <w:rPr>
          <w:rFonts w:ascii="Verdana" w:hAnsi="Verdana"/>
          <w:b/>
          <w:sz w:val="20"/>
          <w:lang w:val="es-MX"/>
        </w:rPr>
        <w:t xml:space="preserve">RESOLUCIÓN DE LA </w:t>
      </w:r>
    </w:p>
    <w:p w14:paraId="394A9A68" w14:textId="77777777" w:rsidR="00695B53" w:rsidRDefault="00695B53" w:rsidP="00695B53">
      <w:pPr>
        <w:jc w:val="center"/>
        <w:rPr>
          <w:rFonts w:ascii="Verdana" w:hAnsi="Verdana"/>
          <w:b/>
          <w:smallCaps/>
          <w:sz w:val="20"/>
        </w:rPr>
      </w:pPr>
      <w:r>
        <w:rPr>
          <w:rFonts w:ascii="Verdana" w:hAnsi="Verdana"/>
          <w:b/>
          <w:sz w:val="20"/>
          <w:lang w:val="es-MX"/>
        </w:rPr>
        <w:t>CORTE INTERAMERICANA DE DERECHOS HUMANOS</w:t>
      </w:r>
      <w:r>
        <w:rPr>
          <w:rStyle w:val="Refdenotaalpie"/>
          <w:rFonts w:ascii="Verdana" w:hAnsi="Verdana"/>
          <w:b/>
          <w:smallCaps/>
          <w:sz w:val="20"/>
        </w:rPr>
        <w:footnoteReference w:customMarkFollows="1" w:id="1"/>
        <w:sym w:font="Symbol" w:char="F02A"/>
      </w:r>
    </w:p>
    <w:p w14:paraId="7E126D61" w14:textId="77777777" w:rsidR="00695B53" w:rsidRDefault="00695B53" w:rsidP="00224A44">
      <w:pPr>
        <w:jc w:val="right"/>
        <w:rPr>
          <w:rFonts w:ascii="Verdana" w:hAnsi="Verdana"/>
          <w:b/>
          <w:sz w:val="20"/>
        </w:rPr>
      </w:pPr>
    </w:p>
    <w:p w14:paraId="23FB2E22" w14:textId="1D147711" w:rsidR="00695B53" w:rsidRPr="00AC2237" w:rsidRDefault="00695B53" w:rsidP="00695B53">
      <w:pPr>
        <w:jc w:val="center"/>
        <w:rPr>
          <w:rFonts w:ascii="Verdana" w:hAnsi="Verdana"/>
          <w:b/>
          <w:sz w:val="20"/>
          <w:lang w:val="es-CR"/>
        </w:rPr>
      </w:pPr>
      <w:r w:rsidRPr="00AC2237">
        <w:rPr>
          <w:rFonts w:ascii="Verdana" w:hAnsi="Verdana"/>
          <w:b/>
          <w:sz w:val="20"/>
          <w:lang w:val="es-CR"/>
        </w:rPr>
        <w:t xml:space="preserve">DE </w:t>
      </w:r>
      <w:r w:rsidR="00CA6207">
        <w:rPr>
          <w:rFonts w:ascii="Verdana" w:hAnsi="Verdana"/>
          <w:b/>
          <w:sz w:val="20"/>
          <w:lang w:val="es-CR"/>
        </w:rPr>
        <w:t>30</w:t>
      </w:r>
      <w:r w:rsidRPr="00AC2237">
        <w:rPr>
          <w:rFonts w:ascii="Verdana" w:hAnsi="Verdana"/>
          <w:b/>
          <w:sz w:val="20"/>
          <w:lang w:val="es-CR"/>
        </w:rPr>
        <w:t xml:space="preserve"> DE </w:t>
      </w:r>
      <w:r w:rsidR="009B2A8E" w:rsidRPr="00AC2237">
        <w:rPr>
          <w:rFonts w:ascii="Verdana" w:hAnsi="Verdana"/>
          <w:b/>
          <w:sz w:val="20"/>
          <w:lang w:val="es-CR"/>
        </w:rPr>
        <w:t xml:space="preserve">AGOSTO </w:t>
      </w:r>
      <w:r w:rsidRPr="00AC2237">
        <w:rPr>
          <w:rFonts w:ascii="Verdana" w:hAnsi="Verdana"/>
          <w:b/>
          <w:sz w:val="20"/>
          <w:lang w:val="es-CR"/>
        </w:rPr>
        <w:t>DE 2023</w:t>
      </w:r>
    </w:p>
    <w:p w14:paraId="7625869F" w14:textId="77777777" w:rsidR="00695B53" w:rsidRPr="00AC2237" w:rsidRDefault="00695B53" w:rsidP="00695B53">
      <w:pPr>
        <w:jc w:val="center"/>
        <w:rPr>
          <w:rFonts w:ascii="Verdana" w:hAnsi="Verdana"/>
          <w:b/>
          <w:sz w:val="20"/>
          <w:lang w:val="es-CR"/>
        </w:rPr>
      </w:pPr>
    </w:p>
    <w:p w14:paraId="18AA6B6A" w14:textId="19847B8F" w:rsidR="00695B53" w:rsidRDefault="00695B53" w:rsidP="00695B53">
      <w:pPr>
        <w:jc w:val="center"/>
        <w:rPr>
          <w:rFonts w:ascii="Verdana" w:hAnsi="Verdana"/>
          <w:b/>
          <w:i/>
          <w:sz w:val="20"/>
          <w:lang w:val="es-MX"/>
        </w:rPr>
      </w:pPr>
      <w:r w:rsidRPr="00D30D60">
        <w:rPr>
          <w:rFonts w:ascii="Verdana" w:hAnsi="Verdana"/>
          <w:b/>
          <w:i/>
          <w:sz w:val="20"/>
          <w:lang w:val="es-CR"/>
        </w:rPr>
        <w:t xml:space="preserve">CASO </w:t>
      </w:r>
      <w:r w:rsidR="00E21C75" w:rsidRPr="00D30D60">
        <w:rPr>
          <w:rFonts w:ascii="Verdana" w:hAnsi="Verdana"/>
          <w:b/>
          <w:i/>
          <w:sz w:val="20"/>
          <w:lang w:val="es-CR"/>
        </w:rPr>
        <w:t xml:space="preserve">CARVAJAL </w:t>
      </w:r>
      <w:proofErr w:type="spellStart"/>
      <w:r w:rsidR="00E21C75" w:rsidRPr="00D30D60">
        <w:rPr>
          <w:rFonts w:ascii="Verdana" w:hAnsi="Verdana"/>
          <w:b/>
          <w:i/>
          <w:sz w:val="20"/>
          <w:lang w:val="es-CR"/>
        </w:rPr>
        <w:t>CARVAJAL</w:t>
      </w:r>
      <w:proofErr w:type="spellEnd"/>
      <w:r w:rsidR="001D2E9C" w:rsidRPr="00D30D60">
        <w:rPr>
          <w:rFonts w:ascii="Verdana" w:hAnsi="Verdana"/>
          <w:b/>
          <w:i/>
          <w:sz w:val="20"/>
          <w:lang w:val="es-CR"/>
        </w:rPr>
        <w:t xml:space="preserve"> </w:t>
      </w:r>
      <w:r w:rsidR="001D2E9C" w:rsidRPr="00AC2237">
        <w:rPr>
          <w:rFonts w:ascii="Verdana" w:hAnsi="Verdana"/>
          <w:b/>
          <w:i/>
          <w:sz w:val="20"/>
          <w:lang w:val="es-CR"/>
        </w:rPr>
        <w:t>Y OTROS</w:t>
      </w:r>
      <w:r w:rsidR="00E21C75" w:rsidRPr="00D30D60">
        <w:rPr>
          <w:rFonts w:ascii="Verdana" w:hAnsi="Verdana"/>
          <w:b/>
          <w:i/>
          <w:sz w:val="20"/>
          <w:lang w:val="es-CR"/>
        </w:rPr>
        <w:t xml:space="preserve"> VS. </w:t>
      </w:r>
      <w:r w:rsidR="00E21C75">
        <w:rPr>
          <w:rFonts w:ascii="Verdana" w:hAnsi="Verdana"/>
          <w:b/>
          <w:i/>
          <w:sz w:val="20"/>
          <w:lang w:val="es-CR"/>
        </w:rPr>
        <w:t>COLOMBIA</w:t>
      </w:r>
    </w:p>
    <w:p w14:paraId="5CE7797A" w14:textId="77777777" w:rsidR="00695B53" w:rsidRDefault="00695B53" w:rsidP="00695B53">
      <w:pPr>
        <w:jc w:val="center"/>
        <w:rPr>
          <w:rFonts w:ascii="Verdana" w:hAnsi="Verdana"/>
          <w:b/>
          <w:i/>
          <w:sz w:val="20"/>
          <w:lang w:val="es-MX"/>
        </w:rPr>
      </w:pPr>
    </w:p>
    <w:p w14:paraId="372C3176" w14:textId="77777777" w:rsidR="00695B53" w:rsidRDefault="00695B53" w:rsidP="00695B53">
      <w:pPr>
        <w:jc w:val="center"/>
        <w:rPr>
          <w:rFonts w:ascii="Verdana" w:hAnsi="Verdana"/>
          <w:b/>
          <w:sz w:val="20"/>
          <w:lang w:val="es-MX"/>
        </w:rPr>
      </w:pPr>
      <w:r>
        <w:rPr>
          <w:rFonts w:ascii="Verdana" w:hAnsi="Verdana"/>
          <w:b/>
          <w:sz w:val="20"/>
          <w:lang w:val="es-MX"/>
        </w:rPr>
        <w:t>SUPERVISIÓN DE CUMPLIMIENTO DE SENTENCIA</w:t>
      </w:r>
    </w:p>
    <w:p w14:paraId="3572442D" w14:textId="77777777" w:rsidR="00695B53" w:rsidRDefault="00695B53" w:rsidP="00695B53">
      <w:pPr>
        <w:jc w:val="both"/>
        <w:rPr>
          <w:rFonts w:ascii="Verdana" w:hAnsi="Verdana"/>
          <w:sz w:val="20"/>
          <w:lang w:val="es-MX"/>
        </w:rPr>
      </w:pPr>
    </w:p>
    <w:p w14:paraId="7BAE30AF" w14:textId="77777777" w:rsidR="00695B53" w:rsidRDefault="00695B53" w:rsidP="00695B53">
      <w:pPr>
        <w:pStyle w:val="NormalWeb"/>
        <w:spacing w:before="120" w:beforeAutospacing="0" w:after="120" w:afterAutospacing="0"/>
        <w:jc w:val="both"/>
        <w:rPr>
          <w:rFonts w:ascii="Verdana" w:hAnsi="Verdana" w:cs="Calibri"/>
          <w:b/>
          <w:color w:val="000000"/>
          <w:sz w:val="20"/>
          <w:szCs w:val="20"/>
        </w:rPr>
      </w:pPr>
      <w:r>
        <w:rPr>
          <w:rFonts w:ascii="Verdana" w:hAnsi="Verdana" w:cs="Calibri"/>
          <w:b/>
          <w:color w:val="000000"/>
          <w:sz w:val="20"/>
          <w:szCs w:val="20"/>
        </w:rPr>
        <w:t xml:space="preserve">VISTO: </w:t>
      </w:r>
    </w:p>
    <w:p w14:paraId="648EAE92" w14:textId="0E11FE5E" w:rsidR="00695B53" w:rsidRDefault="00695B53" w:rsidP="00695B53">
      <w:pPr>
        <w:pStyle w:val="Prrafodelista"/>
        <w:numPr>
          <w:ilvl w:val="0"/>
          <w:numId w:val="1"/>
        </w:numPr>
        <w:spacing w:before="120" w:after="120"/>
        <w:ind w:left="0" w:firstLine="0"/>
        <w:jc w:val="both"/>
        <w:rPr>
          <w:rFonts w:ascii="Verdana" w:hAnsi="Verdana"/>
          <w:color w:val="000000"/>
          <w:sz w:val="20"/>
        </w:rPr>
      </w:pPr>
      <w:r>
        <w:rPr>
          <w:rFonts w:ascii="Verdana" w:hAnsi="Verdana"/>
          <w:sz w:val="20"/>
        </w:rPr>
        <w:t>La</w:t>
      </w:r>
      <w:r w:rsidR="00B41D0E">
        <w:rPr>
          <w:rFonts w:ascii="Verdana" w:hAnsi="Verdana"/>
          <w:sz w:val="20"/>
        </w:rPr>
        <w:t>s</w:t>
      </w:r>
      <w:r>
        <w:rPr>
          <w:rFonts w:ascii="Verdana" w:hAnsi="Verdana"/>
          <w:sz w:val="20"/>
        </w:rPr>
        <w:t xml:space="preserve"> Sentencia</w:t>
      </w:r>
      <w:r w:rsidR="00B41D0E">
        <w:rPr>
          <w:rFonts w:ascii="Verdana" w:hAnsi="Verdana"/>
          <w:sz w:val="20"/>
        </w:rPr>
        <w:t>s</w:t>
      </w:r>
      <w:r>
        <w:rPr>
          <w:rFonts w:ascii="Verdana" w:hAnsi="Verdana"/>
          <w:sz w:val="20"/>
        </w:rPr>
        <w:t xml:space="preserve"> de </w:t>
      </w:r>
      <w:r w:rsidR="00E21C75">
        <w:rPr>
          <w:rFonts w:ascii="Verdana" w:hAnsi="Verdana"/>
          <w:sz w:val="20"/>
        </w:rPr>
        <w:t>fondo, reparaciones y costas</w:t>
      </w:r>
      <w:r>
        <w:rPr>
          <w:rFonts w:ascii="Verdana" w:hAnsi="Verdana"/>
          <w:sz w:val="20"/>
        </w:rPr>
        <w:t xml:space="preserve"> </w:t>
      </w:r>
      <w:r>
        <w:rPr>
          <w:rFonts w:ascii="Verdana" w:hAnsi="Verdana"/>
          <w:bCs/>
          <w:sz w:val="20"/>
        </w:rPr>
        <w:t>(en adelante “la Sentencia”</w:t>
      </w:r>
      <w:r w:rsidR="004C0D9F">
        <w:rPr>
          <w:rFonts w:ascii="Verdana" w:hAnsi="Verdana"/>
          <w:bCs/>
          <w:sz w:val="20"/>
        </w:rPr>
        <w:t xml:space="preserve"> o “el Fallo”</w:t>
      </w:r>
      <w:r>
        <w:rPr>
          <w:rFonts w:ascii="Verdana" w:hAnsi="Verdana"/>
          <w:bCs/>
          <w:sz w:val="20"/>
        </w:rPr>
        <w:t>)</w:t>
      </w:r>
      <w:r w:rsidR="00E21C75">
        <w:rPr>
          <w:rStyle w:val="Refdenotaalpie"/>
          <w:rFonts w:ascii="Verdana" w:hAnsi="Verdana"/>
          <w:bCs/>
          <w:sz w:val="20"/>
        </w:rPr>
        <w:footnoteReference w:id="2"/>
      </w:r>
      <w:r>
        <w:rPr>
          <w:rFonts w:ascii="Verdana" w:hAnsi="Verdana"/>
          <w:color w:val="000000"/>
          <w:sz w:val="20"/>
        </w:rPr>
        <w:t xml:space="preserve"> </w:t>
      </w:r>
      <w:r w:rsidR="00E21C75">
        <w:rPr>
          <w:rFonts w:ascii="Verdana" w:hAnsi="Verdana"/>
          <w:color w:val="000000"/>
          <w:sz w:val="20"/>
        </w:rPr>
        <w:t>y la de interpretación</w:t>
      </w:r>
      <w:r w:rsidR="00E21C75">
        <w:rPr>
          <w:rStyle w:val="Refdenotaalpie"/>
          <w:rFonts w:ascii="Verdana" w:hAnsi="Verdana"/>
          <w:color w:val="000000"/>
          <w:sz w:val="20"/>
        </w:rPr>
        <w:footnoteReference w:id="3"/>
      </w:r>
      <w:r w:rsidR="00E21C75">
        <w:rPr>
          <w:rFonts w:ascii="Verdana" w:hAnsi="Verdana"/>
          <w:color w:val="000000"/>
          <w:sz w:val="20"/>
        </w:rPr>
        <w:t xml:space="preserve"> </w:t>
      </w:r>
      <w:r>
        <w:rPr>
          <w:rFonts w:ascii="Verdana" w:hAnsi="Verdana"/>
          <w:color w:val="000000"/>
          <w:sz w:val="20"/>
        </w:rPr>
        <w:t>dictada</w:t>
      </w:r>
      <w:r w:rsidR="00B41D0E">
        <w:rPr>
          <w:rFonts w:ascii="Verdana" w:hAnsi="Verdana"/>
          <w:color w:val="000000"/>
          <w:sz w:val="20"/>
        </w:rPr>
        <w:t>s</w:t>
      </w:r>
      <w:r>
        <w:rPr>
          <w:rFonts w:ascii="Verdana" w:hAnsi="Verdana"/>
          <w:color w:val="000000"/>
          <w:sz w:val="20"/>
        </w:rPr>
        <w:t xml:space="preserve"> por la Corte Interamericana de Derechos Humanos (en adelante “la Corte Interamerican</w:t>
      </w:r>
      <w:r w:rsidR="00E21C75">
        <w:rPr>
          <w:rFonts w:ascii="Verdana" w:hAnsi="Verdana"/>
          <w:color w:val="000000"/>
          <w:sz w:val="20"/>
        </w:rPr>
        <w:t>a”, “la Corte” o “el Tribunal”)</w:t>
      </w:r>
      <w:r w:rsidR="00B41D0E">
        <w:rPr>
          <w:rFonts w:ascii="Verdana" w:hAnsi="Verdana"/>
          <w:color w:val="000000"/>
          <w:sz w:val="20"/>
        </w:rPr>
        <w:t xml:space="preserve"> el 13 de marzo y el 21 de noviembre de 2018, respectivamente</w:t>
      </w:r>
      <w:r w:rsidR="00E21C75">
        <w:rPr>
          <w:rFonts w:ascii="Verdana" w:hAnsi="Verdana"/>
          <w:color w:val="000000"/>
          <w:sz w:val="20"/>
        </w:rPr>
        <w:t>.</w:t>
      </w:r>
    </w:p>
    <w:p w14:paraId="50CC00C3" w14:textId="6FC12CDE" w:rsidR="00695B53" w:rsidRDefault="00695B53" w:rsidP="00695B53">
      <w:pPr>
        <w:pStyle w:val="Prrafodelista"/>
        <w:numPr>
          <w:ilvl w:val="0"/>
          <w:numId w:val="1"/>
        </w:numPr>
        <w:spacing w:before="120" w:after="120"/>
        <w:ind w:left="0" w:firstLine="0"/>
        <w:jc w:val="both"/>
        <w:rPr>
          <w:rFonts w:ascii="Verdana" w:hAnsi="Verdana"/>
          <w:color w:val="000000"/>
          <w:sz w:val="20"/>
        </w:rPr>
      </w:pPr>
      <w:r>
        <w:rPr>
          <w:rFonts w:ascii="Verdana" w:hAnsi="Verdana"/>
          <w:sz w:val="20"/>
        </w:rPr>
        <w:t>La</w:t>
      </w:r>
      <w:r w:rsidR="00B41D0E">
        <w:rPr>
          <w:rFonts w:ascii="Verdana" w:hAnsi="Verdana"/>
          <w:sz w:val="20"/>
        </w:rPr>
        <w:t>s</w:t>
      </w:r>
      <w:r>
        <w:rPr>
          <w:rFonts w:ascii="Verdana" w:hAnsi="Verdana"/>
          <w:sz w:val="20"/>
        </w:rPr>
        <w:t xml:space="preserve"> </w:t>
      </w:r>
      <w:r w:rsidR="00B41D0E">
        <w:rPr>
          <w:rFonts w:ascii="Verdana" w:hAnsi="Verdana"/>
          <w:sz w:val="20"/>
        </w:rPr>
        <w:t xml:space="preserve">Resoluciones </w:t>
      </w:r>
      <w:r>
        <w:rPr>
          <w:rFonts w:ascii="Verdana" w:hAnsi="Verdana"/>
          <w:sz w:val="20"/>
        </w:rPr>
        <w:t>de supervisión de cumplimiento de Sentencia emitida</w:t>
      </w:r>
      <w:r w:rsidR="00B41D0E">
        <w:rPr>
          <w:rFonts w:ascii="Verdana" w:hAnsi="Verdana"/>
          <w:sz w:val="20"/>
        </w:rPr>
        <w:t>s</w:t>
      </w:r>
      <w:r>
        <w:rPr>
          <w:rFonts w:ascii="Verdana" w:hAnsi="Verdana"/>
          <w:sz w:val="20"/>
        </w:rPr>
        <w:t xml:space="preserve"> po</w:t>
      </w:r>
      <w:r w:rsidR="00E21C75">
        <w:rPr>
          <w:rFonts w:ascii="Verdana" w:hAnsi="Verdana"/>
          <w:sz w:val="20"/>
        </w:rPr>
        <w:t>r la Corte el 7 de octubre de 2019</w:t>
      </w:r>
      <w:r w:rsidR="00E21C75">
        <w:rPr>
          <w:rStyle w:val="Refdenotaalpie"/>
          <w:rFonts w:ascii="Verdana" w:hAnsi="Verdana"/>
          <w:sz w:val="20"/>
        </w:rPr>
        <w:footnoteReference w:id="4"/>
      </w:r>
      <w:r>
        <w:rPr>
          <w:rFonts w:ascii="Verdana" w:hAnsi="Verdana"/>
          <w:sz w:val="20"/>
        </w:rPr>
        <w:t xml:space="preserve"> </w:t>
      </w:r>
      <w:r w:rsidR="00E21C75">
        <w:rPr>
          <w:rFonts w:ascii="Verdana" w:hAnsi="Verdana"/>
          <w:sz w:val="20"/>
        </w:rPr>
        <w:t xml:space="preserve">y </w:t>
      </w:r>
      <w:r w:rsidR="00B41D0E">
        <w:rPr>
          <w:rFonts w:ascii="Verdana" w:hAnsi="Verdana"/>
          <w:sz w:val="20"/>
        </w:rPr>
        <w:t xml:space="preserve">el </w:t>
      </w:r>
      <w:r w:rsidR="00E21C75">
        <w:rPr>
          <w:rFonts w:ascii="Verdana" w:hAnsi="Verdana"/>
          <w:sz w:val="20"/>
        </w:rPr>
        <w:t>5 de abril de 2022</w:t>
      </w:r>
      <w:r w:rsidR="00E21C75">
        <w:rPr>
          <w:rStyle w:val="Refdenotaalpie"/>
          <w:rFonts w:ascii="Verdana" w:hAnsi="Verdana"/>
          <w:sz w:val="20"/>
        </w:rPr>
        <w:footnoteReference w:id="5"/>
      </w:r>
      <w:r w:rsidR="002B67CA">
        <w:rPr>
          <w:rFonts w:ascii="Verdana" w:hAnsi="Verdana"/>
          <w:sz w:val="20"/>
        </w:rPr>
        <w:t>.</w:t>
      </w:r>
    </w:p>
    <w:p w14:paraId="3D461DFE" w14:textId="779594B6" w:rsidR="00695B53" w:rsidRPr="000D6898" w:rsidRDefault="00695B53" w:rsidP="00695B53">
      <w:pPr>
        <w:pStyle w:val="Prrafodelista"/>
        <w:numPr>
          <w:ilvl w:val="0"/>
          <w:numId w:val="1"/>
        </w:numPr>
        <w:spacing w:before="120" w:after="120"/>
        <w:ind w:left="0" w:firstLine="0"/>
        <w:jc w:val="both"/>
        <w:rPr>
          <w:rFonts w:ascii="Verdana" w:hAnsi="Verdana"/>
          <w:color w:val="000000"/>
          <w:sz w:val="20"/>
        </w:rPr>
      </w:pPr>
      <w:r>
        <w:rPr>
          <w:rFonts w:ascii="Verdana" w:hAnsi="Verdana"/>
          <w:sz w:val="20"/>
        </w:rPr>
        <w:t xml:space="preserve">Los informes presentados por la República </w:t>
      </w:r>
      <w:r w:rsidR="002B67CA">
        <w:rPr>
          <w:rFonts w:ascii="Verdana" w:hAnsi="Verdana"/>
          <w:sz w:val="20"/>
        </w:rPr>
        <w:t>de Colombia</w:t>
      </w:r>
      <w:r>
        <w:rPr>
          <w:rFonts w:ascii="Verdana" w:hAnsi="Verdana"/>
          <w:sz w:val="20"/>
        </w:rPr>
        <w:t xml:space="preserve"> (en adelante “el Estado” o “</w:t>
      </w:r>
      <w:r w:rsidR="002B67CA">
        <w:rPr>
          <w:rFonts w:ascii="Verdana" w:hAnsi="Verdana"/>
          <w:sz w:val="20"/>
        </w:rPr>
        <w:t xml:space="preserve">Colombia”) entre </w:t>
      </w:r>
      <w:r w:rsidR="004E7CC0">
        <w:rPr>
          <w:rFonts w:ascii="Verdana" w:hAnsi="Verdana"/>
          <w:sz w:val="20"/>
        </w:rPr>
        <w:t xml:space="preserve">mayo </w:t>
      </w:r>
      <w:r w:rsidR="002B67CA">
        <w:rPr>
          <w:rFonts w:ascii="Verdana" w:hAnsi="Verdana"/>
          <w:sz w:val="20"/>
        </w:rPr>
        <w:t xml:space="preserve">de </w:t>
      </w:r>
      <w:r w:rsidR="004E7CC0">
        <w:rPr>
          <w:rFonts w:ascii="Verdana" w:hAnsi="Verdana"/>
          <w:sz w:val="20"/>
        </w:rPr>
        <w:t>2018</w:t>
      </w:r>
      <w:r w:rsidR="002B67CA">
        <w:rPr>
          <w:rFonts w:ascii="Verdana" w:hAnsi="Verdana"/>
          <w:sz w:val="20"/>
        </w:rPr>
        <w:t xml:space="preserve"> y mayo</w:t>
      </w:r>
      <w:r>
        <w:rPr>
          <w:rFonts w:ascii="Verdana" w:hAnsi="Verdana"/>
          <w:sz w:val="20"/>
        </w:rPr>
        <w:t xml:space="preserve"> de 2023, así como los escritos de observaciones presentados por los representantes de las víctimas (e</w:t>
      </w:r>
      <w:r w:rsidR="002B67CA">
        <w:rPr>
          <w:rFonts w:ascii="Verdana" w:hAnsi="Verdana"/>
          <w:sz w:val="20"/>
        </w:rPr>
        <w:t>n adelante “los representantes”)</w:t>
      </w:r>
      <w:r w:rsidR="002B67CA">
        <w:rPr>
          <w:rStyle w:val="Refdenotaalpie"/>
          <w:rFonts w:ascii="Verdana" w:hAnsi="Verdana"/>
          <w:sz w:val="20"/>
        </w:rPr>
        <w:footnoteReference w:id="6"/>
      </w:r>
      <w:r w:rsidR="002B67CA">
        <w:rPr>
          <w:rFonts w:ascii="Verdana" w:hAnsi="Verdana"/>
          <w:sz w:val="20"/>
        </w:rPr>
        <w:t xml:space="preserve"> entre </w:t>
      </w:r>
      <w:r w:rsidR="004E7CC0">
        <w:rPr>
          <w:rFonts w:ascii="Verdana" w:hAnsi="Verdana"/>
          <w:sz w:val="20"/>
        </w:rPr>
        <w:t xml:space="preserve">agosto </w:t>
      </w:r>
      <w:r w:rsidR="002B67CA">
        <w:rPr>
          <w:rFonts w:ascii="Verdana" w:hAnsi="Verdana"/>
          <w:sz w:val="20"/>
        </w:rPr>
        <w:t xml:space="preserve">de </w:t>
      </w:r>
      <w:r w:rsidR="004E7CC0">
        <w:rPr>
          <w:rFonts w:ascii="Verdana" w:hAnsi="Verdana"/>
          <w:sz w:val="20"/>
        </w:rPr>
        <w:t xml:space="preserve">2018 </w:t>
      </w:r>
      <w:r>
        <w:rPr>
          <w:rFonts w:ascii="Verdana" w:hAnsi="Verdana"/>
          <w:sz w:val="20"/>
        </w:rPr>
        <w:t xml:space="preserve">y </w:t>
      </w:r>
      <w:r w:rsidR="00AC2237">
        <w:rPr>
          <w:rFonts w:ascii="Verdana" w:hAnsi="Verdana"/>
          <w:sz w:val="20"/>
        </w:rPr>
        <w:t xml:space="preserve">mayo </w:t>
      </w:r>
      <w:r>
        <w:rPr>
          <w:rFonts w:ascii="Verdana" w:hAnsi="Verdana"/>
          <w:sz w:val="20"/>
        </w:rPr>
        <w:t xml:space="preserve">de </w:t>
      </w:r>
      <w:r w:rsidR="00AC2237">
        <w:rPr>
          <w:rFonts w:ascii="Verdana" w:hAnsi="Verdana"/>
          <w:sz w:val="20"/>
        </w:rPr>
        <w:t>2023,</w:t>
      </w:r>
      <w:r w:rsidR="00AC2237">
        <w:rPr>
          <w:rFonts w:ascii="Verdana" w:hAnsi="Verdana"/>
          <w:b/>
          <w:sz w:val="20"/>
        </w:rPr>
        <w:t xml:space="preserve"> </w:t>
      </w:r>
      <w:r w:rsidR="00AC2237" w:rsidRPr="00AC2237">
        <w:rPr>
          <w:rFonts w:ascii="Verdana" w:hAnsi="Verdana"/>
          <w:bCs/>
          <w:sz w:val="20"/>
        </w:rPr>
        <w:t>y por</w:t>
      </w:r>
      <w:r w:rsidR="00AC2237">
        <w:rPr>
          <w:rFonts w:ascii="Verdana" w:hAnsi="Verdana"/>
          <w:bCs/>
          <w:sz w:val="20"/>
        </w:rPr>
        <w:t xml:space="preserve"> la Comisión Interamericana de Derechos Humanos (en adelante “la Comisión Interamericana” o “la Comisión”</w:t>
      </w:r>
      <w:r w:rsidR="007B32C5">
        <w:rPr>
          <w:rFonts w:ascii="Verdana" w:hAnsi="Verdana"/>
          <w:bCs/>
          <w:sz w:val="20"/>
        </w:rPr>
        <w:t>)</w:t>
      </w:r>
      <w:r w:rsidR="00AC2237">
        <w:rPr>
          <w:rFonts w:ascii="Verdana" w:hAnsi="Verdana"/>
          <w:bCs/>
          <w:sz w:val="20"/>
        </w:rPr>
        <w:t xml:space="preserve"> en</w:t>
      </w:r>
      <w:r w:rsidR="00D745A1">
        <w:rPr>
          <w:rFonts w:ascii="Verdana" w:hAnsi="Verdana"/>
          <w:bCs/>
          <w:sz w:val="20"/>
        </w:rPr>
        <w:t>tre</w:t>
      </w:r>
      <w:r w:rsidR="00AC2237">
        <w:rPr>
          <w:rFonts w:ascii="Verdana" w:hAnsi="Verdana"/>
          <w:bCs/>
          <w:sz w:val="20"/>
        </w:rPr>
        <w:t xml:space="preserve"> septiembre de 2019 y septiembre de 2021</w:t>
      </w:r>
      <w:r w:rsidR="002B67CA">
        <w:rPr>
          <w:rFonts w:ascii="Verdana" w:hAnsi="Verdana"/>
          <w:sz w:val="20"/>
        </w:rPr>
        <w:t>.</w:t>
      </w:r>
    </w:p>
    <w:p w14:paraId="131225C7" w14:textId="5E09BF5C" w:rsidR="004131A4" w:rsidRPr="008E5334" w:rsidRDefault="000D6898" w:rsidP="0081028A">
      <w:pPr>
        <w:pStyle w:val="Prrafodelista"/>
        <w:numPr>
          <w:ilvl w:val="0"/>
          <w:numId w:val="1"/>
        </w:numPr>
        <w:spacing w:before="120" w:after="120"/>
        <w:ind w:left="0" w:firstLine="0"/>
        <w:jc w:val="both"/>
        <w:rPr>
          <w:rFonts w:ascii="Verdana" w:hAnsi="Verdana"/>
          <w:b/>
          <w:sz w:val="20"/>
        </w:rPr>
      </w:pPr>
      <w:r w:rsidRPr="000D6898">
        <w:rPr>
          <w:rFonts w:ascii="Verdana" w:hAnsi="Verdana"/>
          <w:sz w:val="20"/>
        </w:rPr>
        <w:t xml:space="preserve">La nota de la Secretaría de la Corte de </w:t>
      </w:r>
      <w:r w:rsidR="008E5334" w:rsidRPr="000D6898">
        <w:rPr>
          <w:rFonts w:ascii="Verdana" w:hAnsi="Verdana"/>
          <w:sz w:val="20"/>
        </w:rPr>
        <w:t>1</w:t>
      </w:r>
      <w:r w:rsidR="008E5334">
        <w:rPr>
          <w:rFonts w:ascii="Verdana" w:hAnsi="Verdana"/>
          <w:sz w:val="20"/>
        </w:rPr>
        <w:t>8</w:t>
      </w:r>
      <w:r w:rsidR="008E5334" w:rsidRPr="000D6898">
        <w:rPr>
          <w:rFonts w:ascii="Verdana" w:hAnsi="Verdana"/>
          <w:sz w:val="20"/>
        </w:rPr>
        <w:t xml:space="preserve"> </w:t>
      </w:r>
      <w:r w:rsidRPr="000D6898">
        <w:rPr>
          <w:rFonts w:ascii="Verdana" w:hAnsi="Verdana"/>
          <w:sz w:val="20"/>
        </w:rPr>
        <w:t xml:space="preserve">de agosto de 2023, mediante la cual, siguiendo instrucciones del </w:t>
      </w:r>
      <w:proofErr w:type="gramStart"/>
      <w:r w:rsidRPr="000D6898">
        <w:rPr>
          <w:rFonts w:ascii="Verdana" w:hAnsi="Verdana"/>
          <w:sz w:val="20"/>
        </w:rPr>
        <w:t>Presidente</w:t>
      </w:r>
      <w:proofErr w:type="gramEnd"/>
      <w:r w:rsidRPr="000D6898">
        <w:rPr>
          <w:rFonts w:ascii="Verdana" w:hAnsi="Verdana"/>
          <w:sz w:val="20"/>
        </w:rPr>
        <w:t xml:space="preserve"> del Tribunal, se otorgó al Estado un plazo</w:t>
      </w:r>
      <w:r w:rsidR="008E5334">
        <w:rPr>
          <w:rFonts w:ascii="Verdana" w:hAnsi="Verdana"/>
          <w:sz w:val="20"/>
        </w:rPr>
        <w:t xml:space="preserve"> para que, a más tardar el 17 de noviembre de 2023,</w:t>
      </w:r>
      <w:r w:rsidRPr="000D6898">
        <w:rPr>
          <w:rFonts w:ascii="Verdana" w:hAnsi="Verdana"/>
          <w:sz w:val="20"/>
        </w:rPr>
        <w:t xml:space="preserve"> presente información actualizada y detallada sobre </w:t>
      </w:r>
      <w:r w:rsidR="008E5334">
        <w:rPr>
          <w:rFonts w:ascii="Verdana" w:hAnsi="Verdana"/>
          <w:sz w:val="20"/>
        </w:rPr>
        <w:t xml:space="preserve">el cumplimiento de </w:t>
      </w:r>
      <w:r w:rsidRPr="000D6898">
        <w:rPr>
          <w:rFonts w:ascii="Verdana" w:hAnsi="Verdana"/>
          <w:sz w:val="20"/>
        </w:rPr>
        <w:t xml:space="preserve">la medida ordenada en el punto resolutivo noveno de la Sentencia, relativa </w:t>
      </w:r>
      <w:bookmarkStart w:id="0" w:name="_Hlk143073202"/>
      <w:r w:rsidRPr="000D6898">
        <w:rPr>
          <w:rFonts w:ascii="Verdana" w:hAnsi="Verdana"/>
          <w:sz w:val="20"/>
        </w:rPr>
        <w:t xml:space="preserve">a </w:t>
      </w:r>
      <w:r>
        <w:rPr>
          <w:rFonts w:ascii="Verdana" w:hAnsi="Verdana"/>
          <w:sz w:val="20"/>
        </w:rPr>
        <w:t xml:space="preserve">la obligación de investigar, juzgar y, en su caso, sancionar a los responsables de la muerte de Nelson Carvajal </w:t>
      </w:r>
      <w:proofErr w:type="spellStart"/>
      <w:r>
        <w:rPr>
          <w:rFonts w:ascii="Verdana" w:hAnsi="Verdana"/>
          <w:sz w:val="20"/>
        </w:rPr>
        <w:t>Carvajal</w:t>
      </w:r>
      <w:bookmarkEnd w:id="0"/>
      <w:proofErr w:type="spellEnd"/>
      <w:r>
        <w:rPr>
          <w:rFonts w:ascii="Verdana" w:hAnsi="Verdana"/>
          <w:sz w:val="20"/>
        </w:rPr>
        <w:t>.</w:t>
      </w:r>
    </w:p>
    <w:p w14:paraId="1984E603" w14:textId="77777777" w:rsidR="000D6898" w:rsidRDefault="000D6898" w:rsidP="00695B53">
      <w:pPr>
        <w:pStyle w:val="Prrafodelista"/>
        <w:spacing w:before="120" w:after="120"/>
        <w:ind w:left="0"/>
        <w:jc w:val="both"/>
        <w:rPr>
          <w:rFonts w:ascii="Verdana" w:hAnsi="Verdana"/>
          <w:b/>
          <w:sz w:val="20"/>
          <w:lang w:val="es-CR"/>
        </w:rPr>
      </w:pPr>
    </w:p>
    <w:p w14:paraId="0EFE22FC" w14:textId="77777777" w:rsidR="00695B53" w:rsidRDefault="00695B53" w:rsidP="00695B53">
      <w:pPr>
        <w:pStyle w:val="Prrafodelista"/>
        <w:spacing w:before="120" w:after="120"/>
        <w:ind w:left="0"/>
        <w:jc w:val="both"/>
        <w:rPr>
          <w:rFonts w:ascii="Verdana" w:hAnsi="Verdana"/>
          <w:b/>
          <w:sz w:val="20"/>
        </w:rPr>
      </w:pPr>
      <w:r>
        <w:rPr>
          <w:rFonts w:ascii="Verdana" w:hAnsi="Verdana"/>
          <w:b/>
          <w:sz w:val="20"/>
        </w:rPr>
        <w:t xml:space="preserve">CONSIDERANDO QUE: </w:t>
      </w:r>
    </w:p>
    <w:p w14:paraId="6ACF30AE" w14:textId="794DAAC5" w:rsidR="000D6898" w:rsidRDefault="00695B53" w:rsidP="00695B53">
      <w:pPr>
        <w:pStyle w:val="Prrafodelista"/>
        <w:numPr>
          <w:ilvl w:val="0"/>
          <w:numId w:val="2"/>
        </w:numPr>
        <w:spacing w:before="120" w:after="120"/>
        <w:ind w:left="0" w:hanging="11"/>
        <w:jc w:val="both"/>
        <w:rPr>
          <w:rFonts w:ascii="Verdana" w:hAnsi="Verdana"/>
          <w:sz w:val="20"/>
        </w:rPr>
      </w:pPr>
      <w:r>
        <w:rPr>
          <w:rFonts w:ascii="Verdana" w:hAnsi="Verdana"/>
          <w:sz w:val="20"/>
        </w:rPr>
        <w:lastRenderedPageBreak/>
        <w:t>La Corte ha venido supervisando la ejecución de la Sentencia</w:t>
      </w:r>
      <w:r>
        <w:rPr>
          <w:rStyle w:val="Refdenotaalpie"/>
          <w:rFonts w:ascii="Verdana" w:hAnsi="Verdana"/>
          <w:sz w:val="20"/>
        </w:rPr>
        <w:footnoteReference w:id="7"/>
      </w:r>
      <w:r w:rsidR="003154BF">
        <w:rPr>
          <w:rFonts w:ascii="Verdana" w:hAnsi="Verdana"/>
          <w:sz w:val="20"/>
        </w:rPr>
        <w:t xml:space="preserve"> emitida en 2018, en la cual dispuso </w:t>
      </w:r>
      <w:r w:rsidR="00D13F95">
        <w:rPr>
          <w:rFonts w:ascii="Verdana" w:hAnsi="Verdana"/>
          <w:sz w:val="20"/>
        </w:rPr>
        <w:t xml:space="preserve">nueve </w:t>
      </w:r>
      <w:r>
        <w:rPr>
          <w:rFonts w:ascii="Verdana" w:hAnsi="Verdana"/>
          <w:sz w:val="20"/>
        </w:rPr>
        <w:t xml:space="preserve">medidas de reparación. </w:t>
      </w:r>
      <w:r>
        <w:rPr>
          <w:rFonts w:ascii="Verdana" w:eastAsiaTheme="minorEastAsia" w:hAnsi="Verdana" w:cstheme="minorBidi"/>
          <w:noProof/>
          <w:sz w:val="20"/>
          <w:lang w:eastAsia="es-CR"/>
        </w:rPr>
        <w:t>En la</w:t>
      </w:r>
      <w:r w:rsidR="00D13F95">
        <w:rPr>
          <w:rFonts w:ascii="Verdana" w:eastAsiaTheme="minorEastAsia" w:hAnsi="Verdana" w:cstheme="minorBidi"/>
          <w:noProof/>
          <w:sz w:val="20"/>
          <w:lang w:eastAsia="es-CR"/>
        </w:rPr>
        <w:t>s resoluciones de supervisión de cumplimiento</w:t>
      </w:r>
      <w:r w:rsidR="008E5334">
        <w:rPr>
          <w:rFonts w:ascii="Verdana" w:eastAsiaTheme="minorEastAsia" w:hAnsi="Verdana" w:cstheme="minorBidi"/>
          <w:noProof/>
          <w:sz w:val="20"/>
          <w:lang w:eastAsia="es-CR"/>
        </w:rPr>
        <w:t xml:space="preserve"> (</w:t>
      </w:r>
      <w:r w:rsidR="008E5334" w:rsidRPr="008E5334">
        <w:rPr>
          <w:rFonts w:ascii="Verdana" w:eastAsiaTheme="minorEastAsia" w:hAnsi="Verdana" w:cstheme="minorBidi"/>
          <w:i/>
          <w:iCs/>
          <w:noProof/>
          <w:sz w:val="20"/>
          <w:lang w:eastAsia="es-CR"/>
        </w:rPr>
        <w:t xml:space="preserve">supra </w:t>
      </w:r>
      <w:r w:rsidR="008E5334">
        <w:rPr>
          <w:rFonts w:ascii="Verdana" w:eastAsiaTheme="minorEastAsia" w:hAnsi="Verdana" w:cstheme="minorBidi"/>
          <w:noProof/>
          <w:sz w:val="20"/>
          <w:lang w:eastAsia="es-CR"/>
        </w:rPr>
        <w:t>Visto 2)</w:t>
      </w:r>
      <w:r w:rsidR="00D13F95">
        <w:rPr>
          <w:rFonts w:ascii="Verdana" w:eastAsiaTheme="minorEastAsia" w:hAnsi="Verdana" w:cstheme="minorBidi"/>
          <w:noProof/>
          <w:sz w:val="20"/>
          <w:lang w:eastAsia="es-CR"/>
        </w:rPr>
        <w:t xml:space="preserve">, </w:t>
      </w:r>
      <w:r>
        <w:rPr>
          <w:rFonts w:ascii="Verdana" w:hAnsi="Verdana"/>
          <w:sz w:val="20"/>
        </w:rPr>
        <w:t xml:space="preserve">se declaró </w:t>
      </w:r>
      <w:r w:rsidR="00D13F95">
        <w:rPr>
          <w:rFonts w:ascii="Verdana" w:hAnsi="Verdana"/>
          <w:sz w:val="20"/>
        </w:rPr>
        <w:t xml:space="preserve">que </w:t>
      </w:r>
      <w:r>
        <w:rPr>
          <w:rFonts w:ascii="Verdana" w:hAnsi="Verdana"/>
          <w:sz w:val="20"/>
        </w:rPr>
        <w:t>el</w:t>
      </w:r>
      <w:r w:rsidR="00D13F95">
        <w:rPr>
          <w:rFonts w:ascii="Verdana" w:hAnsi="Verdana"/>
          <w:sz w:val="20"/>
        </w:rPr>
        <w:t xml:space="preserve"> Estado dio</w:t>
      </w:r>
      <w:r>
        <w:rPr>
          <w:rFonts w:ascii="Verdana" w:hAnsi="Verdana"/>
          <w:sz w:val="20"/>
        </w:rPr>
        <w:t xml:space="preserve"> cumplimiento total </w:t>
      </w:r>
      <w:r w:rsidR="00D13F95">
        <w:rPr>
          <w:rFonts w:ascii="Verdana" w:hAnsi="Verdana"/>
          <w:sz w:val="20"/>
        </w:rPr>
        <w:t xml:space="preserve">a seis </w:t>
      </w:r>
      <w:r w:rsidR="0060476E">
        <w:rPr>
          <w:rFonts w:ascii="Verdana" w:hAnsi="Verdana"/>
          <w:sz w:val="20"/>
        </w:rPr>
        <w:t>medidas de reparación</w:t>
      </w:r>
      <w:r>
        <w:rPr>
          <w:rStyle w:val="Refdenotaalpie"/>
          <w:rFonts w:ascii="Verdana" w:hAnsi="Verdana"/>
          <w:sz w:val="20"/>
        </w:rPr>
        <w:footnoteReference w:id="8"/>
      </w:r>
      <w:r w:rsidR="00D13F95">
        <w:rPr>
          <w:rFonts w:ascii="Verdana" w:hAnsi="Verdana"/>
          <w:sz w:val="20"/>
        </w:rPr>
        <w:t xml:space="preserve"> y </w:t>
      </w:r>
      <w:r w:rsidR="008E5334">
        <w:rPr>
          <w:rFonts w:ascii="Verdana" w:hAnsi="Verdana"/>
          <w:sz w:val="20"/>
        </w:rPr>
        <w:t>se</w:t>
      </w:r>
      <w:r w:rsidR="0004577A">
        <w:rPr>
          <w:rFonts w:ascii="Verdana" w:hAnsi="Verdana"/>
          <w:sz w:val="20"/>
        </w:rPr>
        <w:t xml:space="preserve"> </w:t>
      </w:r>
      <w:r w:rsidR="00D13F95">
        <w:rPr>
          <w:rFonts w:ascii="Verdana" w:hAnsi="Verdana"/>
          <w:sz w:val="20"/>
        </w:rPr>
        <w:t xml:space="preserve">concluyó la supervisión </w:t>
      </w:r>
      <w:r w:rsidR="0004577A">
        <w:rPr>
          <w:rFonts w:ascii="Verdana" w:hAnsi="Verdana"/>
          <w:sz w:val="20"/>
        </w:rPr>
        <w:t xml:space="preserve">de cumplimiento </w:t>
      </w:r>
      <w:r w:rsidR="00D13F95">
        <w:rPr>
          <w:rFonts w:ascii="Verdana" w:hAnsi="Verdana"/>
          <w:sz w:val="20"/>
        </w:rPr>
        <w:t>respecto de otra</w:t>
      </w:r>
      <w:r w:rsidR="00D13F95">
        <w:rPr>
          <w:rStyle w:val="Refdenotaalpie"/>
          <w:rFonts w:ascii="Verdana" w:hAnsi="Verdana"/>
          <w:sz w:val="20"/>
        </w:rPr>
        <w:footnoteReference w:id="9"/>
      </w:r>
      <w:r>
        <w:rPr>
          <w:rFonts w:ascii="Verdana" w:hAnsi="Verdana"/>
          <w:sz w:val="20"/>
        </w:rPr>
        <w:t>.</w:t>
      </w:r>
      <w:r w:rsidR="0060476E">
        <w:rPr>
          <w:rFonts w:ascii="Verdana" w:hAnsi="Verdana"/>
          <w:sz w:val="20"/>
        </w:rPr>
        <w:t xml:space="preserve"> </w:t>
      </w:r>
      <w:r w:rsidR="00D745A1">
        <w:rPr>
          <w:rFonts w:ascii="Verdana" w:hAnsi="Verdana"/>
          <w:sz w:val="20"/>
        </w:rPr>
        <w:t>En esta resolución</w:t>
      </w:r>
      <w:r>
        <w:rPr>
          <w:rFonts w:ascii="Verdana" w:hAnsi="Verdana"/>
          <w:sz w:val="20"/>
        </w:rPr>
        <w:t xml:space="preserve">, </w:t>
      </w:r>
      <w:r w:rsidR="008E5334">
        <w:rPr>
          <w:rFonts w:ascii="Verdana" w:hAnsi="Verdana"/>
          <w:sz w:val="20"/>
        </w:rPr>
        <w:t>el Tribunal</w:t>
      </w:r>
      <w:r>
        <w:rPr>
          <w:rFonts w:ascii="Verdana" w:hAnsi="Verdana"/>
          <w:sz w:val="20"/>
        </w:rPr>
        <w:t xml:space="preserve"> </w:t>
      </w:r>
      <w:r w:rsidR="00984872">
        <w:rPr>
          <w:rFonts w:ascii="Verdana" w:hAnsi="Verdana"/>
          <w:sz w:val="20"/>
        </w:rPr>
        <w:t xml:space="preserve">valorará </w:t>
      </w:r>
      <w:r>
        <w:rPr>
          <w:rFonts w:ascii="Verdana" w:hAnsi="Verdana"/>
          <w:sz w:val="20"/>
        </w:rPr>
        <w:t>e</w:t>
      </w:r>
      <w:r w:rsidR="0060476E">
        <w:rPr>
          <w:rFonts w:ascii="Verdana" w:hAnsi="Verdana"/>
          <w:sz w:val="20"/>
        </w:rPr>
        <w:t>l grado de cumplimiento de</w:t>
      </w:r>
      <w:r>
        <w:rPr>
          <w:rFonts w:ascii="Verdana" w:hAnsi="Verdana"/>
          <w:sz w:val="20"/>
        </w:rPr>
        <w:t xml:space="preserve"> </w:t>
      </w:r>
      <w:r w:rsidR="000D6898">
        <w:rPr>
          <w:rFonts w:ascii="Verdana" w:hAnsi="Verdana"/>
          <w:sz w:val="20"/>
        </w:rPr>
        <w:t>la medida relativa a brindar tratamiento psicológico y/o psiquiátrico a las víctimas (</w:t>
      </w:r>
      <w:r w:rsidR="009019F7" w:rsidRPr="009F32BD">
        <w:rPr>
          <w:rFonts w:ascii="Verdana" w:hAnsi="Verdana"/>
          <w:i/>
          <w:iCs/>
          <w:sz w:val="20"/>
        </w:rPr>
        <w:t>infra</w:t>
      </w:r>
      <w:r w:rsidR="009019F7">
        <w:rPr>
          <w:rFonts w:ascii="Verdana" w:hAnsi="Verdana"/>
          <w:sz w:val="20"/>
        </w:rPr>
        <w:t xml:space="preserve"> Considerandos </w:t>
      </w:r>
      <w:r w:rsidR="008E5334">
        <w:rPr>
          <w:rFonts w:ascii="Verdana" w:hAnsi="Verdana"/>
          <w:sz w:val="20"/>
        </w:rPr>
        <w:t>3</w:t>
      </w:r>
      <w:r w:rsidR="009019F7">
        <w:rPr>
          <w:rFonts w:ascii="Verdana" w:hAnsi="Verdana"/>
          <w:sz w:val="20"/>
        </w:rPr>
        <w:t xml:space="preserve"> a 20). Respecto a la medida relativa a la obligación de investigar, juzgar y, en su caso, sancionar a los responsables de la muerte de Nelson Carvajal </w:t>
      </w:r>
      <w:proofErr w:type="spellStart"/>
      <w:r w:rsidR="009019F7">
        <w:rPr>
          <w:rFonts w:ascii="Verdana" w:hAnsi="Verdana"/>
          <w:sz w:val="20"/>
        </w:rPr>
        <w:t>Carvajal</w:t>
      </w:r>
      <w:proofErr w:type="spellEnd"/>
      <w:r w:rsidR="009019F7">
        <w:rPr>
          <w:rFonts w:ascii="Verdana" w:hAnsi="Verdana"/>
          <w:sz w:val="20"/>
        </w:rPr>
        <w:t>, se encuentra corriendo un plazo para que el Estado presente un informe actualizado sobre su cumplimiento</w:t>
      </w:r>
      <w:r w:rsidR="008E5334">
        <w:rPr>
          <w:rFonts w:ascii="Verdana" w:hAnsi="Verdana"/>
          <w:sz w:val="20"/>
        </w:rPr>
        <w:t xml:space="preserve"> (</w:t>
      </w:r>
      <w:r w:rsidR="008E5334" w:rsidRPr="008E5334">
        <w:rPr>
          <w:rFonts w:ascii="Verdana" w:hAnsi="Verdana"/>
          <w:i/>
          <w:iCs/>
          <w:sz w:val="20"/>
        </w:rPr>
        <w:t>supra</w:t>
      </w:r>
      <w:r w:rsidR="008E5334">
        <w:rPr>
          <w:rFonts w:ascii="Verdana" w:hAnsi="Verdana"/>
          <w:sz w:val="20"/>
        </w:rPr>
        <w:t xml:space="preserve"> Visto 4)</w:t>
      </w:r>
      <w:r w:rsidR="009019F7">
        <w:rPr>
          <w:rFonts w:ascii="Verdana" w:hAnsi="Verdana"/>
          <w:sz w:val="20"/>
        </w:rPr>
        <w:t xml:space="preserve">, </w:t>
      </w:r>
      <w:r w:rsidR="00D745A1">
        <w:rPr>
          <w:rFonts w:ascii="Verdana" w:hAnsi="Verdana"/>
          <w:sz w:val="20"/>
        </w:rPr>
        <w:t>por</w:t>
      </w:r>
      <w:r w:rsidR="009019F7">
        <w:rPr>
          <w:rFonts w:ascii="Verdana" w:hAnsi="Verdana"/>
          <w:sz w:val="20"/>
        </w:rPr>
        <w:t xml:space="preserve"> lo cual será valorada en una próxima resolución.</w:t>
      </w:r>
    </w:p>
    <w:p w14:paraId="0B6B56BC" w14:textId="6452B286" w:rsidR="00D40E0A" w:rsidRPr="009019F7" w:rsidRDefault="00D40E0A" w:rsidP="009019F7">
      <w:pPr>
        <w:pStyle w:val="Ttulo1"/>
        <w:numPr>
          <w:ilvl w:val="0"/>
          <w:numId w:val="3"/>
        </w:numPr>
        <w:jc w:val="both"/>
        <w:rPr>
          <w:rFonts w:ascii="Verdana" w:hAnsi="Verdana"/>
          <w:i/>
          <w:iCs/>
          <w:lang w:val="es-CR"/>
        </w:rPr>
      </w:pPr>
      <w:r w:rsidRPr="009019F7">
        <w:rPr>
          <w:rFonts w:ascii="Verdana" w:hAnsi="Verdana"/>
          <w:i/>
          <w:iCs/>
          <w:sz w:val="20"/>
          <w:lang w:val="es-MX"/>
        </w:rPr>
        <w:t xml:space="preserve">Medida ordenada </w:t>
      </w:r>
      <w:r w:rsidR="003862A1" w:rsidRPr="009019F7">
        <w:rPr>
          <w:rFonts w:ascii="Verdana" w:hAnsi="Verdana"/>
          <w:i/>
          <w:iCs/>
          <w:sz w:val="20"/>
          <w:lang w:val="es-MX"/>
        </w:rPr>
        <w:t>por la Corte</w:t>
      </w:r>
    </w:p>
    <w:p w14:paraId="1BFE94F4" w14:textId="3E0BE144" w:rsidR="00695B53" w:rsidRDefault="00B67640" w:rsidP="00A93A64">
      <w:pPr>
        <w:pStyle w:val="Prrafodelista"/>
        <w:numPr>
          <w:ilvl w:val="0"/>
          <w:numId w:val="2"/>
        </w:numPr>
        <w:spacing w:before="120" w:after="120"/>
        <w:ind w:left="0" w:hanging="11"/>
        <w:jc w:val="both"/>
        <w:rPr>
          <w:rFonts w:ascii="Verdana" w:hAnsi="Verdana"/>
          <w:sz w:val="20"/>
        </w:rPr>
      </w:pPr>
      <w:r w:rsidRPr="004750DF">
        <w:rPr>
          <w:rFonts w:ascii="Verdana" w:hAnsi="Verdana"/>
          <w:sz w:val="20"/>
        </w:rPr>
        <w:t>En el punto resolutivo d</w:t>
      </w:r>
      <w:r w:rsidR="00440F3D">
        <w:rPr>
          <w:rFonts w:ascii="Verdana" w:hAnsi="Verdana"/>
          <w:sz w:val="20"/>
        </w:rPr>
        <w:t>é</w:t>
      </w:r>
      <w:r w:rsidRPr="004750DF">
        <w:rPr>
          <w:rFonts w:ascii="Verdana" w:hAnsi="Verdana"/>
          <w:sz w:val="20"/>
        </w:rPr>
        <w:t xml:space="preserve">cimo y </w:t>
      </w:r>
      <w:r w:rsidR="0035152F">
        <w:rPr>
          <w:rFonts w:ascii="Verdana" w:hAnsi="Verdana"/>
          <w:sz w:val="20"/>
        </w:rPr>
        <w:t>los</w:t>
      </w:r>
      <w:r w:rsidR="00440F3D" w:rsidRPr="004750DF">
        <w:rPr>
          <w:rFonts w:ascii="Verdana" w:hAnsi="Verdana"/>
          <w:sz w:val="20"/>
        </w:rPr>
        <w:t xml:space="preserve"> </w:t>
      </w:r>
      <w:r w:rsidR="00695B53" w:rsidRPr="004750DF">
        <w:rPr>
          <w:rFonts w:ascii="Verdana" w:hAnsi="Verdana"/>
          <w:sz w:val="20"/>
        </w:rPr>
        <w:t>párrafo</w:t>
      </w:r>
      <w:r w:rsidR="0035152F">
        <w:rPr>
          <w:rFonts w:ascii="Verdana" w:hAnsi="Verdana"/>
          <w:sz w:val="20"/>
        </w:rPr>
        <w:t>s</w:t>
      </w:r>
      <w:r w:rsidR="00695B53" w:rsidRPr="004750DF">
        <w:rPr>
          <w:rFonts w:ascii="Verdana" w:hAnsi="Verdana"/>
          <w:sz w:val="20"/>
        </w:rPr>
        <w:t xml:space="preserve"> </w:t>
      </w:r>
      <w:r w:rsidRPr="004750DF">
        <w:rPr>
          <w:rFonts w:ascii="Verdana" w:hAnsi="Verdana"/>
          <w:sz w:val="20"/>
        </w:rPr>
        <w:t>206 y 207</w:t>
      </w:r>
      <w:r w:rsidR="00695B53" w:rsidRPr="004750DF">
        <w:rPr>
          <w:rFonts w:ascii="Verdana" w:hAnsi="Verdana"/>
          <w:sz w:val="20"/>
        </w:rPr>
        <w:t xml:space="preserve"> de la Sentencia, la Corte “</w:t>
      </w:r>
      <w:r w:rsidR="00440F3D" w:rsidRPr="004750DF">
        <w:rPr>
          <w:rFonts w:ascii="Verdana" w:hAnsi="Verdana"/>
          <w:sz w:val="20"/>
        </w:rPr>
        <w:t>orden</w:t>
      </w:r>
      <w:r w:rsidR="00440F3D">
        <w:rPr>
          <w:rFonts w:ascii="Verdana" w:hAnsi="Verdana"/>
          <w:sz w:val="20"/>
        </w:rPr>
        <w:t>[</w:t>
      </w:r>
      <w:proofErr w:type="spellStart"/>
      <w:r w:rsidR="00440F3D">
        <w:rPr>
          <w:rFonts w:ascii="Verdana" w:hAnsi="Verdana"/>
          <w:sz w:val="20"/>
        </w:rPr>
        <w:t>ó</w:t>
      </w:r>
      <w:proofErr w:type="spellEnd"/>
      <w:r w:rsidR="00440F3D">
        <w:rPr>
          <w:rFonts w:ascii="Verdana" w:hAnsi="Verdana"/>
          <w:sz w:val="20"/>
        </w:rPr>
        <w:t>]</w:t>
      </w:r>
      <w:r w:rsidR="00440F3D" w:rsidRPr="004750DF">
        <w:rPr>
          <w:rFonts w:ascii="Verdana" w:hAnsi="Verdana"/>
          <w:sz w:val="20"/>
        </w:rPr>
        <w:t xml:space="preserve"> </w:t>
      </w:r>
      <w:r w:rsidR="004750DF" w:rsidRPr="004750DF">
        <w:rPr>
          <w:rFonts w:ascii="Verdana" w:hAnsi="Verdana"/>
          <w:sz w:val="20"/>
        </w:rPr>
        <w:t>al Estado brindar gratuitamente, de forma prioritaria, sin cargo alguno, el tratamiento psicológico o psiquiátrico adecuado a las víctimas que así lo requieran, previa manifestación de voluntad</w:t>
      </w:r>
      <w:r w:rsidR="00440F3D">
        <w:rPr>
          <w:rFonts w:ascii="Verdana" w:hAnsi="Verdana"/>
          <w:sz w:val="20"/>
        </w:rPr>
        <w:t>”</w:t>
      </w:r>
      <w:r w:rsidR="004750DF" w:rsidRPr="004750DF">
        <w:rPr>
          <w:rFonts w:ascii="Verdana" w:hAnsi="Verdana"/>
          <w:sz w:val="20"/>
        </w:rPr>
        <w:t>.</w:t>
      </w:r>
      <w:r w:rsidR="00440F3D">
        <w:rPr>
          <w:rFonts w:ascii="Verdana" w:hAnsi="Verdana"/>
          <w:sz w:val="20"/>
        </w:rPr>
        <w:t xml:space="preserve"> </w:t>
      </w:r>
      <w:r w:rsidR="002F2855">
        <w:rPr>
          <w:rFonts w:ascii="Verdana" w:hAnsi="Verdana"/>
          <w:sz w:val="20"/>
        </w:rPr>
        <w:t>El Tribunal dispuso que</w:t>
      </w:r>
      <w:r w:rsidR="0029665D">
        <w:rPr>
          <w:rFonts w:ascii="Verdana" w:hAnsi="Verdana"/>
          <w:sz w:val="20"/>
        </w:rPr>
        <w:t>,</w:t>
      </w:r>
      <w:r w:rsidR="002F2855">
        <w:rPr>
          <w:rFonts w:ascii="Verdana" w:hAnsi="Verdana"/>
          <w:sz w:val="20"/>
        </w:rPr>
        <w:t xml:space="preserve"> “[e]n tanto resulte adecuado a lo ordenado, […] el Estado podrá otorgar dicho tratamiento a través de los servicios nacionales de sal</w:t>
      </w:r>
      <w:r w:rsidR="006D78AD">
        <w:rPr>
          <w:rFonts w:ascii="Verdana" w:hAnsi="Verdana"/>
          <w:sz w:val="20"/>
        </w:rPr>
        <w:t>ud</w:t>
      </w:r>
      <w:r w:rsidR="002F2855">
        <w:rPr>
          <w:rFonts w:ascii="Verdana" w:hAnsi="Verdana"/>
          <w:sz w:val="20"/>
        </w:rPr>
        <w:t xml:space="preserve">, inclusive por medio del PAPSIVI”. Adicionalmente, se indicó que “los tratamientos respectivos </w:t>
      </w:r>
      <w:proofErr w:type="spellStart"/>
      <w:r w:rsidR="002F2855">
        <w:rPr>
          <w:rFonts w:ascii="Verdana" w:hAnsi="Verdana"/>
          <w:sz w:val="20"/>
        </w:rPr>
        <w:t>deb</w:t>
      </w:r>
      <w:proofErr w:type="spellEnd"/>
      <w:r w:rsidR="002F2855">
        <w:rPr>
          <w:rFonts w:ascii="Verdana" w:hAnsi="Verdana"/>
          <w:sz w:val="20"/>
        </w:rPr>
        <w:t>[</w:t>
      </w:r>
      <w:proofErr w:type="spellStart"/>
      <w:r w:rsidR="002F2855">
        <w:rPr>
          <w:rFonts w:ascii="Verdana" w:hAnsi="Verdana"/>
          <w:sz w:val="20"/>
        </w:rPr>
        <w:t>ían</w:t>
      </w:r>
      <w:proofErr w:type="spellEnd"/>
      <w:r w:rsidR="002F2855">
        <w:rPr>
          <w:rFonts w:ascii="Verdana" w:hAnsi="Verdana"/>
          <w:sz w:val="20"/>
        </w:rPr>
        <w:t>] ser brinda</w:t>
      </w:r>
      <w:r w:rsidR="006D78AD">
        <w:rPr>
          <w:rFonts w:ascii="Verdana" w:hAnsi="Verdana"/>
          <w:sz w:val="20"/>
        </w:rPr>
        <w:t>d</w:t>
      </w:r>
      <w:r w:rsidR="002F2855">
        <w:rPr>
          <w:rFonts w:ascii="Verdana" w:hAnsi="Verdana"/>
          <w:sz w:val="20"/>
        </w:rPr>
        <w:t xml:space="preserve">os por el tiempo que sea necesario, y en un lugar accesible a las víctimas, [ y que aquellas] </w:t>
      </w:r>
      <w:r w:rsidR="00440F3D" w:rsidRPr="00A93A64">
        <w:rPr>
          <w:rFonts w:ascii="Verdana" w:hAnsi="Verdana"/>
          <w:sz w:val="20"/>
        </w:rPr>
        <w:t xml:space="preserve">víctimas que soliciten esta medida de reparación, o sus representantes legales, </w:t>
      </w:r>
      <w:proofErr w:type="spellStart"/>
      <w:r w:rsidR="00440F3D" w:rsidRPr="00A93A64">
        <w:rPr>
          <w:rFonts w:ascii="Verdana" w:hAnsi="Verdana"/>
          <w:sz w:val="20"/>
        </w:rPr>
        <w:t>dispon</w:t>
      </w:r>
      <w:proofErr w:type="spellEnd"/>
      <w:r w:rsidR="002F2855">
        <w:rPr>
          <w:rFonts w:ascii="Verdana" w:hAnsi="Verdana"/>
          <w:sz w:val="20"/>
        </w:rPr>
        <w:t>[</w:t>
      </w:r>
      <w:proofErr w:type="spellStart"/>
      <w:r w:rsidR="002F2855">
        <w:rPr>
          <w:rFonts w:ascii="Verdana" w:hAnsi="Verdana"/>
          <w:sz w:val="20"/>
        </w:rPr>
        <w:t>ían</w:t>
      </w:r>
      <w:proofErr w:type="spellEnd"/>
      <w:r w:rsidR="002F2855">
        <w:rPr>
          <w:rFonts w:ascii="Verdana" w:hAnsi="Verdana"/>
          <w:sz w:val="20"/>
        </w:rPr>
        <w:t>]</w:t>
      </w:r>
      <w:r w:rsidR="00440F3D" w:rsidRPr="00A93A64">
        <w:rPr>
          <w:rFonts w:ascii="Verdana" w:hAnsi="Verdana"/>
          <w:sz w:val="20"/>
        </w:rPr>
        <w:t xml:space="preserve"> de un plazo de seis meses, contado a partir de la notificación de la </w:t>
      </w:r>
      <w:r w:rsidR="0035152F">
        <w:rPr>
          <w:rFonts w:ascii="Verdana" w:hAnsi="Verdana"/>
          <w:sz w:val="20"/>
        </w:rPr>
        <w:t>[…]</w:t>
      </w:r>
      <w:r w:rsidR="00440F3D" w:rsidRPr="00A93A64">
        <w:rPr>
          <w:rFonts w:ascii="Verdana" w:hAnsi="Verdana"/>
          <w:sz w:val="20"/>
        </w:rPr>
        <w:t xml:space="preserve"> Sentencia, para dar a conocer al Estado su intención de recibir atención psicológica o psiquiátrica”.</w:t>
      </w:r>
    </w:p>
    <w:p w14:paraId="10A5135C" w14:textId="64522C39" w:rsidR="00695B53" w:rsidRDefault="00695B53" w:rsidP="00A6288F">
      <w:pPr>
        <w:pStyle w:val="Ttulo1"/>
        <w:numPr>
          <w:ilvl w:val="0"/>
          <w:numId w:val="3"/>
        </w:numPr>
        <w:jc w:val="both"/>
        <w:rPr>
          <w:rFonts w:ascii="Verdana" w:hAnsi="Verdana"/>
          <w:i/>
          <w:iCs/>
          <w:sz w:val="20"/>
        </w:rPr>
      </w:pPr>
      <w:r>
        <w:rPr>
          <w:rFonts w:ascii="Verdana" w:hAnsi="Verdana"/>
          <w:i/>
          <w:iCs/>
          <w:sz w:val="20"/>
        </w:rPr>
        <w:t>Consideraciones de la Corte</w:t>
      </w:r>
    </w:p>
    <w:p w14:paraId="70B6B448" w14:textId="36D85DC0" w:rsidR="00D06AD3" w:rsidRPr="00D06AD3" w:rsidRDefault="00276C78" w:rsidP="003364B0">
      <w:pPr>
        <w:pStyle w:val="Prrafodelista"/>
        <w:numPr>
          <w:ilvl w:val="0"/>
          <w:numId w:val="2"/>
        </w:numPr>
        <w:spacing w:before="120" w:after="120"/>
        <w:ind w:left="0" w:hanging="11"/>
        <w:jc w:val="both"/>
        <w:rPr>
          <w:rFonts w:ascii="Verdana" w:hAnsi="Verdana"/>
          <w:b/>
          <w:bCs/>
          <w:i/>
          <w:iCs/>
          <w:sz w:val="20"/>
          <w:lang w:val="es-CR"/>
        </w:rPr>
      </w:pPr>
      <w:r w:rsidRPr="00B9315C">
        <w:rPr>
          <w:rFonts w:ascii="Verdana" w:hAnsi="Verdana"/>
          <w:sz w:val="20"/>
        </w:rPr>
        <w:t>La Corte constata que</w:t>
      </w:r>
      <w:r w:rsidR="0035152F">
        <w:rPr>
          <w:rFonts w:ascii="Verdana" w:hAnsi="Verdana"/>
          <w:sz w:val="20"/>
        </w:rPr>
        <w:t>,</w:t>
      </w:r>
      <w:r w:rsidRPr="00B9315C">
        <w:rPr>
          <w:rFonts w:ascii="Verdana" w:hAnsi="Verdana"/>
          <w:sz w:val="20"/>
        </w:rPr>
        <w:t xml:space="preserve"> dentro del plazo otorgado en la Sentencia, los representantes informaron que las siguientes </w:t>
      </w:r>
      <w:r w:rsidR="00B80EF6">
        <w:rPr>
          <w:rFonts w:ascii="Verdana" w:hAnsi="Verdana"/>
          <w:sz w:val="20"/>
        </w:rPr>
        <w:t>seis</w:t>
      </w:r>
      <w:r w:rsidRPr="00B9315C">
        <w:rPr>
          <w:rFonts w:ascii="Verdana" w:hAnsi="Verdana"/>
          <w:sz w:val="20"/>
        </w:rPr>
        <w:t xml:space="preserve"> víctimas deseaban recibir tratamiento psicológico: Jairo Carvajal Cabrera, Ana Francisca Carvajal Parra, Janeth Cristina Carvajal Ardila, Luz </w:t>
      </w:r>
      <w:proofErr w:type="spellStart"/>
      <w:r w:rsidRPr="00B9315C">
        <w:rPr>
          <w:rFonts w:ascii="Verdana" w:hAnsi="Verdana"/>
          <w:sz w:val="20"/>
        </w:rPr>
        <w:t>Eny</w:t>
      </w:r>
      <w:proofErr w:type="spellEnd"/>
      <w:r w:rsidR="00DA6A46" w:rsidRPr="00B9315C">
        <w:rPr>
          <w:rFonts w:ascii="Verdana" w:hAnsi="Verdana"/>
          <w:sz w:val="20"/>
        </w:rPr>
        <w:t xml:space="preserve"> Carvajal </w:t>
      </w:r>
      <w:proofErr w:type="spellStart"/>
      <w:r w:rsidR="00DA6A46" w:rsidRPr="00B9315C">
        <w:rPr>
          <w:rFonts w:ascii="Verdana" w:hAnsi="Verdana"/>
          <w:sz w:val="20"/>
        </w:rPr>
        <w:t>Carvajal</w:t>
      </w:r>
      <w:proofErr w:type="spellEnd"/>
      <w:r w:rsidRPr="00B9315C">
        <w:rPr>
          <w:rFonts w:ascii="Verdana" w:hAnsi="Verdana"/>
          <w:sz w:val="20"/>
        </w:rPr>
        <w:t>, Saú</w:t>
      </w:r>
      <w:r w:rsidR="00DA6A46" w:rsidRPr="00B9315C">
        <w:rPr>
          <w:rFonts w:ascii="Verdana" w:hAnsi="Verdana"/>
          <w:sz w:val="20"/>
        </w:rPr>
        <w:t>l Carvajal</w:t>
      </w:r>
      <w:r w:rsidRPr="00B9315C">
        <w:rPr>
          <w:rFonts w:ascii="Verdana" w:hAnsi="Verdana"/>
          <w:sz w:val="20"/>
        </w:rPr>
        <w:t xml:space="preserve"> y </w:t>
      </w:r>
      <w:r w:rsidRPr="004F08CC">
        <w:rPr>
          <w:rFonts w:ascii="Verdana" w:hAnsi="Verdana"/>
          <w:sz w:val="20"/>
        </w:rPr>
        <w:t>M</w:t>
      </w:r>
      <w:r w:rsidR="00DA6A46" w:rsidRPr="004F08CC">
        <w:rPr>
          <w:rFonts w:ascii="Verdana" w:hAnsi="Verdana"/>
          <w:sz w:val="20"/>
        </w:rPr>
        <w:t>i</w:t>
      </w:r>
      <w:r w:rsidRPr="004F08CC">
        <w:rPr>
          <w:rFonts w:ascii="Verdana" w:hAnsi="Verdana"/>
          <w:sz w:val="20"/>
        </w:rPr>
        <w:t>riam</w:t>
      </w:r>
      <w:r w:rsidR="00DA6A46" w:rsidRPr="00B9315C">
        <w:rPr>
          <w:rFonts w:ascii="Verdana" w:hAnsi="Verdana"/>
          <w:sz w:val="20"/>
        </w:rPr>
        <w:t xml:space="preserve"> Carvajal </w:t>
      </w:r>
      <w:proofErr w:type="spellStart"/>
      <w:r w:rsidR="00DA6A46" w:rsidRPr="00B9315C">
        <w:rPr>
          <w:rFonts w:ascii="Verdana" w:hAnsi="Verdana"/>
          <w:sz w:val="20"/>
        </w:rPr>
        <w:t>Carvajal</w:t>
      </w:r>
      <w:proofErr w:type="spellEnd"/>
      <w:r w:rsidR="000E6A38">
        <w:rPr>
          <w:rStyle w:val="Refdenotaalpie"/>
          <w:rFonts w:ascii="Verdana" w:hAnsi="Verdana"/>
          <w:sz w:val="20"/>
        </w:rPr>
        <w:footnoteReference w:id="10"/>
      </w:r>
      <w:r w:rsidR="00DA6A46" w:rsidRPr="00B9315C">
        <w:rPr>
          <w:rFonts w:ascii="Verdana" w:hAnsi="Verdana"/>
          <w:sz w:val="20"/>
        </w:rPr>
        <w:t xml:space="preserve">. </w:t>
      </w:r>
    </w:p>
    <w:p w14:paraId="26F2F716" w14:textId="5C3A41F6" w:rsidR="00B9315C" w:rsidRPr="002F2855" w:rsidRDefault="00DA6A46" w:rsidP="003364B0">
      <w:pPr>
        <w:pStyle w:val="Prrafodelista"/>
        <w:numPr>
          <w:ilvl w:val="0"/>
          <w:numId w:val="2"/>
        </w:numPr>
        <w:spacing w:before="120" w:after="120"/>
        <w:ind w:left="0" w:hanging="11"/>
        <w:jc w:val="both"/>
        <w:rPr>
          <w:rFonts w:ascii="Verdana" w:hAnsi="Verdana"/>
          <w:b/>
          <w:bCs/>
          <w:i/>
          <w:iCs/>
          <w:sz w:val="20"/>
          <w:lang w:val="es-CR"/>
        </w:rPr>
      </w:pPr>
      <w:r w:rsidRPr="002F2855">
        <w:rPr>
          <w:rFonts w:ascii="Verdana" w:hAnsi="Verdana"/>
          <w:sz w:val="20"/>
        </w:rPr>
        <w:t>E</w:t>
      </w:r>
      <w:r w:rsidR="00BE5D51" w:rsidRPr="002F2855">
        <w:rPr>
          <w:rFonts w:ascii="Verdana" w:hAnsi="Verdana"/>
          <w:sz w:val="20"/>
        </w:rPr>
        <w:t xml:space="preserve">n </w:t>
      </w:r>
      <w:r w:rsidR="0055568E" w:rsidRPr="002F2855">
        <w:rPr>
          <w:rFonts w:ascii="Verdana" w:hAnsi="Verdana"/>
          <w:sz w:val="20"/>
        </w:rPr>
        <w:t xml:space="preserve">febrero </w:t>
      </w:r>
      <w:r w:rsidR="00BE5D51" w:rsidRPr="002F2855">
        <w:rPr>
          <w:rFonts w:ascii="Verdana" w:hAnsi="Verdana"/>
          <w:sz w:val="20"/>
        </w:rPr>
        <w:t>de 202</w:t>
      </w:r>
      <w:r w:rsidR="0055568E" w:rsidRPr="002F2855">
        <w:rPr>
          <w:rFonts w:ascii="Verdana" w:hAnsi="Verdana"/>
          <w:sz w:val="20"/>
        </w:rPr>
        <w:t>0</w:t>
      </w:r>
      <w:r w:rsidR="00BE5D51" w:rsidRPr="002F2855">
        <w:rPr>
          <w:rFonts w:ascii="Verdana" w:hAnsi="Verdana"/>
          <w:sz w:val="20"/>
        </w:rPr>
        <w:t>, el</w:t>
      </w:r>
      <w:r w:rsidRPr="002F2855">
        <w:rPr>
          <w:rFonts w:ascii="Verdana" w:hAnsi="Verdana"/>
          <w:sz w:val="20"/>
        </w:rPr>
        <w:t xml:space="preserve"> Estado informó que </w:t>
      </w:r>
      <w:r w:rsidR="00BE5D51" w:rsidRPr="002F2855">
        <w:rPr>
          <w:rFonts w:ascii="Verdana" w:hAnsi="Verdana"/>
          <w:sz w:val="20"/>
        </w:rPr>
        <w:t xml:space="preserve">“se </w:t>
      </w:r>
      <w:r w:rsidR="00475E7A">
        <w:rPr>
          <w:rFonts w:ascii="Verdana" w:hAnsi="Verdana"/>
          <w:sz w:val="20"/>
        </w:rPr>
        <w:t>ha</w:t>
      </w:r>
      <w:r w:rsidR="00BE5D51" w:rsidRPr="002F2855">
        <w:rPr>
          <w:rFonts w:ascii="Verdana" w:hAnsi="Verdana"/>
          <w:sz w:val="20"/>
        </w:rPr>
        <w:t xml:space="preserve"> prest</w:t>
      </w:r>
      <w:r w:rsidR="00475E7A">
        <w:rPr>
          <w:rFonts w:ascii="Verdana" w:hAnsi="Verdana"/>
          <w:sz w:val="20"/>
        </w:rPr>
        <w:t xml:space="preserve">ado </w:t>
      </w:r>
      <w:r w:rsidR="00BE5D51" w:rsidRPr="002F2855">
        <w:rPr>
          <w:rFonts w:ascii="Verdana" w:hAnsi="Verdana"/>
          <w:sz w:val="20"/>
        </w:rPr>
        <w:t>atención por medio del PAPSIVI [(</w:t>
      </w:r>
      <w:r w:rsidR="00B9315C" w:rsidRPr="002F2855">
        <w:rPr>
          <w:rFonts w:ascii="Verdana" w:hAnsi="Verdana"/>
          <w:sz w:val="20"/>
        </w:rPr>
        <w:t>Programa de atención psicosocial y atención integral a víctimas</w:t>
      </w:r>
      <w:r w:rsidR="00405D39" w:rsidRPr="002F2855">
        <w:rPr>
          <w:rFonts w:ascii="Verdana" w:hAnsi="Verdana"/>
          <w:sz w:val="20"/>
        </w:rPr>
        <w:t xml:space="preserve"> del conflicto armado</w:t>
      </w:r>
      <w:r w:rsidR="00B349AF" w:rsidRPr="002F2855">
        <w:rPr>
          <w:rFonts w:ascii="Verdana" w:hAnsi="Verdana"/>
          <w:sz w:val="20"/>
        </w:rPr>
        <w:t xml:space="preserve"> interno)</w:t>
      </w:r>
      <w:r w:rsidR="00BE5D51" w:rsidRPr="002F2855">
        <w:rPr>
          <w:rFonts w:ascii="Verdana" w:hAnsi="Verdana"/>
          <w:sz w:val="20"/>
        </w:rPr>
        <w:t>]” a cinco de las referidas víctimas</w:t>
      </w:r>
      <w:r w:rsidR="00B9315C" w:rsidRPr="002F2855">
        <w:rPr>
          <w:rFonts w:ascii="Verdana" w:hAnsi="Verdana"/>
          <w:sz w:val="20"/>
        </w:rPr>
        <w:t xml:space="preserve"> de este caso</w:t>
      </w:r>
      <w:r w:rsidR="00DD036A" w:rsidRPr="002F2855">
        <w:rPr>
          <w:rStyle w:val="Refdenotaalpie"/>
          <w:rFonts w:ascii="Verdana" w:hAnsi="Verdana"/>
          <w:sz w:val="20"/>
        </w:rPr>
        <w:footnoteReference w:id="11"/>
      </w:r>
      <w:r w:rsidR="0055519F">
        <w:rPr>
          <w:rFonts w:ascii="Verdana" w:hAnsi="Verdana"/>
          <w:sz w:val="20"/>
        </w:rPr>
        <w:t xml:space="preserve"> y que</w:t>
      </w:r>
      <w:r w:rsidR="00D33C23">
        <w:rPr>
          <w:rFonts w:ascii="Verdana" w:hAnsi="Verdana"/>
          <w:sz w:val="20"/>
        </w:rPr>
        <w:t>,</w:t>
      </w:r>
      <w:r w:rsidR="0055519F">
        <w:rPr>
          <w:rFonts w:ascii="Verdana" w:hAnsi="Verdana"/>
          <w:sz w:val="20"/>
        </w:rPr>
        <w:t xml:space="preserve"> </w:t>
      </w:r>
      <w:proofErr w:type="gramStart"/>
      <w:r w:rsidR="0055519F">
        <w:rPr>
          <w:rFonts w:ascii="Verdana" w:hAnsi="Verdana"/>
          <w:sz w:val="20"/>
        </w:rPr>
        <w:t>de acuerdo a</w:t>
      </w:r>
      <w:proofErr w:type="gramEnd"/>
      <w:r w:rsidR="0055519F">
        <w:rPr>
          <w:rFonts w:ascii="Verdana" w:hAnsi="Verdana"/>
          <w:sz w:val="20"/>
        </w:rPr>
        <w:t xml:space="preserve"> las cinco etapas que comprende el “proceso continuo” de la “atención </w:t>
      </w:r>
      <w:r w:rsidR="0055519F">
        <w:rPr>
          <w:rFonts w:ascii="Verdana" w:hAnsi="Verdana"/>
          <w:sz w:val="20"/>
        </w:rPr>
        <w:lastRenderedPageBreak/>
        <w:t>psicosocial”, ésta se brindaría hasta el “cierre [del] proceso” terapéutico</w:t>
      </w:r>
      <w:r w:rsidR="0055519F">
        <w:rPr>
          <w:rStyle w:val="Refdenotaalpie"/>
          <w:rFonts w:ascii="Verdana" w:hAnsi="Verdana"/>
          <w:sz w:val="20"/>
        </w:rPr>
        <w:footnoteReference w:id="12"/>
      </w:r>
      <w:r w:rsidR="0055519F" w:rsidRPr="008E5334">
        <w:rPr>
          <w:rFonts w:ascii="Verdana" w:hAnsi="Verdana"/>
          <w:sz w:val="16"/>
          <w:szCs w:val="16"/>
        </w:rPr>
        <w:t>.</w:t>
      </w:r>
      <w:r w:rsidR="00B9315C" w:rsidRPr="002F2855">
        <w:rPr>
          <w:rFonts w:ascii="Verdana" w:hAnsi="Verdana"/>
          <w:sz w:val="20"/>
        </w:rPr>
        <w:t xml:space="preserve"> </w:t>
      </w:r>
      <w:r w:rsidR="0055519F">
        <w:rPr>
          <w:rFonts w:ascii="Verdana" w:hAnsi="Verdana"/>
          <w:sz w:val="20"/>
        </w:rPr>
        <w:t>Esta información</w:t>
      </w:r>
      <w:r w:rsidR="00B9315C" w:rsidRPr="002F2855">
        <w:rPr>
          <w:rFonts w:ascii="Verdana" w:hAnsi="Verdana"/>
          <w:sz w:val="20"/>
        </w:rPr>
        <w:t xml:space="preserve"> fue confirmad</w:t>
      </w:r>
      <w:r w:rsidR="0055519F">
        <w:rPr>
          <w:rFonts w:ascii="Verdana" w:hAnsi="Verdana"/>
          <w:sz w:val="20"/>
        </w:rPr>
        <w:t>a</w:t>
      </w:r>
      <w:r w:rsidR="00DD036A" w:rsidRPr="002F2855">
        <w:rPr>
          <w:rFonts w:ascii="Verdana" w:hAnsi="Verdana"/>
          <w:sz w:val="20"/>
        </w:rPr>
        <w:t xml:space="preserve"> por sus representantes</w:t>
      </w:r>
      <w:r w:rsidR="00DD036A" w:rsidRPr="002F2855">
        <w:rPr>
          <w:rStyle w:val="Refdenotaalpie"/>
          <w:rFonts w:ascii="Verdana" w:hAnsi="Verdana"/>
          <w:sz w:val="20"/>
        </w:rPr>
        <w:footnoteReference w:id="13"/>
      </w:r>
      <w:r w:rsidR="0055568E" w:rsidRPr="002F2855">
        <w:rPr>
          <w:rFonts w:ascii="Verdana" w:hAnsi="Verdana"/>
          <w:sz w:val="20"/>
        </w:rPr>
        <w:t>.</w:t>
      </w:r>
      <w:r w:rsidR="00DD036A" w:rsidRPr="002F2855">
        <w:rPr>
          <w:rFonts w:ascii="Verdana" w:hAnsi="Verdana"/>
          <w:sz w:val="20"/>
        </w:rPr>
        <w:t xml:space="preserve"> </w:t>
      </w:r>
      <w:r w:rsidR="0055568E" w:rsidRPr="002F2855">
        <w:rPr>
          <w:rFonts w:ascii="Verdana" w:hAnsi="Verdana"/>
          <w:sz w:val="20"/>
        </w:rPr>
        <w:t xml:space="preserve">En cuanto a la víctima restante, la señora Miriam Carvajal </w:t>
      </w:r>
      <w:proofErr w:type="spellStart"/>
      <w:r w:rsidR="0055568E" w:rsidRPr="002F2855">
        <w:rPr>
          <w:rFonts w:ascii="Verdana" w:hAnsi="Verdana"/>
          <w:sz w:val="20"/>
        </w:rPr>
        <w:t>Carvajal</w:t>
      </w:r>
      <w:proofErr w:type="spellEnd"/>
      <w:r w:rsidR="0055568E" w:rsidRPr="002F2855">
        <w:rPr>
          <w:rFonts w:ascii="Verdana" w:hAnsi="Verdana"/>
          <w:sz w:val="20"/>
        </w:rPr>
        <w:t>, Colombia informó que había sido contactada para que participara en el referido programa</w:t>
      </w:r>
      <w:r w:rsidR="00C47EED" w:rsidRPr="002F2855">
        <w:rPr>
          <w:rStyle w:val="Refdenotaalpie"/>
          <w:rFonts w:ascii="Verdana" w:hAnsi="Verdana"/>
          <w:sz w:val="20"/>
        </w:rPr>
        <w:footnoteReference w:id="14"/>
      </w:r>
      <w:r w:rsidR="00FB47EE">
        <w:rPr>
          <w:rFonts w:ascii="Verdana" w:hAnsi="Verdana"/>
          <w:sz w:val="20"/>
        </w:rPr>
        <w:t>;</w:t>
      </w:r>
      <w:r w:rsidR="0055568E" w:rsidRPr="002F2855">
        <w:rPr>
          <w:rFonts w:ascii="Verdana" w:hAnsi="Verdana"/>
          <w:sz w:val="20"/>
        </w:rPr>
        <w:t xml:space="preserve"> </w:t>
      </w:r>
      <w:r w:rsidR="00C47EED">
        <w:rPr>
          <w:rFonts w:ascii="Verdana" w:hAnsi="Verdana"/>
          <w:sz w:val="20"/>
        </w:rPr>
        <w:t xml:space="preserve">no obstante, los representantes comunicaron </w:t>
      </w:r>
      <w:r w:rsidR="0035152F" w:rsidRPr="002F2855">
        <w:rPr>
          <w:rFonts w:ascii="Verdana" w:hAnsi="Verdana"/>
          <w:sz w:val="20"/>
        </w:rPr>
        <w:t xml:space="preserve">que </w:t>
      </w:r>
      <w:r w:rsidR="00B9315C" w:rsidRPr="002F2855">
        <w:rPr>
          <w:rFonts w:ascii="Verdana" w:hAnsi="Verdana"/>
          <w:sz w:val="20"/>
        </w:rPr>
        <w:t xml:space="preserve">no era su voluntad recibir dicha atención, </w:t>
      </w:r>
      <w:r w:rsidR="00C47EED">
        <w:rPr>
          <w:rFonts w:ascii="Verdana" w:hAnsi="Verdana"/>
          <w:sz w:val="20"/>
        </w:rPr>
        <w:t xml:space="preserve">y </w:t>
      </w:r>
      <w:r w:rsidR="003364B0" w:rsidRPr="002F2855">
        <w:rPr>
          <w:rFonts w:ascii="Verdana" w:hAnsi="Verdana"/>
          <w:sz w:val="20"/>
        </w:rPr>
        <w:t>que la referida víctima “da por concluida esta obligación para efectos del seguimiento de la Sentencia”</w:t>
      </w:r>
      <w:r w:rsidR="00B9315C" w:rsidRPr="002F2855">
        <w:rPr>
          <w:rStyle w:val="Refdenotaalpie"/>
          <w:rFonts w:ascii="Verdana" w:hAnsi="Verdana"/>
          <w:sz w:val="20"/>
        </w:rPr>
        <w:footnoteReference w:id="15"/>
      </w:r>
      <w:r w:rsidR="00B9315C" w:rsidRPr="002F2855">
        <w:rPr>
          <w:rFonts w:ascii="Verdana" w:hAnsi="Verdana"/>
          <w:sz w:val="20"/>
        </w:rPr>
        <w:t>.</w:t>
      </w:r>
      <w:r w:rsidR="00DD036A" w:rsidRPr="002F2855">
        <w:rPr>
          <w:rFonts w:ascii="Verdana" w:hAnsi="Verdana"/>
          <w:sz w:val="20"/>
        </w:rPr>
        <w:t xml:space="preserve"> </w:t>
      </w:r>
      <w:r w:rsidR="005E0957" w:rsidRPr="002F2855">
        <w:rPr>
          <w:rFonts w:ascii="Verdana" w:hAnsi="Verdana"/>
          <w:sz w:val="20"/>
        </w:rPr>
        <w:t>Aun cuando</w:t>
      </w:r>
      <w:r w:rsidR="0035152F" w:rsidRPr="002F2855">
        <w:rPr>
          <w:rFonts w:ascii="Verdana" w:hAnsi="Verdana"/>
          <w:sz w:val="20"/>
        </w:rPr>
        <w:t>,</w:t>
      </w:r>
      <w:r w:rsidR="005E0957" w:rsidRPr="002F2855">
        <w:rPr>
          <w:rFonts w:ascii="Verdana" w:hAnsi="Verdana"/>
          <w:sz w:val="20"/>
        </w:rPr>
        <w:t xml:space="preserve"> </w:t>
      </w:r>
      <w:r w:rsidR="003364B0" w:rsidRPr="002F2855">
        <w:rPr>
          <w:rFonts w:ascii="Verdana" w:hAnsi="Verdana"/>
          <w:sz w:val="20"/>
        </w:rPr>
        <w:t>en su escrito de ago</w:t>
      </w:r>
      <w:r w:rsidR="0029665D">
        <w:rPr>
          <w:rFonts w:ascii="Verdana" w:hAnsi="Verdana"/>
          <w:sz w:val="20"/>
        </w:rPr>
        <w:t>s</w:t>
      </w:r>
      <w:r w:rsidR="003364B0" w:rsidRPr="002F2855">
        <w:rPr>
          <w:rFonts w:ascii="Verdana" w:hAnsi="Verdana"/>
          <w:sz w:val="20"/>
        </w:rPr>
        <w:t>to de 2020</w:t>
      </w:r>
      <w:r w:rsidR="0035152F" w:rsidRPr="002F2855">
        <w:rPr>
          <w:rFonts w:ascii="Verdana" w:hAnsi="Verdana"/>
          <w:sz w:val="20"/>
        </w:rPr>
        <w:t>,</w:t>
      </w:r>
      <w:r w:rsidR="005E0957" w:rsidRPr="002F2855">
        <w:rPr>
          <w:rFonts w:ascii="Verdana" w:hAnsi="Verdana"/>
          <w:sz w:val="20"/>
        </w:rPr>
        <w:t xml:space="preserve"> </w:t>
      </w:r>
      <w:r w:rsidR="0035152F" w:rsidRPr="002F2855">
        <w:rPr>
          <w:rFonts w:ascii="Verdana" w:hAnsi="Verdana"/>
          <w:sz w:val="20"/>
        </w:rPr>
        <w:t xml:space="preserve">los representantes realizaron </w:t>
      </w:r>
      <w:r w:rsidR="005E0957" w:rsidRPr="002F2855">
        <w:rPr>
          <w:rFonts w:ascii="Verdana" w:hAnsi="Verdana"/>
          <w:sz w:val="20"/>
        </w:rPr>
        <w:t>algunas observaciones en cuanto a la implementación de esta medida</w:t>
      </w:r>
      <w:r w:rsidR="003364B0" w:rsidRPr="002F2855">
        <w:rPr>
          <w:rFonts w:ascii="Verdana" w:hAnsi="Verdana"/>
          <w:sz w:val="20"/>
        </w:rPr>
        <w:t xml:space="preserve"> para quienes sí recibieron el tratamiento</w:t>
      </w:r>
      <w:r w:rsidR="005E0957" w:rsidRPr="002F2855">
        <w:rPr>
          <w:rStyle w:val="Refdenotaalpie"/>
          <w:rFonts w:ascii="Verdana" w:hAnsi="Verdana"/>
          <w:sz w:val="20"/>
        </w:rPr>
        <w:footnoteReference w:id="16"/>
      </w:r>
      <w:r w:rsidR="005E0957" w:rsidRPr="002F2855">
        <w:rPr>
          <w:rFonts w:ascii="Verdana" w:hAnsi="Verdana"/>
          <w:sz w:val="20"/>
        </w:rPr>
        <w:t>, en su</w:t>
      </w:r>
      <w:r w:rsidR="003364B0" w:rsidRPr="002F2855">
        <w:rPr>
          <w:rFonts w:ascii="Verdana" w:hAnsi="Verdana"/>
          <w:sz w:val="20"/>
        </w:rPr>
        <w:t xml:space="preserve"> </w:t>
      </w:r>
      <w:r w:rsidR="005E0957" w:rsidRPr="002F2855">
        <w:rPr>
          <w:rFonts w:ascii="Verdana" w:hAnsi="Verdana"/>
          <w:sz w:val="20"/>
        </w:rPr>
        <w:t xml:space="preserve">escrito </w:t>
      </w:r>
      <w:r w:rsidR="003364B0" w:rsidRPr="002F2855">
        <w:rPr>
          <w:rFonts w:ascii="Verdana" w:hAnsi="Verdana"/>
          <w:sz w:val="20"/>
        </w:rPr>
        <w:t>de</w:t>
      </w:r>
      <w:r w:rsidR="005E0957" w:rsidRPr="002F2855">
        <w:rPr>
          <w:rFonts w:ascii="Verdana" w:hAnsi="Verdana"/>
          <w:sz w:val="20"/>
        </w:rPr>
        <w:t xml:space="preserve"> mayo de 2023 </w:t>
      </w:r>
      <w:r w:rsidR="003364B0" w:rsidRPr="002F2855">
        <w:rPr>
          <w:rFonts w:ascii="Verdana" w:hAnsi="Verdana"/>
          <w:sz w:val="20"/>
        </w:rPr>
        <w:t>expresaron</w:t>
      </w:r>
      <w:r w:rsidR="005E0957" w:rsidRPr="002F2855">
        <w:rPr>
          <w:rFonts w:ascii="Verdana" w:hAnsi="Verdana"/>
          <w:sz w:val="20"/>
        </w:rPr>
        <w:t xml:space="preserve"> </w:t>
      </w:r>
      <w:r w:rsidR="003364B0" w:rsidRPr="002F2855">
        <w:rPr>
          <w:rFonts w:ascii="Verdana" w:hAnsi="Verdana"/>
          <w:sz w:val="20"/>
        </w:rPr>
        <w:t xml:space="preserve">que las víctimas estaban </w:t>
      </w:r>
      <w:r w:rsidR="005E0957" w:rsidRPr="002F2855">
        <w:rPr>
          <w:rFonts w:ascii="Verdana" w:hAnsi="Verdana"/>
          <w:sz w:val="20"/>
        </w:rPr>
        <w:t xml:space="preserve">de acuerdo </w:t>
      </w:r>
      <w:r w:rsidR="003364B0" w:rsidRPr="002F2855">
        <w:rPr>
          <w:rFonts w:ascii="Verdana" w:hAnsi="Verdana"/>
          <w:sz w:val="20"/>
        </w:rPr>
        <w:t xml:space="preserve">con la solicitud </w:t>
      </w:r>
      <w:r w:rsidR="00FB47EE">
        <w:rPr>
          <w:rFonts w:ascii="Verdana" w:hAnsi="Verdana"/>
          <w:sz w:val="20"/>
        </w:rPr>
        <w:t xml:space="preserve">realizada </w:t>
      </w:r>
      <w:r w:rsidR="0029665D">
        <w:rPr>
          <w:rFonts w:ascii="Verdana" w:hAnsi="Verdana"/>
          <w:sz w:val="20"/>
        </w:rPr>
        <w:t xml:space="preserve">ese mes </w:t>
      </w:r>
      <w:r w:rsidR="00FB47EE">
        <w:rPr>
          <w:rFonts w:ascii="Verdana" w:hAnsi="Verdana"/>
          <w:sz w:val="20"/>
        </w:rPr>
        <w:t xml:space="preserve">por </w:t>
      </w:r>
      <w:r w:rsidR="003364B0" w:rsidRPr="002F2855">
        <w:rPr>
          <w:rFonts w:ascii="Verdana" w:hAnsi="Verdana"/>
          <w:sz w:val="20"/>
        </w:rPr>
        <w:t>el Estado</w:t>
      </w:r>
      <w:r w:rsidR="00FB47EE">
        <w:rPr>
          <w:rFonts w:ascii="Verdana" w:hAnsi="Verdana"/>
          <w:sz w:val="20"/>
        </w:rPr>
        <w:t xml:space="preserve"> </w:t>
      </w:r>
      <w:r w:rsidR="003364B0" w:rsidRPr="002F2855">
        <w:rPr>
          <w:rFonts w:ascii="Verdana" w:hAnsi="Verdana"/>
          <w:sz w:val="20"/>
        </w:rPr>
        <w:t>de</w:t>
      </w:r>
      <w:r w:rsidR="005E0957" w:rsidRPr="002F2855">
        <w:rPr>
          <w:rFonts w:ascii="Verdana" w:hAnsi="Verdana"/>
          <w:sz w:val="20"/>
        </w:rPr>
        <w:t xml:space="preserve"> </w:t>
      </w:r>
      <w:r w:rsidR="0029665D">
        <w:rPr>
          <w:rFonts w:ascii="Verdana" w:hAnsi="Verdana"/>
          <w:sz w:val="20"/>
        </w:rPr>
        <w:t xml:space="preserve">que se tenga </w:t>
      </w:r>
      <w:r w:rsidR="005E0957" w:rsidRPr="002F2855">
        <w:rPr>
          <w:rFonts w:ascii="Verdana" w:hAnsi="Verdana"/>
          <w:sz w:val="20"/>
        </w:rPr>
        <w:t>por cumplida esta medida en su totalidad</w:t>
      </w:r>
      <w:r w:rsidR="006D328C" w:rsidRPr="002F2855">
        <w:rPr>
          <w:rStyle w:val="Refdenotaalpie"/>
          <w:rFonts w:ascii="Verdana" w:hAnsi="Verdana"/>
          <w:sz w:val="20"/>
        </w:rPr>
        <w:footnoteReference w:id="17"/>
      </w:r>
      <w:r w:rsidR="005E0957" w:rsidRPr="002F2855">
        <w:rPr>
          <w:rFonts w:ascii="Verdana" w:hAnsi="Verdana"/>
          <w:sz w:val="20"/>
        </w:rPr>
        <w:t>.</w:t>
      </w:r>
      <w:r w:rsidR="005E0957" w:rsidRPr="002F2855">
        <w:rPr>
          <w:rFonts w:ascii="Verdana" w:hAnsi="Verdana"/>
          <w:b/>
          <w:bCs/>
          <w:sz w:val="20"/>
        </w:rPr>
        <w:t xml:space="preserve"> </w:t>
      </w:r>
    </w:p>
    <w:p w14:paraId="721AA1CE" w14:textId="3EEBA4A4" w:rsidR="00405D39" w:rsidRPr="00405D39" w:rsidRDefault="00405D39" w:rsidP="003364B0">
      <w:pPr>
        <w:pStyle w:val="Prrafodelista"/>
        <w:numPr>
          <w:ilvl w:val="0"/>
          <w:numId w:val="2"/>
        </w:numPr>
        <w:spacing w:before="120" w:after="120"/>
        <w:ind w:left="0" w:hanging="11"/>
        <w:jc w:val="both"/>
        <w:rPr>
          <w:rFonts w:ascii="Verdana" w:hAnsi="Verdana"/>
          <w:i/>
          <w:iCs/>
          <w:sz w:val="20"/>
          <w:lang w:val="es-CR"/>
        </w:rPr>
      </w:pPr>
      <w:r w:rsidRPr="00405D39">
        <w:rPr>
          <w:rFonts w:ascii="Verdana" w:hAnsi="Verdana"/>
          <w:sz w:val="20"/>
        </w:rPr>
        <w:t xml:space="preserve">Tomando en cuenta lo anterior, este Tribunal declara que el Estado ha dado cumplimiento total a la medida ordenada en el punto resolutivo décimo de la Sentencia, relativa a brindar tratamiento psicológico o psiquiátrico a las víctimas que </w:t>
      </w:r>
      <w:r w:rsidR="001F2FDD">
        <w:rPr>
          <w:rFonts w:ascii="Verdana" w:hAnsi="Verdana"/>
          <w:sz w:val="20"/>
        </w:rPr>
        <w:t xml:space="preserve">así </w:t>
      </w:r>
      <w:r w:rsidRPr="00405D39">
        <w:rPr>
          <w:rFonts w:ascii="Verdana" w:hAnsi="Verdana"/>
          <w:sz w:val="20"/>
        </w:rPr>
        <w:t>lo solicitar</w:t>
      </w:r>
      <w:r w:rsidR="00D33C23">
        <w:rPr>
          <w:rFonts w:ascii="Verdana" w:hAnsi="Verdana"/>
          <w:sz w:val="20"/>
        </w:rPr>
        <w:t>on</w:t>
      </w:r>
      <w:r w:rsidRPr="00405D39">
        <w:rPr>
          <w:rFonts w:ascii="Verdana" w:hAnsi="Verdana"/>
          <w:sz w:val="20"/>
        </w:rPr>
        <w:t>.</w:t>
      </w:r>
    </w:p>
    <w:p w14:paraId="660D97D6" w14:textId="7F2BF2FD" w:rsidR="00A93A64" w:rsidRDefault="00A93A64" w:rsidP="00695B53">
      <w:pPr>
        <w:spacing w:before="120" w:after="120"/>
        <w:jc w:val="both"/>
        <w:rPr>
          <w:rFonts w:ascii="Verdana" w:hAnsi="Verdana"/>
          <w:b/>
          <w:sz w:val="20"/>
          <w:lang w:val="es-MX"/>
        </w:rPr>
      </w:pPr>
    </w:p>
    <w:p w14:paraId="1F2ED29A" w14:textId="791998F3" w:rsidR="00695B53" w:rsidRDefault="00695B53" w:rsidP="00695B53">
      <w:pPr>
        <w:spacing w:before="120" w:after="120"/>
        <w:jc w:val="both"/>
        <w:rPr>
          <w:rFonts w:ascii="Verdana" w:hAnsi="Verdana"/>
          <w:b/>
          <w:sz w:val="20"/>
          <w:lang w:val="es-MX"/>
        </w:rPr>
      </w:pPr>
      <w:r>
        <w:rPr>
          <w:rFonts w:ascii="Verdana" w:hAnsi="Verdana"/>
          <w:b/>
          <w:sz w:val="20"/>
          <w:lang w:val="es-MX"/>
        </w:rPr>
        <w:t>POR TANTO:</w:t>
      </w:r>
    </w:p>
    <w:p w14:paraId="6252328A" w14:textId="77777777" w:rsidR="00695B53" w:rsidRDefault="00695B53" w:rsidP="00695B53">
      <w:pPr>
        <w:spacing w:before="120" w:after="120"/>
        <w:jc w:val="both"/>
        <w:rPr>
          <w:rFonts w:ascii="Verdana" w:hAnsi="Verdana"/>
          <w:b/>
          <w:sz w:val="20"/>
          <w:lang w:val="es-MX"/>
        </w:rPr>
      </w:pPr>
      <w:r>
        <w:rPr>
          <w:rFonts w:ascii="Verdana" w:hAnsi="Verdana"/>
          <w:b/>
          <w:sz w:val="20"/>
          <w:lang w:val="es-MX"/>
        </w:rPr>
        <w:t>LA CORTE INTERAMERICANA DE DERECHOS HUMANOS,</w:t>
      </w:r>
    </w:p>
    <w:p w14:paraId="0669C263" w14:textId="77777777" w:rsidR="00695B53" w:rsidRDefault="00DE33C6" w:rsidP="00695B53">
      <w:pPr>
        <w:spacing w:before="120" w:after="120"/>
        <w:jc w:val="both"/>
        <w:rPr>
          <w:rFonts w:ascii="Verdana" w:hAnsi="Verdana"/>
          <w:sz w:val="20"/>
        </w:rPr>
      </w:pPr>
      <w:r>
        <w:rPr>
          <w:rFonts w:ascii="Verdana" w:hAnsi="Verdana"/>
          <w:sz w:val="20"/>
        </w:rPr>
        <w:t>E</w:t>
      </w:r>
      <w:r w:rsidR="00695B53">
        <w:rPr>
          <w:rFonts w:ascii="Verdana" w:hAnsi="Verdana"/>
          <w:sz w:val="20"/>
        </w:rPr>
        <w:t>n el ejercicio de sus atribuciones de supervisión del cumplimiento de sus decisiones y de conformidad con los artículos 33, 62.1, 62.3 y 68.1 de la Convención Americana sobre Derechos Humanos, 24 y 30 del Estatuto, y 31.2 y 69 de su Reglamento,</w:t>
      </w:r>
    </w:p>
    <w:p w14:paraId="49EFC654" w14:textId="77777777" w:rsidR="00FB47EE" w:rsidRDefault="00FB47EE" w:rsidP="00695B53">
      <w:pPr>
        <w:spacing w:before="120" w:after="120"/>
        <w:ind w:right="4"/>
        <w:jc w:val="both"/>
        <w:rPr>
          <w:rFonts w:ascii="Verdana" w:hAnsi="Verdana"/>
          <w:b/>
          <w:sz w:val="20"/>
          <w:lang w:val="es-MX"/>
        </w:rPr>
      </w:pPr>
    </w:p>
    <w:p w14:paraId="6339B46E" w14:textId="093FC857" w:rsidR="00695B53" w:rsidRDefault="00695B53" w:rsidP="00695B53">
      <w:pPr>
        <w:spacing w:before="120" w:after="120"/>
        <w:ind w:right="4"/>
        <w:jc w:val="both"/>
        <w:rPr>
          <w:rFonts w:ascii="Verdana" w:hAnsi="Verdana"/>
          <w:b/>
          <w:sz w:val="20"/>
          <w:lang w:val="es-MX"/>
        </w:rPr>
      </w:pPr>
      <w:r>
        <w:rPr>
          <w:rFonts w:ascii="Verdana" w:hAnsi="Verdana"/>
          <w:b/>
          <w:sz w:val="20"/>
          <w:lang w:val="es-MX"/>
        </w:rPr>
        <w:t xml:space="preserve">RESUELVE: </w:t>
      </w:r>
    </w:p>
    <w:p w14:paraId="5FAB60AB" w14:textId="58E639BC" w:rsidR="00A6288F" w:rsidRDefault="00695B53" w:rsidP="00A6288F">
      <w:pPr>
        <w:numPr>
          <w:ilvl w:val="0"/>
          <w:numId w:val="4"/>
        </w:numPr>
        <w:spacing w:before="120" w:after="120"/>
        <w:ind w:left="0" w:hanging="11"/>
        <w:jc w:val="both"/>
        <w:rPr>
          <w:rFonts w:ascii="Verdana" w:hAnsi="Verdana"/>
          <w:sz w:val="20"/>
          <w:lang w:val="es-MX"/>
        </w:rPr>
      </w:pPr>
      <w:r>
        <w:rPr>
          <w:rFonts w:ascii="Verdana" w:hAnsi="Verdana"/>
          <w:sz w:val="20"/>
        </w:rPr>
        <w:t xml:space="preserve">Declarar, de conformidad con </w:t>
      </w:r>
      <w:r w:rsidR="0029665D">
        <w:rPr>
          <w:rFonts w:ascii="Verdana" w:hAnsi="Verdana"/>
          <w:sz w:val="20"/>
        </w:rPr>
        <w:t>la parte considerativa</w:t>
      </w:r>
      <w:r>
        <w:rPr>
          <w:rFonts w:ascii="Verdana" w:hAnsi="Verdana"/>
          <w:sz w:val="20"/>
        </w:rPr>
        <w:t xml:space="preserve">, que el Estado ha dado </w:t>
      </w:r>
      <w:r w:rsidRPr="007B32C5">
        <w:rPr>
          <w:rFonts w:ascii="Verdana" w:hAnsi="Verdana"/>
          <w:bCs/>
          <w:sz w:val="20"/>
        </w:rPr>
        <w:t>cumplimiento</w:t>
      </w:r>
      <w:r w:rsidR="001B3442" w:rsidRPr="007B32C5">
        <w:rPr>
          <w:rFonts w:ascii="Verdana" w:hAnsi="Verdana"/>
          <w:bCs/>
          <w:sz w:val="20"/>
        </w:rPr>
        <w:t xml:space="preserve"> total</w:t>
      </w:r>
      <w:r>
        <w:rPr>
          <w:rFonts w:ascii="Verdana" w:hAnsi="Verdana"/>
          <w:sz w:val="20"/>
        </w:rPr>
        <w:t xml:space="preserve"> a la</w:t>
      </w:r>
      <w:r w:rsidR="00354DFD">
        <w:rPr>
          <w:rFonts w:ascii="Verdana" w:hAnsi="Verdana"/>
          <w:sz w:val="20"/>
        </w:rPr>
        <w:t xml:space="preserve"> </w:t>
      </w:r>
      <w:r w:rsidR="001B3442">
        <w:rPr>
          <w:rFonts w:ascii="Verdana" w:hAnsi="Verdana"/>
          <w:sz w:val="20"/>
        </w:rPr>
        <w:t>medida</w:t>
      </w:r>
      <w:r w:rsidR="00C64B64">
        <w:rPr>
          <w:rFonts w:ascii="Verdana" w:hAnsi="Verdana"/>
          <w:sz w:val="20"/>
        </w:rPr>
        <w:t xml:space="preserve"> relativa a </w:t>
      </w:r>
      <w:r w:rsidR="00354DFD" w:rsidRPr="00C64B64">
        <w:rPr>
          <w:rFonts w:ascii="Verdana" w:hAnsi="Verdana"/>
          <w:sz w:val="20"/>
          <w:lang w:val="es-MX"/>
        </w:rPr>
        <w:t xml:space="preserve">brindar el tratamiento psicológico o psiquiátrico a las víctimas que así lo </w:t>
      </w:r>
      <w:r w:rsidR="00C64B64">
        <w:rPr>
          <w:rFonts w:ascii="Verdana" w:hAnsi="Verdana"/>
          <w:sz w:val="20"/>
          <w:lang w:val="es-MX"/>
        </w:rPr>
        <w:t>requieran</w:t>
      </w:r>
      <w:r w:rsidR="001F2FDD">
        <w:rPr>
          <w:rFonts w:ascii="Verdana" w:hAnsi="Verdana"/>
          <w:sz w:val="20"/>
          <w:lang w:val="es-MX"/>
        </w:rPr>
        <w:t xml:space="preserve">, </w:t>
      </w:r>
      <w:r w:rsidR="001F2FDD" w:rsidRPr="004750DF">
        <w:rPr>
          <w:rFonts w:ascii="Verdana" w:hAnsi="Verdana"/>
          <w:sz w:val="20"/>
        </w:rPr>
        <w:t>previa manifestación de voluntad</w:t>
      </w:r>
      <w:r w:rsidR="00C64B64" w:rsidRPr="00C64B64">
        <w:rPr>
          <w:rFonts w:ascii="Verdana" w:hAnsi="Verdana"/>
          <w:sz w:val="20"/>
          <w:lang w:val="es-MX"/>
        </w:rPr>
        <w:t xml:space="preserve"> </w:t>
      </w:r>
      <w:r w:rsidR="00354DFD" w:rsidRPr="00C64B64">
        <w:rPr>
          <w:rFonts w:ascii="Verdana" w:hAnsi="Verdana"/>
          <w:i/>
          <w:iCs/>
          <w:sz w:val="20"/>
          <w:lang w:val="es-MX"/>
        </w:rPr>
        <w:t>(punto resolutivo décimo de la Sentencia)</w:t>
      </w:r>
      <w:r w:rsidR="00354DFD" w:rsidRPr="00C64B64">
        <w:rPr>
          <w:rFonts w:ascii="Verdana" w:hAnsi="Verdana"/>
          <w:sz w:val="20"/>
          <w:lang w:val="es-MX"/>
        </w:rPr>
        <w:t>.</w:t>
      </w:r>
    </w:p>
    <w:p w14:paraId="4ACE753A" w14:textId="77777777" w:rsidR="00EB6D42" w:rsidRDefault="00EB6D42" w:rsidP="00EB6D42">
      <w:pPr>
        <w:spacing w:before="120" w:after="120"/>
        <w:jc w:val="both"/>
        <w:rPr>
          <w:rFonts w:ascii="Verdana" w:hAnsi="Verdana"/>
          <w:sz w:val="20"/>
          <w:lang w:val="es-MX"/>
        </w:rPr>
      </w:pPr>
    </w:p>
    <w:p w14:paraId="0BA1D10A" w14:textId="1341C3FB" w:rsidR="00354DFD" w:rsidRPr="00A6288F" w:rsidRDefault="00354DFD" w:rsidP="00A6288F">
      <w:pPr>
        <w:numPr>
          <w:ilvl w:val="0"/>
          <w:numId w:val="4"/>
        </w:numPr>
        <w:spacing w:before="120" w:after="120"/>
        <w:ind w:left="0" w:hanging="11"/>
        <w:jc w:val="both"/>
        <w:rPr>
          <w:rFonts w:ascii="Verdana" w:hAnsi="Verdana"/>
          <w:sz w:val="20"/>
          <w:lang w:val="es-MX"/>
        </w:rPr>
      </w:pPr>
      <w:r w:rsidRPr="00A6288F">
        <w:rPr>
          <w:rFonts w:ascii="Verdana" w:hAnsi="Verdana"/>
          <w:sz w:val="20"/>
        </w:rPr>
        <w:t>Mantener abierto el procedimiento de supervisión de</w:t>
      </w:r>
      <w:r w:rsidR="00DE33C6" w:rsidRPr="00A6288F">
        <w:rPr>
          <w:rFonts w:ascii="Verdana" w:hAnsi="Verdana"/>
          <w:sz w:val="20"/>
        </w:rPr>
        <w:t xml:space="preserve"> cumplimiento </w:t>
      </w:r>
      <w:r w:rsidR="00A6288F" w:rsidRPr="00A6288F">
        <w:rPr>
          <w:rFonts w:ascii="Verdana" w:hAnsi="Verdana"/>
          <w:sz w:val="20"/>
        </w:rPr>
        <w:t>de la única medida de reparación pendiente, correspondiente a “</w:t>
      </w:r>
      <w:r w:rsidR="00A6288F" w:rsidRPr="00A6288F">
        <w:rPr>
          <w:rFonts w:ascii="Verdana" w:hAnsi="Verdana"/>
          <w:sz w:val="20"/>
          <w:lang w:val="es-MX"/>
        </w:rPr>
        <w:t xml:space="preserve">continuar con las investigaciones y procesos judiciales en curso que sean necesarios para determinar y, en su caso, juzgar y sancionar a todos los responsables del homicidio de Nelson Carvajal” </w:t>
      </w:r>
      <w:r w:rsidR="00A6288F" w:rsidRPr="00A6288F">
        <w:rPr>
          <w:rFonts w:ascii="Verdana" w:hAnsi="Verdana"/>
          <w:i/>
          <w:iCs/>
          <w:sz w:val="20"/>
          <w:lang w:val="es-MX"/>
        </w:rPr>
        <w:t>(punto resolutivo noveno de la Sentencia).</w:t>
      </w:r>
      <w:r w:rsidR="00A6288F" w:rsidRPr="00A6288F">
        <w:rPr>
          <w:rFonts w:ascii="Verdana" w:hAnsi="Verdana"/>
          <w:sz w:val="20"/>
          <w:lang w:val="es-MX"/>
        </w:rPr>
        <w:t xml:space="preserve"> </w:t>
      </w:r>
    </w:p>
    <w:p w14:paraId="7F290042" w14:textId="0A2F3161" w:rsidR="007E73AA" w:rsidRPr="007E73AA" w:rsidRDefault="007E73AA" w:rsidP="00695B53">
      <w:pPr>
        <w:numPr>
          <w:ilvl w:val="0"/>
          <w:numId w:val="4"/>
        </w:numPr>
        <w:spacing w:before="120" w:after="120"/>
        <w:ind w:left="0" w:hanging="11"/>
        <w:jc w:val="both"/>
        <w:rPr>
          <w:rFonts w:ascii="Verdana" w:hAnsi="Verdana"/>
          <w:sz w:val="20"/>
          <w:lang w:val="es-MX"/>
        </w:rPr>
      </w:pPr>
      <w:r w:rsidRPr="007E73AA">
        <w:rPr>
          <w:rFonts w:ascii="Verdana" w:hAnsi="Verdana"/>
          <w:sz w:val="20"/>
        </w:rPr>
        <w:lastRenderedPageBreak/>
        <w:t xml:space="preserve">Disponer que el Estado adopte, en definitiva y a la mayor brevedad, las medidas que sean necesarias para dar efectivo y pronto cumplimiento a </w:t>
      </w:r>
      <w:r w:rsidR="0029665D">
        <w:rPr>
          <w:rFonts w:ascii="Verdana" w:hAnsi="Verdana"/>
          <w:sz w:val="20"/>
        </w:rPr>
        <w:t xml:space="preserve">la </w:t>
      </w:r>
      <w:r w:rsidRPr="007E73AA">
        <w:rPr>
          <w:rFonts w:ascii="Verdana" w:hAnsi="Verdana"/>
          <w:sz w:val="20"/>
        </w:rPr>
        <w:t xml:space="preserve">única reparación pendiente de cumplimiento total en este caso </w:t>
      </w:r>
      <w:r w:rsidR="0029665D" w:rsidRPr="0029665D">
        <w:rPr>
          <w:rFonts w:ascii="Verdana" w:hAnsi="Verdana"/>
          <w:sz w:val="20"/>
        </w:rPr>
        <w:t>indicada en el</w:t>
      </w:r>
      <w:r w:rsidR="0029665D">
        <w:rPr>
          <w:rFonts w:ascii="Verdana" w:hAnsi="Verdana"/>
          <w:i/>
          <w:iCs/>
          <w:sz w:val="20"/>
        </w:rPr>
        <w:t xml:space="preserve"> </w:t>
      </w:r>
      <w:r w:rsidRPr="007E73AA">
        <w:rPr>
          <w:rFonts w:ascii="Verdana" w:hAnsi="Verdana"/>
          <w:sz w:val="20"/>
        </w:rPr>
        <w:t>punto resolutivo 2, de acuerdo con lo estipulado en el artículo 68.1 de la Convención Americana sobre Derechos Humanos</w:t>
      </w:r>
      <w:r>
        <w:rPr>
          <w:rFonts w:ascii="Verdana" w:hAnsi="Verdana"/>
          <w:sz w:val="20"/>
        </w:rPr>
        <w:t>.</w:t>
      </w:r>
    </w:p>
    <w:p w14:paraId="12708BFF" w14:textId="6A058C71" w:rsidR="00695B53" w:rsidRDefault="0029665D" w:rsidP="00695B53">
      <w:pPr>
        <w:numPr>
          <w:ilvl w:val="0"/>
          <w:numId w:val="4"/>
        </w:numPr>
        <w:spacing w:before="120" w:after="120"/>
        <w:ind w:left="0" w:hanging="11"/>
        <w:jc w:val="both"/>
        <w:rPr>
          <w:rFonts w:ascii="Verdana" w:hAnsi="Verdana"/>
          <w:sz w:val="20"/>
          <w:lang w:val="es-MX"/>
        </w:rPr>
      </w:pPr>
      <w:proofErr w:type="gramStart"/>
      <w:r>
        <w:rPr>
          <w:rFonts w:ascii="Verdana" w:hAnsi="Verdana"/>
          <w:sz w:val="20"/>
        </w:rPr>
        <w:t>Recordar</w:t>
      </w:r>
      <w:proofErr w:type="gramEnd"/>
      <w:r>
        <w:rPr>
          <w:rFonts w:ascii="Verdana" w:hAnsi="Verdana"/>
          <w:sz w:val="20"/>
        </w:rPr>
        <w:t xml:space="preserve"> que el 17 de noviembre de 2023 vence el plazo para</w:t>
      </w:r>
      <w:r w:rsidR="007E73AA" w:rsidRPr="007E73AA">
        <w:rPr>
          <w:rFonts w:ascii="Verdana" w:hAnsi="Verdana"/>
          <w:sz w:val="20"/>
        </w:rPr>
        <w:t xml:space="preserve"> que el Estado presente a la Corte Interamericana de Derechos Humanos </w:t>
      </w:r>
      <w:r w:rsidR="00A6288F">
        <w:rPr>
          <w:rFonts w:ascii="Verdana" w:hAnsi="Verdana"/>
          <w:sz w:val="20"/>
        </w:rPr>
        <w:t>el informe que le fue requerido</w:t>
      </w:r>
      <w:r>
        <w:rPr>
          <w:rFonts w:ascii="Verdana" w:hAnsi="Verdana"/>
          <w:sz w:val="20"/>
        </w:rPr>
        <w:t xml:space="preserve"> sobre la obligación de investigar, juzgar y, en su caso, sancionar, de conformidad con lo indicado en el</w:t>
      </w:r>
      <w:r w:rsidR="00A6288F">
        <w:rPr>
          <w:rFonts w:ascii="Verdana" w:hAnsi="Verdana"/>
          <w:sz w:val="20"/>
        </w:rPr>
        <w:t xml:space="preserve"> Visto 4.</w:t>
      </w:r>
    </w:p>
    <w:p w14:paraId="162EF038" w14:textId="77777777" w:rsidR="007E73AA" w:rsidRPr="007E73AA" w:rsidRDefault="007E73AA" w:rsidP="00695B53">
      <w:pPr>
        <w:numPr>
          <w:ilvl w:val="0"/>
          <w:numId w:val="4"/>
        </w:numPr>
        <w:spacing w:before="120" w:after="120"/>
        <w:ind w:left="0" w:hanging="11"/>
        <w:jc w:val="both"/>
        <w:rPr>
          <w:rFonts w:ascii="Verdana" w:hAnsi="Verdana"/>
          <w:sz w:val="20"/>
        </w:rPr>
      </w:pPr>
      <w:r w:rsidRPr="007E73AA">
        <w:rPr>
          <w:rFonts w:ascii="Verdana" w:hAnsi="Verdana"/>
          <w:sz w:val="20"/>
        </w:rPr>
        <w:t xml:space="preserve">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 </w:t>
      </w:r>
    </w:p>
    <w:p w14:paraId="4FE0FF5F" w14:textId="74DB5F61" w:rsidR="0009162A" w:rsidRDefault="00695B53" w:rsidP="00D33AB2">
      <w:pPr>
        <w:numPr>
          <w:ilvl w:val="0"/>
          <w:numId w:val="4"/>
        </w:numPr>
        <w:spacing w:before="120" w:after="120"/>
        <w:ind w:left="0" w:hanging="11"/>
        <w:jc w:val="both"/>
        <w:rPr>
          <w:rFonts w:ascii="Verdana" w:hAnsi="Verdana"/>
          <w:sz w:val="20"/>
        </w:rPr>
      </w:pPr>
      <w:r>
        <w:rPr>
          <w:rFonts w:ascii="Verdana" w:hAnsi="Verdana"/>
          <w:sz w:val="20"/>
        </w:rPr>
        <w:t>Disponer que la Secretaría de la Corte Interamericana de Derechos Humanos notifique la presente Resolución al Estado, a los representantes de las víctimas y a la Comisión Interamericana de Derechos Humanos.</w:t>
      </w:r>
    </w:p>
    <w:p w14:paraId="68E4A0FC" w14:textId="65B84B69" w:rsidR="003F2D07" w:rsidRDefault="003F2D07">
      <w:pPr>
        <w:spacing w:after="160" w:line="259" w:lineRule="auto"/>
        <w:rPr>
          <w:rFonts w:ascii="Verdana" w:hAnsi="Verdana"/>
          <w:sz w:val="20"/>
        </w:rPr>
      </w:pPr>
    </w:p>
    <w:p w14:paraId="5F055EE0" w14:textId="77777777" w:rsidR="003F2D07" w:rsidRPr="004602BB" w:rsidRDefault="003F2D07" w:rsidP="003F2D07">
      <w:pPr>
        <w:jc w:val="both"/>
        <w:rPr>
          <w:rFonts w:ascii="Verdana" w:hAnsi="Verdana"/>
          <w:sz w:val="20"/>
          <w:lang w:val="es-ES"/>
        </w:rPr>
      </w:pPr>
      <w:r w:rsidRPr="00C262C6">
        <w:rPr>
          <w:rFonts w:ascii="Verdana" w:hAnsi="Verdana"/>
          <w:sz w:val="20"/>
          <w:lang w:val="pt-BR"/>
        </w:rPr>
        <w:t>Corte IDH.</w:t>
      </w:r>
      <w:r>
        <w:rPr>
          <w:rFonts w:ascii="Verdana" w:hAnsi="Verdana"/>
          <w:sz w:val="20"/>
          <w:lang w:val="pt-BR"/>
        </w:rPr>
        <w:t xml:space="preserve"> </w:t>
      </w:r>
      <w:r w:rsidRPr="00B9613D">
        <w:rPr>
          <w:rFonts w:ascii="Verdana" w:hAnsi="Verdana"/>
          <w:i/>
          <w:iCs/>
          <w:sz w:val="20"/>
          <w:lang w:val="pt-BR"/>
        </w:rPr>
        <w:t xml:space="preserve">Caso Carvajal </w:t>
      </w:r>
      <w:proofErr w:type="spellStart"/>
      <w:r w:rsidRPr="00B9613D">
        <w:rPr>
          <w:rFonts w:ascii="Verdana" w:hAnsi="Verdana"/>
          <w:i/>
          <w:iCs/>
          <w:sz w:val="20"/>
          <w:lang w:val="pt-BR"/>
        </w:rPr>
        <w:t>Carvajal</w:t>
      </w:r>
      <w:proofErr w:type="spellEnd"/>
      <w:r w:rsidRPr="00C262C6">
        <w:rPr>
          <w:rFonts w:ascii="Verdana" w:hAnsi="Verdana"/>
          <w:i/>
          <w:sz w:val="20"/>
          <w:lang w:val="pt-BR"/>
        </w:rPr>
        <w:t xml:space="preserve"> Vs. </w:t>
      </w:r>
      <w:r w:rsidRPr="00B9613D">
        <w:rPr>
          <w:rFonts w:ascii="Verdana" w:hAnsi="Verdana"/>
          <w:i/>
          <w:sz w:val="20"/>
          <w:lang w:val="es-CR"/>
        </w:rPr>
        <w:t xml:space="preserve">Colombia. </w:t>
      </w:r>
      <w:r>
        <w:rPr>
          <w:rFonts w:ascii="Verdana" w:hAnsi="Verdana"/>
          <w:iCs/>
          <w:sz w:val="20"/>
          <w:lang w:val="es-CR"/>
        </w:rPr>
        <w:t>Supervisión de Cumplimiento de Sentencia</w:t>
      </w:r>
      <w:r w:rsidRPr="002D12F9">
        <w:rPr>
          <w:rFonts w:ascii="Verdana" w:hAnsi="Verdana"/>
          <w:sz w:val="20"/>
          <w:lang w:val="es-ES"/>
        </w:rPr>
        <w:t xml:space="preserve">. </w:t>
      </w:r>
      <w:r w:rsidRPr="00E262EB">
        <w:rPr>
          <w:rFonts w:ascii="Verdana" w:hAnsi="Verdana"/>
          <w:iCs/>
          <w:sz w:val="20"/>
          <w:lang w:val="es-CR"/>
        </w:rPr>
        <w:t>Resolución de la Corte Interamericana de Derechos Humanos</w:t>
      </w:r>
      <w:r>
        <w:rPr>
          <w:rFonts w:ascii="Verdana" w:hAnsi="Verdana"/>
          <w:iCs/>
          <w:sz w:val="20"/>
          <w:lang w:val="es-CR"/>
        </w:rPr>
        <w:t xml:space="preserve"> </w:t>
      </w:r>
      <w:r w:rsidRPr="004602BB">
        <w:rPr>
          <w:rFonts w:ascii="Verdana" w:hAnsi="Verdana"/>
          <w:sz w:val="20"/>
          <w:lang w:val="es-ES"/>
        </w:rPr>
        <w:t>de</w:t>
      </w:r>
      <w:r>
        <w:rPr>
          <w:rFonts w:ascii="Verdana" w:hAnsi="Verdana"/>
          <w:sz w:val="20"/>
          <w:lang w:val="es-ES"/>
        </w:rPr>
        <w:t xml:space="preserve"> 30</w:t>
      </w:r>
      <w:r w:rsidRPr="004602BB">
        <w:rPr>
          <w:rFonts w:ascii="Verdana" w:hAnsi="Verdana"/>
          <w:sz w:val="20"/>
          <w:lang w:val="es-ES"/>
        </w:rPr>
        <w:t xml:space="preserve"> </w:t>
      </w:r>
      <w:r>
        <w:rPr>
          <w:rFonts w:ascii="Verdana" w:hAnsi="Verdana"/>
          <w:sz w:val="20"/>
          <w:lang w:val="es-ES"/>
        </w:rPr>
        <w:t>agosto</w:t>
      </w:r>
      <w:r w:rsidRPr="004602BB">
        <w:rPr>
          <w:rFonts w:ascii="Verdana" w:hAnsi="Verdana"/>
          <w:sz w:val="20"/>
          <w:lang w:val="es-ES"/>
        </w:rPr>
        <w:t xml:space="preserve"> de 202</w:t>
      </w:r>
      <w:r>
        <w:rPr>
          <w:rFonts w:ascii="Verdana" w:hAnsi="Verdana"/>
          <w:sz w:val="20"/>
          <w:lang w:val="es-ES"/>
        </w:rPr>
        <w:t>3</w:t>
      </w:r>
      <w:r w:rsidRPr="004602BB">
        <w:rPr>
          <w:rFonts w:ascii="Verdana" w:hAnsi="Verdana"/>
          <w:sz w:val="20"/>
          <w:lang w:val="es-ES"/>
        </w:rPr>
        <w:t>.</w:t>
      </w:r>
      <w:r>
        <w:rPr>
          <w:rFonts w:ascii="Verdana" w:hAnsi="Verdana"/>
          <w:sz w:val="20"/>
          <w:lang w:val="es-ES"/>
        </w:rPr>
        <w:t xml:space="preserve"> </w:t>
      </w:r>
      <w:r>
        <w:rPr>
          <w:rFonts w:ascii="Verdana" w:hAnsi="Verdana"/>
          <w:iCs/>
          <w:sz w:val="20"/>
          <w:lang w:val="es-CR"/>
        </w:rPr>
        <w:t>Resolución adoptada en San José de Costa Rica</w:t>
      </w:r>
      <w:r w:rsidRPr="00E262EB">
        <w:rPr>
          <w:rFonts w:ascii="Verdana" w:hAnsi="Verdana"/>
          <w:iCs/>
          <w:sz w:val="20"/>
          <w:lang w:val="es-CR"/>
        </w:rPr>
        <w:t>.</w:t>
      </w:r>
    </w:p>
    <w:p w14:paraId="6C15A8BD" w14:textId="77777777" w:rsidR="003F2D07" w:rsidRPr="004602BB" w:rsidRDefault="003F2D07" w:rsidP="003F2D07">
      <w:pPr>
        <w:jc w:val="center"/>
        <w:rPr>
          <w:rFonts w:ascii="Verdana" w:hAnsi="Verdana"/>
          <w:sz w:val="20"/>
          <w:lang w:val="es-ES"/>
        </w:rPr>
      </w:pPr>
    </w:p>
    <w:p w14:paraId="17052778" w14:textId="77777777" w:rsidR="003F2D07" w:rsidRPr="004602BB" w:rsidRDefault="003F2D07" w:rsidP="003F2D07">
      <w:pPr>
        <w:jc w:val="center"/>
        <w:rPr>
          <w:rFonts w:ascii="Verdana" w:hAnsi="Verdana"/>
          <w:sz w:val="20"/>
          <w:lang w:val="es-ES"/>
        </w:rPr>
      </w:pPr>
    </w:p>
    <w:p w14:paraId="3BC7D98C" w14:textId="77777777" w:rsidR="003F2D07" w:rsidRPr="00B364D0" w:rsidRDefault="003F2D07" w:rsidP="003F2D07">
      <w:pPr>
        <w:jc w:val="center"/>
        <w:rPr>
          <w:rFonts w:ascii="Verdana" w:hAnsi="Verdana"/>
          <w:sz w:val="20"/>
          <w:lang w:val="es-CR"/>
        </w:rPr>
      </w:pPr>
      <w:r w:rsidRPr="00B364D0">
        <w:rPr>
          <w:rFonts w:ascii="Verdana" w:hAnsi="Verdana"/>
          <w:sz w:val="20"/>
          <w:lang w:val="es-CR"/>
        </w:rPr>
        <w:t>Ricardo C. Pérez Manrique</w:t>
      </w:r>
    </w:p>
    <w:p w14:paraId="7CF1971D" w14:textId="77777777" w:rsidR="003F2D07" w:rsidRPr="00B9613D" w:rsidRDefault="003F2D07" w:rsidP="003F2D07">
      <w:pPr>
        <w:jc w:val="center"/>
        <w:rPr>
          <w:rFonts w:ascii="Verdana" w:hAnsi="Verdana"/>
          <w:sz w:val="20"/>
          <w:lang w:val="pt-BR"/>
        </w:rPr>
      </w:pPr>
      <w:r w:rsidRPr="00B9613D">
        <w:rPr>
          <w:rFonts w:ascii="Verdana" w:hAnsi="Verdana"/>
          <w:sz w:val="20"/>
          <w:lang w:val="pt-BR"/>
        </w:rPr>
        <w:t>Presidente</w:t>
      </w:r>
    </w:p>
    <w:p w14:paraId="5B3F29C5" w14:textId="77777777" w:rsidR="003F2D07" w:rsidRPr="00B9613D" w:rsidRDefault="003F2D07" w:rsidP="003F2D07">
      <w:pPr>
        <w:jc w:val="center"/>
        <w:rPr>
          <w:rFonts w:ascii="Verdana" w:hAnsi="Verdana"/>
          <w:sz w:val="20"/>
          <w:lang w:val="pt-BR"/>
        </w:rPr>
      </w:pPr>
    </w:p>
    <w:p w14:paraId="21325CAF" w14:textId="77777777" w:rsidR="003F2D07" w:rsidRPr="00B9613D" w:rsidRDefault="003F2D07" w:rsidP="003F2D07">
      <w:pPr>
        <w:rPr>
          <w:rFonts w:ascii="Verdana" w:hAnsi="Verdana"/>
          <w:sz w:val="20"/>
          <w:lang w:val="pt-BR"/>
        </w:rPr>
      </w:pPr>
    </w:p>
    <w:p w14:paraId="241A718E" w14:textId="77777777" w:rsidR="003F2D07" w:rsidRPr="00B9613D" w:rsidRDefault="003F2D07" w:rsidP="003F2D07">
      <w:pPr>
        <w:rPr>
          <w:rFonts w:ascii="Verdana" w:hAnsi="Verdana"/>
          <w:sz w:val="20"/>
          <w:lang w:val="pt-BR"/>
        </w:rPr>
      </w:pPr>
    </w:p>
    <w:p w14:paraId="25830F1B" w14:textId="77777777" w:rsidR="003F2D07" w:rsidRPr="00B9613D" w:rsidRDefault="003F2D07" w:rsidP="003F2D07">
      <w:pPr>
        <w:rPr>
          <w:rFonts w:ascii="Verdana" w:hAnsi="Verdana"/>
          <w:sz w:val="20"/>
          <w:lang w:val="pt-BR"/>
        </w:rPr>
      </w:pPr>
    </w:p>
    <w:p w14:paraId="58749328" w14:textId="6C4A7FFC" w:rsidR="003F2D07" w:rsidRPr="00C262C6" w:rsidRDefault="003F2D07" w:rsidP="003F2D07">
      <w:pPr>
        <w:rPr>
          <w:rFonts w:ascii="Verdana" w:hAnsi="Verdana"/>
          <w:sz w:val="20"/>
          <w:lang w:val="pt-BR"/>
        </w:rPr>
      </w:pPr>
      <w:r w:rsidRPr="00C262C6">
        <w:rPr>
          <w:rFonts w:ascii="Verdana" w:hAnsi="Verdana"/>
          <w:sz w:val="20"/>
          <w:lang w:val="pt-BR"/>
        </w:rPr>
        <w:t xml:space="preserve">Eduardo Ferrer </w:t>
      </w:r>
      <w:proofErr w:type="spellStart"/>
      <w:r w:rsidRPr="00C262C6">
        <w:rPr>
          <w:rFonts w:ascii="Verdana" w:hAnsi="Verdana"/>
          <w:sz w:val="20"/>
          <w:lang w:val="pt-BR"/>
        </w:rPr>
        <w:t>Mac-Gregor</w:t>
      </w:r>
      <w:proofErr w:type="spellEnd"/>
      <w:r w:rsidRPr="00C262C6">
        <w:rPr>
          <w:rFonts w:ascii="Verdana" w:hAnsi="Verdana"/>
          <w:sz w:val="20"/>
          <w:lang w:val="pt-BR"/>
        </w:rPr>
        <w:t xml:space="preserve"> </w:t>
      </w:r>
      <w:proofErr w:type="spellStart"/>
      <w:r w:rsidRPr="00C262C6">
        <w:rPr>
          <w:rFonts w:ascii="Verdana" w:hAnsi="Verdana"/>
          <w:sz w:val="20"/>
          <w:lang w:val="pt-BR"/>
        </w:rPr>
        <w:t>Poisot</w:t>
      </w:r>
      <w:proofErr w:type="spellEnd"/>
      <w:r w:rsidRPr="00C262C6">
        <w:rPr>
          <w:rFonts w:ascii="Verdana" w:hAnsi="Verdana"/>
          <w:sz w:val="20"/>
          <w:lang w:val="pt-BR"/>
        </w:rPr>
        <w:t xml:space="preserve">            </w:t>
      </w:r>
      <w:r>
        <w:rPr>
          <w:rFonts w:ascii="Verdana" w:hAnsi="Verdana"/>
          <w:sz w:val="20"/>
          <w:lang w:val="pt-BR"/>
        </w:rPr>
        <w:t xml:space="preserve">                         </w:t>
      </w:r>
      <w:r w:rsidRPr="00C262C6">
        <w:rPr>
          <w:rFonts w:ascii="Verdana" w:hAnsi="Verdana"/>
          <w:sz w:val="20"/>
          <w:lang w:val="pt-BR"/>
        </w:rPr>
        <w:t xml:space="preserve">Nancy Hernández López                                                                    </w:t>
      </w:r>
      <w:r w:rsidRPr="00C262C6">
        <w:rPr>
          <w:rFonts w:ascii="Verdana" w:hAnsi="Verdana"/>
          <w:sz w:val="20"/>
          <w:lang w:val="pt-BR"/>
        </w:rPr>
        <w:tab/>
      </w:r>
      <w:r w:rsidRPr="00C262C6">
        <w:rPr>
          <w:rFonts w:ascii="Verdana" w:hAnsi="Verdana"/>
          <w:sz w:val="20"/>
          <w:lang w:val="pt-BR"/>
        </w:rPr>
        <w:tab/>
      </w:r>
      <w:r w:rsidRPr="00C262C6">
        <w:rPr>
          <w:rFonts w:ascii="Verdana" w:hAnsi="Verdana"/>
          <w:sz w:val="20"/>
          <w:lang w:val="pt-BR"/>
        </w:rPr>
        <w:tab/>
      </w:r>
      <w:r w:rsidRPr="00C262C6">
        <w:rPr>
          <w:rFonts w:ascii="Verdana" w:hAnsi="Verdana"/>
          <w:sz w:val="20"/>
          <w:lang w:val="pt-BR"/>
        </w:rPr>
        <w:tab/>
      </w:r>
    </w:p>
    <w:p w14:paraId="0B3E56FA" w14:textId="77777777" w:rsidR="003F2D07" w:rsidRPr="00C262C6" w:rsidRDefault="003F2D07" w:rsidP="003F2D07">
      <w:pPr>
        <w:rPr>
          <w:rFonts w:ascii="Verdana" w:hAnsi="Verdana"/>
          <w:sz w:val="20"/>
          <w:lang w:val="pt-BR"/>
        </w:rPr>
      </w:pPr>
    </w:p>
    <w:p w14:paraId="04EE4592" w14:textId="77777777" w:rsidR="003F2D07" w:rsidRPr="00C262C6" w:rsidRDefault="003F2D07" w:rsidP="003F2D07">
      <w:pPr>
        <w:rPr>
          <w:rFonts w:ascii="Verdana" w:hAnsi="Verdana"/>
          <w:sz w:val="20"/>
          <w:lang w:val="pt-BR"/>
        </w:rPr>
      </w:pPr>
    </w:p>
    <w:p w14:paraId="43EF976E" w14:textId="77777777" w:rsidR="003F2D07" w:rsidRPr="00C262C6" w:rsidRDefault="003F2D07" w:rsidP="003F2D07">
      <w:pPr>
        <w:rPr>
          <w:rFonts w:ascii="Verdana" w:hAnsi="Verdana"/>
          <w:sz w:val="20"/>
          <w:lang w:val="pt-BR"/>
        </w:rPr>
      </w:pPr>
    </w:p>
    <w:p w14:paraId="599122F0" w14:textId="77777777" w:rsidR="003F2D07" w:rsidRPr="00B9613D" w:rsidRDefault="003F2D07" w:rsidP="003F2D07">
      <w:pPr>
        <w:rPr>
          <w:rFonts w:ascii="Verdana" w:hAnsi="Verdana"/>
          <w:sz w:val="20"/>
          <w:lang w:val="pt-BR"/>
        </w:rPr>
      </w:pPr>
      <w:r w:rsidRPr="00B9613D">
        <w:rPr>
          <w:rFonts w:ascii="Verdana" w:hAnsi="Verdana"/>
          <w:sz w:val="20"/>
          <w:lang w:val="pt-BR"/>
        </w:rPr>
        <w:t>Verónica Gómez</w:t>
      </w:r>
      <w:r w:rsidRPr="00B9613D">
        <w:rPr>
          <w:rFonts w:ascii="Verdana" w:hAnsi="Verdana"/>
          <w:sz w:val="20"/>
          <w:lang w:val="pt-BR"/>
        </w:rPr>
        <w:tab/>
      </w:r>
      <w:r w:rsidRPr="00B9613D">
        <w:rPr>
          <w:rFonts w:ascii="Verdana" w:hAnsi="Verdana"/>
          <w:sz w:val="20"/>
          <w:lang w:val="pt-BR"/>
        </w:rPr>
        <w:tab/>
      </w:r>
      <w:r w:rsidRPr="00B9613D">
        <w:rPr>
          <w:rFonts w:ascii="Verdana" w:hAnsi="Verdana"/>
          <w:sz w:val="20"/>
          <w:lang w:val="pt-BR"/>
        </w:rPr>
        <w:tab/>
      </w:r>
      <w:r w:rsidRPr="00B9613D">
        <w:rPr>
          <w:rFonts w:ascii="Verdana" w:hAnsi="Verdana"/>
          <w:sz w:val="20"/>
          <w:lang w:val="pt-BR"/>
        </w:rPr>
        <w:tab/>
      </w:r>
      <w:r w:rsidRPr="00B9613D">
        <w:rPr>
          <w:rFonts w:ascii="Verdana" w:hAnsi="Verdana"/>
          <w:sz w:val="20"/>
          <w:lang w:val="pt-BR"/>
        </w:rPr>
        <w:tab/>
      </w:r>
      <w:r w:rsidRPr="00B9613D">
        <w:rPr>
          <w:rFonts w:ascii="Verdana" w:hAnsi="Verdana"/>
          <w:sz w:val="20"/>
          <w:lang w:val="pt-BR"/>
        </w:rPr>
        <w:tab/>
      </w:r>
      <w:r>
        <w:rPr>
          <w:rFonts w:ascii="Verdana" w:hAnsi="Verdana"/>
          <w:sz w:val="20"/>
          <w:lang w:val="pt-BR"/>
        </w:rPr>
        <w:t xml:space="preserve">         </w:t>
      </w:r>
      <w:proofErr w:type="spellStart"/>
      <w:r w:rsidRPr="00B9613D">
        <w:rPr>
          <w:rFonts w:ascii="Verdana" w:hAnsi="Verdana"/>
          <w:sz w:val="20"/>
          <w:lang w:val="pt-BR"/>
        </w:rPr>
        <w:t>Patricia</w:t>
      </w:r>
      <w:proofErr w:type="spellEnd"/>
      <w:r w:rsidRPr="00B9613D">
        <w:rPr>
          <w:rFonts w:ascii="Verdana" w:hAnsi="Verdana"/>
          <w:sz w:val="20"/>
          <w:lang w:val="pt-BR"/>
        </w:rPr>
        <w:t xml:space="preserve"> Pérez Goldberg</w:t>
      </w:r>
    </w:p>
    <w:p w14:paraId="1863FDCD" w14:textId="77777777" w:rsidR="003F2D07" w:rsidRPr="00B9613D" w:rsidRDefault="003F2D07" w:rsidP="003F2D07">
      <w:pPr>
        <w:rPr>
          <w:rFonts w:ascii="Verdana" w:hAnsi="Verdana"/>
          <w:sz w:val="20"/>
          <w:lang w:val="pt-BR"/>
        </w:rPr>
      </w:pPr>
    </w:p>
    <w:p w14:paraId="4F0C553F" w14:textId="77777777" w:rsidR="003F2D07" w:rsidRPr="00B9613D" w:rsidRDefault="003F2D07" w:rsidP="003F2D07">
      <w:pPr>
        <w:rPr>
          <w:rFonts w:ascii="Verdana" w:hAnsi="Verdana"/>
          <w:sz w:val="20"/>
          <w:lang w:val="pt-BR"/>
        </w:rPr>
      </w:pPr>
    </w:p>
    <w:p w14:paraId="272F3F6F" w14:textId="77777777" w:rsidR="003F2D07" w:rsidRPr="003F2D07" w:rsidRDefault="003F2D07" w:rsidP="003F2D07">
      <w:pPr>
        <w:rPr>
          <w:rFonts w:ascii="Verdana" w:hAnsi="Verdana" w:cs="Arial"/>
          <w:color w:val="212529"/>
          <w:sz w:val="20"/>
          <w:lang w:val="pt-BR"/>
        </w:rPr>
      </w:pPr>
    </w:p>
    <w:p w14:paraId="5AA14E3A" w14:textId="77777777" w:rsidR="003F2D07" w:rsidRPr="00B9613D" w:rsidRDefault="003F2D07" w:rsidP="003F2D07">
      <w:pPr>
        <w:rPr>
          <w:rFonts w:ascii="Verdana" w:hAnsi="Verdana"/>
          <w:sz w:val="20"/>
          <w:lang w:val="pt-BR"/>
        </w:rPr>
      </w:pPr>
      <w:r w:rsidRPr="003F2D07">
        <w:rPr>
          <w:rFonts w:ascii="Verdana" w:hAnsi="Verdana" w:cs="Arial"/>
          <w:color w:val="212529"/>
          <w:sz w:val="20"/>
          <w:lang w:val="pt-BR"/>
        </w:rPr>
        <w:t xml:space="preserve">                                             Rodrigo </w:t>
      </w:r>
      <w:proofErr w:type="spellStart"/>
      <w:r w:rsidRPr="003F2D07">
        <w:rPr>
          <w:rFonts w:ascii="Verdana" w:hAnsi="Verdana" w:cs="Arial"/>
          <w:color w:val="212529"/>
          <w:sz w:val="20"/>
          <w:lang w:val="pt-BR"/>
        </w:rPr>
        <w:t>Mudrovitsch</w:t>
      </w:r>
      <w:proofErr w:type="spellEnd"/>
    </w:p>
    <w:p w14:paraId="7942FD27" w14:textId="77777777" w:rsidR="003F2D07" w:rsidRPr="00B9613D" w:rsidRDefault="003F2D07" w:rsidP="003F2D07">
      <w:pPr>
        <w:jc w:val="both"/>
        <w:rPr>
          <w:rFonts w:ascii="Verdana" w:hAnsi="Verdana"/>
          <w:sz w:val="20"/>
          <w:lang w:val="pt-BR"/>
        </w:rPr>
      </w:pPr>
    </w:p>
    <w:p w14:paraId="19F6CB90" w14:textId="77777777" w:rsidR="003F2D07" w:rsidRPr="00B9613D" w:rsidRDefault="003F2D07" w:rsidP="003F2D07">
      <w:pPr>
        <w:jc w:val="both"/>
        <w:rPr>
          <w:rFonts w:ascii="Verdana" w:hAnsi="Verdana"/>
          <w:sz w:val="20"/>
          <w:lang w:val="pt-BR"/>
        </w:rPr>
      </w:pPr>
    </w:p>
    <w:p w14:paraId="2755209A" w14:textId="77777777" w:rsidR="003F2D07" w:rsidRPr="00B9613D" w:rsidRDefault="003F2D07" w:rsidP="003F2D07">
      <w:pPr>
        <w:jc w:val="center"/>
        <w:rPr>
          <w:rFonts w:ascii="Verdana" w:hAnsi="Verdana"/>
          <w:sz w:val="20"/>
          <w:lang w:val="pt-BR"/>
        </w:rPr>
      </w:pPr>
      <w:r w:rsidRPr="00B9613D">
        <w:rPr>
          <w:rFonts w:ascii="Verdana" w:hAnsi="Verdana"/>
          <w:sz w:val="20"/>
          <w:lang w:val="pt-BR"/>
        </w:rPr>
        <w:t>Pablo Saavedra Alessandri</w:t>
      </w:r>
    </w:p>
    <w:p w14:paraId="07D07270" w14:textId="77777777" w:rsidR="003F2D07" w:rsidRPr="00B9613D" w:rsidRDefault="003F2D07" w:rsidP="003F2D07">
      <w:pPr>
        <w:jc w:val="center"/>
        <w:rPr>
          <w:rFonts w:ascii="Verdana" w:hAnsi="Verdana"/>
          <w:sz w:val="20"/>
          <w:lang w:val="pt-BR"/>
        </w:rPr>
      </w:pPr>
      <w:r w:rsidRPr="00B9613D">
        <w:rPr>
          <w:rFonts w:ascii="Verdana" w:hAnsi="Verdana"/>
          <w:sz w:val="20"/>
          <w:lang w:val="pt-BR"/>
        </w:rPr>
        <w:t>Secretario</w:t>
      </w:r>
    </w:p>
    <w:p w14:paraId="62C2F8E5" w14:textId="77777777" w:rsidR="003F2D07" w:rsidRPr="00B9613D" w:rsidRDefault="003F2D07" w:rsidP="003F2D07">
      <w:pPr>
        <w:pStyle w:val="Textonotapie"/>
        <w:rPr>
          <w:rFonts w:ascii="Verdana" w:hAnsi="Verdana"/>
          <w:lang w:val="pt-BR"/>
        </w:rPr>
      </w:pPr>
    </w:p>
    <w:p w14:paraId="6CD34A99" w14:textId="77777777" w:rsidR="003F2D07" w:rsidRPr="00B9613D" w:rsidRDefault="003F2D07" w:rsidP="003F2D07">
      <w:pPr>
        <w:pStyle w:val="Textonotapie"/>
        <w:rPr>
          <w:rFonts w:ascii="Verdana" w:hAnsi="Verdana"/>
          <w:lang w:val="pt-BR"/>
        </w:rPr>
      </w:pPr>
    </w:p>
    <w:p w14:paraId="00E1AE85" w14:textId="77777777" w:rsidR="003F2D07" w:rsidRPr="00B9613D" w:rsidRDefault="003F2D07" w:rsidP="003F2D07">
      <w:pPr>
        <w:jc w:val="both"/>
        <w:rPr>
          <w:rFonts w:ascii="Verdana" w:hAnsi="Verdana"/>
          <w:sz w:val="20"/>
          <w:lang w:val="pt-BR"/>
        </w:rPr>
      </w:pPr>
      <w:proofErr w:type="spellStart"/>
      <w:r w:rsidRPr="00B9613D">
        <w:rPr>
          <w:rFonts w:ascii="Verdana" w:hAnsi="Verdana"/>
          <w:sz w:val="20"/>
          <w:lang w:val="pt-BR"/>
        </w:rPr>
        <w:t>Comuníquese</w:t>
      </w:r>
      <w:proofErr w:type="spellEnd"/>
      <w:r w:rsidRPr="00B9613D">
        <w:rPr>
          <w:rFonts w:ascii="Verdana" w:hAnsi="Verdana"/>
          <w:sz w:val="20"/>
          <w:lang w:val="pt-BR"/>
        </w:rPr>
        <w:t xml:space="preserve"> y </w:t>
      </w:r>
      <w:proofErr w:type="spellStart"/>
      <w:r w:rsidRPr="00B9613D">
        <w:rPr>
          <w:rFonts w:ascii="Verdana" w:hAnsi="Verdana"/>
          <w:sz w:val="20"/>
          <w:lang w:val="pt-BR"/>
        </w:rPr>
        <w:t>ejecútese</w:t>
      </w:r>
      <w:proofErr w:type="spellEnd"/>
      <w:r w:rsidRPr="00B9613D">
        <w:rPr>
          <w:rFonts w:ascii="Verdana" w:hAnsi="Verdana"/>
          <w:sz w:val="20"/>
          <w:lang w:val="pt-BR"/>
        </w:rPr>
        <w:t>,</w:t>
      </w:r>
    </w:p>
    <w:p w14:paraId="6CF0DD2F" w14:textId="77777777" w:rsidR="003F2D07" w:rsidRPr="00B9613D" w:rsidRDefault="003F2D07" w:rsidP="003F2D07">
      <w:pPr>
        <w:rPr>
          <w:rFonts w:ascii="Verdana" w:hAnsi="Verdana"/>
          <w:sz w:val="20"/>
          <w:lang w:val="pt-BR"/>
        </w:rPr>
      </w:pPr>
    </w:p>
    <w:p w14:paraId="6EFA4552" w14:textId="456AA39A" w:rsidR="003F2D07" w:rsidRPr="00B9613D" w:rsidRDefault="003F2D07" w:rsidP="003F2D07">
      <w:pPr>
        <w:jc w:val="center"/>
        <w:rPr>
          <w:rFonts w:ascii="Verdana" w:hAnsi="Verdana"/>
          <w:sz w:val="20"/>
          <w:lang w:val="pt-BR"/>
        </w:rPr>
      </w:pPr>
      <w:r w:rsidRPr="00B9613D">
        <w:rPr>
          <w:rFonts w:ascii="Verdana" w:hAnsi="Verdana"/>
          <w:sz w:val="20"/>
          <w:lang w:val="pt-BR"/>
        </w:rPr>
        <w:t xml:space="preserve">                                                                                       Ricardo C. Pérez </w:t>
      </w:r>
      <w:proofErr w:type="spellStart"/>
      <w:r w:rsidRPr="00B9613D">
        <w:rPr>
          <w:rFonts w:ascii="Verdana" w:hAnsi="Verdana"/>
          <w:sz w:val="20"/>
          <w:lang w:val="pt-BR"/>
        </w:rPr>
        <w:t>Manrique</w:t>
      </w:r>
      <w:proofErr w:type="spellEnd"/>
    </w:p>
    <w:p w14:paraId="12424E08" w14:textId="0F33C89D" w:rsidR="003F2D07" w:rsidRPr="00B9613D" w:rsidRDefault="003F2D07" w:rsidP="003F2D07">
      <w:pPr>
        <w:ind w:left="6372" w:firstLine="708"/>
        <w:rPr>
          <w:rFonts w:ascii="Verdana" w:hAnsi="Verdana"/>
          <w:sz w:val="20"/>
          <w:lang w:val="pt-BR"/>
        </w:rPr>
      </w:pPr>
      <w:r w:rsidRPr="00B9613D">
        <w:rPr>
          <w:rFonts w:ascii="Verdana" w:hAnsi="Verdana"/>
          <w:sz w:val="20"/>
          <w:lang w:val="pt-BR"/>
        </w:rPr>
        <w:t>Presidente</w:t>
      </w:r>
    </w:p>
    <w:p w14:paraId="11E41344" w14:textId="77777777" w:rsidR="003F2D07" w:rsidRPr="00B9613D" w:rsidRDefault="003F2D07" w:rsidP="003F2D07">
      <w:pPr>
        <w:jc w:val="both"/>
        <w:rPr>
          <w:rFonts w:ascii="Verdana" w:hAnsi="Verdana"/>
          <w:sz w:val="20"/>
          <w:lang w:val="pt-BR"/>
        </w:rPr>
      </w:pPr>
      <w:r w:rsidRPr="00B9613D">
        <w:rPr>
          <w:rFonts w:ascii="Verdana" w:hAnsi="Verdana"/>
          <w:sz w:val="20"/>
          <w:lang w:val="pt-BR"/>
        </w:rPr>
        <w:t>Pablo Saavedra Alessandri</w:t>
      </w:r>
    </w:p>
    <w:p w14:paraId="75C3DFB5" w14:textId="77777777" w:rsidR="003F2D07" w:rsidRPr="00C262C6" w:rsidRDefault="003F2D07" w:rsidP="003F2D07">
      <w:pPr>
        <w:rPr>
          <w:lang w:val="es-ES"/>
        </w:rPr>
      </w:pPr>
      <w:r w:rsidRPr="00B9613D">
        <w:rPr>
          <w:rFonts w:ascii="Verdana" w:hAnsi="Verdana"/>
          <w:sz w:val="20"/>
          <w:lang w:val="pt-BR"/>
        </w:rPr>
        <w:t xml:space="preserve">          </w:t>
      </w:r>
      <w:r w:rsidRPr="00C262C6">
        <w:rPr>
          <w:rFonts w:ascii="Verdana" w:hAnsi="Verdana"/>
          <w:sz w:val="20"/>
          <w:lang w:val="es-ES"/>
        </w:rPr>
        <w:t>Secretario</w:t>
      </w:r>
    </w:p>
    <w:sectPr w:rsidR="003F2D07" w:rsidRPr="00C262C6" w:rsidSect="008E5334">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ADB7" w14:textId="77777777" w:rsidR="00A263C9" w:rsidRDefault="00A263C9" w:rsidP="00695B53">
      <w:r>
        <w:separator/>
      </w:r>
    </w:p>
  </w:endnote>
  <w:endnote w:type="continuationSeparator" w:id="0">
    <w:p w14:paraId="6FE414D5" w14:textId="77777777" w:rsidR="00A263C9" w:rsidRDefault="00A263C9" w:rsidP="0069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050948"/>
      <w:docPartObj>
        <w:docPartGallery w:val="Page Numbers (Bottom of Page)"/>
        <w:docPartUnique/>
      </w:docPartObj>
    </w:sdtPr>
    <w:sdtContent>
      <w:p w14:paraId="18C2E497" w14:textId="2DBE8A2A" w:rsidR="009642BE" w:rsidRDefault="009642BE">
        <w:pPr>
          <w:pStyle w:val="Piedepgina"/>
          <w:jc w:val="center"/>
        </w:pPr>
        <w:r w:rsidRPr="009642BE">
          <w:rPr>
            <w:rFonts w:ascii="Verdana" w:hAnsi="Verdana"/>
            <w:sz w:val="20"/>
          </w:rPr>
          <w:t>-</w:t>
        </w:r>
        <w:r w:rsidRPr="009642BE">
          <w:rPr>
            <w:rFonts w:ascii="Verdana" w:hAnsi="Verdana"/>
            <w:sz w:val="20"/>
          </w:rPr>
          <w:fldChar w:fldCharType="begin"/>
        </w:r>
        <w:r w:rsidRPr="009642BE">
          <w:rPr>
            <w:rFonts w:ascii="Verdana" w:hAnsi="Verdana"/>
            <w:sz w:val="20"/>
          </w:rPr>
          <w:instrText>PAGE   \* MERGEFORMAT</w:instrText>
        </w:r>
        <w:r w:rsidRPr="009642BE">
          <w:rPr>
            <w:rFonts w:ascii="Verdana" w:hAnsi="Verdana"/>
            <w:sz w:val="20"/>
          </w:rPr>
          <w:fldChar w:fldCharType="separate"/>
        </w:r>
        <w:r w:rsidRPr="009642BE">
          <w:rPr>
            <w:rFonts w:ascii="Verdana" w:hAnsi="Verdana"/>
            <w:sz w:val="20"/>
            <w:lang w:val="es-ES"/>
          </w:rPr>
          <w:t>2</w:t>
        </w:r>
        <w:r w:rsidRPr="009642BE">
          <w:rPr>
            <w:rFonts w:ascii="Verdana" w:hAnsi="Verdana"/>
            <w:sz w:val="20"/>
          </w:rPr>
          <w:fldChar w:fldCharType="end"/>
        </w:r>
        <w:r w:rsidRPr="009642BE">
          <w:rPr>
            <w:rFonts w:ascii="Verdana" w:hAnsi="Verdana"/>
            <w:sz w:val="20"/>
          </w:rPr>
          <w:t>-</w:t>
        </w:r>
      </w:p>
    </w:sdtContent>
  </w:sdt>
  <w:p w14:paraId="6428E44A" w14:textId="77777777" w:rsidR="009642BE" w:rsidRDefault="009642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45E6" w14:textId="77777777" w:rsidR="00A263C9" w:rsidRDefault="00A263C9" w:rsidP="00695B53">
      <w:r>
        <w:separator/>
      </w:r>
    </w:p>
  </w:footnote>
  <w:footnote w:type="continuationSeparator" w:id="0">
    <w:p w14:paraId="7E39E570" w14:textId="77777777" w:rsidR="00A263C9" w:rsidRDefault="00A263C9" w:rsidP="00695B53">
      <w:r>
        <w:continuationSeparator/>
      </w:r>
    </w:p>
  </w:footnote>
  <w:footnote w:id="1">
    <w:p w14:paraId="040288CE" w14:textId="76AD32B2" w:rsidR="00695B53" w:rsidRPr="006F5309" w:rsidRDefault="006B1684" w:rsidP="0055519F">
      <w:pPr>
        <w:pStyle w:val="Textonotapie"/>
        <w:tabs>
          <w:tab w:val="left" w:pos="567"/>
        </w:tabs>
        <w:jc w:val="both"/>
        <w:rPr>
          <w:rFonts w:ascii="Verdana" w:hAnsi="Verdana"/>
          <w:sz w:val="16"/>
          <w:szCs w:val="16"/>
          <w:lang w:val="es-CR"/>
        </w:rPr>
      </w:pPr>
      <w:r w:rsidRPr="006F5309">
        <w:rPr>
          <w:rFonts w:ascii="Verdana" w:hAnsi="Verdana"/>
          <w:sz w:val="16"/>
          <w:szCs w:val="16"/>
        </w:rPr>
        <w:t>*</w:t>
      </w:r>
      <w:r w:rsidRPr="006F5309">
        <w:rPr>
          <w:rFonts w:ascii="Verdana" w:hAnsi="Verdana"/>
          <w:sz w:val="16"/>
          <w:szCs w:val="16"/>
        </w:rPr>
        <w:tab/>
        <w:t>El Juez Humberto Antonio Sierra Porto, de nacionalidad colombiana, no participó en el conocimiento y deliberación de la presente Resolución, de conformidad con lo dispuesto en el artículo 19.1 del Reglamento de la Corte.</w:t>
      </w:r>
    </w:p>
  </w:footnote>
  <w:footnote w:id="2">
    <w:p w14:paraId="7046EB66" w14:textId="77777777" w:rsidR="00E21C75" w:rsidRPr="006F5309" w:rsidRDefault="00E21C75" w:rsidP="0055519F">
      <w:pPr>
        <w:pStyle w:val="Textonotapie"/>
        <w:tabs>
          <w:tab w:val="left" w:pos="567"/>
        </w:tabs>
        <w:jc w:val="both"/>
        <w:rPr>
          <w:rFonts w:ascii="Verdana" w:hAnsi="Verdana"/>
          <w:sz w:val="16"/>
          <w:szCs w:val="16"/>
          <w:lang w:val="es-ES"/>
        </w:rPr>
      </w:pPr>
      <w:r w:rsidRPr="006F5309">
        <w:rPr>
          <w:rStyle w:val="Refdenotaalpie"/>
          <w:rFonts w:ascii="Verdana" w:hAnsi="Verdana"/>
          <w:sz w:val="16"/>
          <w:szCs w:val="16"/>
        </w:rPr>
        <w:footnoteRef/>
      </w:r>
      <w:r w:rsidRPr="006F5309">
        <w:rPr>
          <w:rFonts w:ascii="Verdana" w:hAnsi="Verdana"/>
          <w:sz w:val="16"/>
          <w:szCs w:val="16"/>
        </w:rPr>
        <w:t xml:space="preserve"> </w:t>
      </w:r>
      <w:r w:rsidRPr="006F5309">
        <w:rPr>
          <w:rFonts w:ascii="Verdana" w:hAnsi="Verdana"/>
          <w:sz w:val="16"/>
          <w:szCs w:val="16"/>
        </w:rPr>
        <w:tab/>
      </w:r>
      <w:r w:rsidRPr="006F5309">
        <w:rPr>
          <w:rFonts w:ascii="Verdana" w:hAnsi="Verdana"/>
          <w:i/>
          <w:sz w:val="16"/>
          <w:szCs w:val="16"/>
        </w:rPr>
        <w:t>Cfr.</w:t>
      </w:r>
      <w:r w:rsidRPr="006F5309">
        <w:rPr>
          <w:rFonts w:ascii="Verdana" w:hAnsi="Verdana"/>
          <w:sz w:val="16"/>
          <w:szCs w:val="16"/>
        </w:rPr>
        <w:t xml:space="preserve"> </w:t>
      </w:r>
      <w:r w:rsidRPr="006F5309">
        <w:rPr>
          <w:rFonts w:ascii="Verdana" w:hAnsi="Verdana"/>
          <w:i/>
          <w:iCs/>
          <w:sz w:val="16"/>
          <w:szCs w:val="16"/>
        </w:rPr>
        <w:t xml:space="preserve">Caso Carvajal </w:t>
      </w:r>
      <w:proofErr w:type="spellStart"/>
      <w:r w:rsidRPr="006F5309">
        <w:rPr>
          <w:rFonts w:ascii="Verdana" w:hAnsi="Verdana"/>
          <w:i/>
          <w:iCs/>
          <w:sz w:val="16"/>
          <w:szCs w:val="16"/>
        </w:rPr>
        <w:t>Carvajal</w:t>
      </w:r>
      <w:proofErr w:type="spellEnd"/>
      <w:r w:rsidRPr="006F5309">
        <w:rPr>
          <w:rFonts w:ascii="Verdana" w:hAnsi="Verdana"/>
          <w:i/>
          <w:iCs/>
          <w:sz w:val="16"/>
          <w:szCs w:val="16"/>
        </w:rPr>
        <w:t xml:space="preserve"> y otros Vs. Colombia. Fondo, Reparaciones y Costas.</w:t>
      </w:r>
      <w:r w:rsidRPr="006F5309">
        <w:rPr>
          <w:rFonts w:ascii="Verdana" w:hAnsi="Verdana"/>
          <w:sz w:val="16"/>
          <w:szCs w:val="16"/>
        </w:rPr>
        <w:t xml:space="preserve"> Sentencia de 13 de marzo de 2018. Serie C No. 352. El texto íntegro de la Sentencia se encuentra disponible en: </w:t>
      </w:r>
      <w:hyperlink r:id="rId1" w:history="1">
        <w:r w:rsidRPr="006F5309">
          <w:rPr>
            <w:rStyle w:val="Hipervnculo"/>
            <w:rFonts w:ascii="Verdana" w:hAnsi="Verdana"/>
            <w:sz w:val="16"/>
            <w:szCs w:val="16"/>
          </w:rPr>
          <w:t>http://www.corteidh.or.cr/docs/casos/articulos/seriec_352_esp.pdf</w:t>
        </w:r>
      </w:hyperlink>
      <w:r w:rsidRPr="006F5309">
        <w:rPr>
          <w:rFonts w:ascii="Verdana" w:hAnsi="Verdana"/>
          <w:sz w:val="16"/>
          <w:szCs w:val="16"/>
        </w:rPr>
        <w:t xml:space="preserve">. La Sentencia fue notificada al Estado el 6 de junio de 2018.  </w:t>
      </w:r>
    </w:p>
  </w:footnote>
  <w:footnote w:id="3">
    <w:p w14:paraId="6BC19A78" w14:textId="77777777" w:rsidR="00E21C75" w:rsidRPr="006F5309" w:rsidRDefault="00E21C75" w:rsidP="0055519F">
      <w:pPr>
        <w:pStyle w:val="Textonotapie"/>
        <w:tabs>
          <w:tab w:val="left" w:pos="567"/>
        </w:tabs>
        <w:jc w:val="both"/>
        <w:rPr>
          <w:rFonts w:ascii="Verdana" w:hAnsi="Verdana"/>
          <w:sz w:val="16"/>
          <w:szCs w:val="16"/>
        </w:rPr>
      </w:pPr>
      <w:r w:rsidRPr="006F5309">
        <w:rPr>
          <w:rStyle w:val="Refdenotaalpie"/>
          <w:rFonts w:ascii="Verdana" w:hAnsi="Verdana"/>
          <w:sz w:val="16"/>
          <w:szCs w:val="16"/>
        </w:rPr>
        <w:footnoteRef/>
      </w:r>
      <w:r w:rsidRPr="006F5309">
        <w:rPr>
          <w:rFonts w:ascii="Verdana" w:hAnsi="Verdana"/>
          <w:sz w:val="16"/>
          <w:szCs w:val="16"/>
        </w:rPr>
        <w:t xml:space="preserve"> </w:t>
      </w:r>
      <w:r w:rsidRPr="006F5309">
        <w:rPr>
          <w:rFonts w:ascii="Verdana" w:hAnsi="Verdana"/>
          <w:sz w:val="16"/>
          <w:szCs w:val="16"/>
        </w:rPr>
        <w:tab/>
      </w:r>
      <w:r w:rsidRPr="006F5309">
        <w:rPr>
          <w:rFonts w:ascii="Verdana" w:hAnsi="Verdana"/>
          <w:i/>
          <w:sz w:val="16"/>
          <w:szCs w:val="16"/>
        </w:rPr>
        <w:t>Cfr.</w:t>
      </w:r>
      <w:r w:rsidRPr="006F5309">
        <w:rPr>
          <w:rFonts w:ascii="Verdana" w:hAnsi="Verdana"/>
          <w:sz w:val="16"/>
          <w:szCs w:val="16"/>
        </w:rPr>
        <w:t xml:space="preserve"> </w:t>
      </w:r>
      <w:r w:rsidRPr="006F5309">
        <w:rPr>
          <w:rFonts w:ascii="Verdana" w:hAnsi="Verdana"/>
          <w:i/>
          <w:iCs/>
          <w:sz w:val="16"/>
          <w:szCs w:val="16"/>
        </w:rPr>
        <w:t xml:space="preserve">Caso Carvajal </w:t>
      </w:r>
      <w:proofErr w:type="spellStart"/>
      <w:r w:rsidRPr="006F5309">
        <w:rPr>
          <w:rFonts w:ascii="Verdana" w:hAnsi="Verdana"/>
          <w:i/>
          <w:iCs/>
          <w:sz w:val="16"/>
          <w:szCs w:val="16"/>
        </w:rPr>
        <w:t>Carvajal</w:t>
      </w:r>
      <w:proofErr w:type="spellEnd"/>
      <w:r w:rsidRPr="006F5309">
        <w:rPr>
          <w:rFonts w:ascii="Verdana" w:hAnsi="Verdana"/>
          <w:i/>
          <w:iCs/>
          <w:sz w:val="16"/>
          <w:szCs w:val="16"/>
        </w:rPr>
        <w:t xml:space="preserve"> y otros Vs. Colombia. Interpretación de la Sentencia de Fondo, Reparaciones y Costas.</w:t>
      </w:r>
      <w:r w:rsidRPr="006F5309">
        <w:rPr>
          <w:rFonts w:ascii="Verdana" w:hAnsi="Verdana"/>
          <w:sz w:val="16"/>
          <w:szCs w:val="16"/>
        </w:rPr>
        <w:t xml:space="preserve"> Sentencia de 21 de noviembre de 2018. Serie C No. 365, disponible en: </w:t>
      </w:r>
      <w:hyperlink r:id="rId2" w:history="1">
        <w:r w:rsidRPr="006F5309">
          <w:rPr>
            <w:rStyle w:val="Hipervnculo"/>
            <w:rFonts w:ascii="Verdana" w:hAnsi="Verdana"/>
            <w:sz w:val="16"/>
            <w:szCs w:val="16"/>
          </w:rPr>
          <w:t>http://www.corteidh.or.cr/docs/casos/articulos/seriec_365_esp.pdf</w:t>
        </w:r>
      </w:hyperlink>
      <w:r w:rsidRPr="006F5309">
        <w:rPr>
          <w:rFonts w:ascii="Verdana" w:hAnsi="Verdana"/>
          <w:sz w:val="16"/>
          <w:szCs w:val="16"/>
        </w:rPr>
        <w:t>. Dicha sentencia se refiere a los puntos resolutivos 13 y 14, y a lo dispuesto en el párrafo 231 de la Sentencia.</w:t>
      </w:r>
    </w:p>
  </w:footnote>
  <w:footnote w:id="4">
    <w:p w14:paraId="7D4FD584" w14:textId="07E717A1" w:rsidR="00E21C75" w:rsidRPr="006F5309" w:rsidRDefault="00E21C75" w:rsidP="0055519F">
      <w:pPr>
        <w:pStyle w:val="Textonotapie"/>
        <w:tabs>
          <w:tab w:val="left" w:pos="567"/>
        </w:tabs>
        <w:jc w:val="both"/>
        <w:rPr>
          <w:rFonts w:ascii="Verdana" w:hAnsi="Verdana"/>
          <w:sz w:val="16"/>
          <w:szCs w:val="16"/>
          <w:lang w:val="es-ES"/>
        </w:rPr>
      </w:pPr>
      <w:r w:rsidRPr="006F5309">
        <w:rPr>
          <w:rStyle w:val="Refdenotaalpie"/>
          <w:rFonts w:ascii="Verdana" w:hAnsi="Verdana"/>
          <w:sz w:val="16"/>
          <w:szCs w:val="16"/>
        </w:rPr>
        <w:footnoteRef/>
      </w:r>
      <w:r w:rsidRPr="006F5309">
        <w:rPr>
          <w:rFonts w:ascii="Verdana" w:hAnsi="Verdana"/>
          <w:sz w:val="16"/>
          <w:szCs w:val="16"/>
        </w:rPr>
        <w:t xml:space="preserve"> </w:t>
      </w:r>
      <w:r w:rsidRPr="006F5309">
        <w:rPr>
          <w:rFonts w:ascii="Verdana" w:hAnsi="Verdana"/>
          <w:sz w:val="16"/>
          <w:szCs w:val="16"/>
        </w:rPr>
        <w:tab/>
      </w:r>
      <w:r w:rsidR="00B41D0E" w:rsidRPr="006F5309">
        <w:rPr>
          <w:rFonts w:ascii="Verdana" w:hAnsi="Verdana"/>
          <w:i/>
          <w:iCs/>
          <w:sz w:val="16"/>
          <w:szCs w:val="16"/>
        </w:rPr>
        <w:t xml:space="preserve">Cfr. </w:t>
      </w:r>
      <w:r w:rsidR="00B41D0E" w:rsidRPr="003862A1">
        <w:rPr>
          <w:rFonts w:ascii="Verdana" w:hAnsi="Verdana" w:cs="Open Sans"/>
          <w:i/>
          <w:iCs/>
          <w:color w:val="000000" w:themeColor="text1"/>
          <w:sz w:val="16"/>
          <w:szCs w:val="16"/>
          <w:shd w:val="clear" w:color="auto" w:fill="FFFFFF"/>
        </w:rPr>
        <w:t xml:space="preserve">Caso Carvajal </w:t>
      </w:r>
      <w:proofErr w:type="spellStart"/>
      <w:r w:rsidR="00B41D0E" w:rsidRPr="003862A1">
        <w:rPr>
          <w:rFonts w:ascii="Verdana" w:hAnsi="Verdana" w:cs="Open Sans"/>
          <w:i/>
          <w:iCs/>
          <w:color w:val="000000" w:themeColor="text1"/>
          <w:sz w:val="16"/>
          <w:szCs w:val="16"/>
          <w:shd w:val="clear" w:color="auto" w:fill="FFFFFF"/>
        </w:rPr>
        <w:t>Carvajal</w:t>
      </w:r>
      <w:proofErr w:type="spellEnd"/>
      <w:r w:rsidR="00B41D0E" w:rsidRPr="003862A1">
        <w:rPr>
          <w:rFonts w:ascii="Verdana" w:hAnsi="Verdana" w:cs="Open Sans"/>
          <w:i/>
          <w:iCs/>
          <w:color w:val="000000" w:themeColor="text1"/>
          <w:sz w:val="16"/>
          <w:szCs w:val="16"/>
          <w:shd w:val="clear" w:color="auto" w:fill="FFFFFF"/>
        </w:rPr>
        <w:t xml:space="preserve"> y otros Vs. Colombia. Supervisión de Cumplimiento de Sentencia. </w:t>
      </w:r>
      <w:r w:rsidR="00B41D0E" w:rsidRPr="003862A1">
        <w:rPr>
          <w:rFonts w:ascii="Verdana" w:hAnsi="Verdana" w:cs="Open Sans"/>
          <w:color w:val="000000" w:themeColor="text1"/>
          <w:sz w:val="16"/>
          <w:szCs w:val="16"/>
          <w:shd w:val="clear" w:color="auto" w:fill="FFFFFF"/>
        </w:rPr>
        <w:t xml:space="preserve">Resolución de la Corte Interamericana de Derechos Humanos de 7 de octubre de 2019. </w:t>
      </w:r>
      <w:r w:rsidRPr="006F5309">
        <w:rPr>
          <w:rFonts w:ascii="Verdana" w:hAnsi="Verdana"/>
          <w:sz w:val="16"/>
          <w:szCs w:val="16"/>
          <w:lang w:val="es-ES"/>
        </w:rPr>
        <w:t xml:space="preserve">Disponible </w:t>
      </w:r>
      <w:r w:rsidR="00B41D0E" w:rsidRPr="006F5309">
        <w:rPr>
          <w:rFonts w:ascii="Verdana" w:hAnsi="Verdana"/>
          <w:sz w:val="16"/>
          <w:szCs w:val="16"/>
          <w:lang w:val="es-ES"/>
        </w:rPr>
        <w:t>en</w:t>
      </w:r>
      <w:r w:rsidRPr="006F5309">
        <w:rPr>
          <w:rFonts w:ascii="Verdana" w:hAnsi="Verdana"/>
          <w:sz w:val="16"/>
          <w:szCs w:val="16"/>
          <w:lang w:val="es-ES"/>
        </w:rPr>
        <w:t xml:space="preserve">: </w:t>
      </w:r>
      <w:hyperlink r:id="rId3" w:history="1">
        <w:r w:rsidRPr="006F5309">
          <w:rPr>
            <w:rStyle w:val="Hipervnculo"/>
            <w:rFonts w:ascii="Verdana" w:hAnsi="Verdana"/>
            <w:sz w:val="16"/>
            <w:szCs w:val="16"/>
            <w:lang w:val="es-ES"/>
          </w:rPr>
          <w:t>https://www.corteidh.or.cr/docs/supervisiones/carvajalcarvajal_07_10_19.pdf</w:t>
        </w:r>
      </w:hyperlink>
      <w:r w:rsidR="00B41D0E" w:rsidRPr="006F5309">
        <w:rPr>
          <w:rStyle w:val="Hipervnculo"/>
          <w:rFonts w:ascii="Verdana" w:hAnsi="Verdana"/>
          <w:sz w:val="16"/>
          <w:szCs w:val="16"/>
          <w:lang w:val="es-ES"/>
        </w:rPr>
        <w:t>.</w:t>
      </w:r>
      <w:r w:rsidRPr="006F5309">
        <w:rPr>
          <w:rFonts w:ascii="Verdana" w:hAnsi="Verdana"/>
          <w:sz w:val="16"/>
          <w:szCs w:val="16"/>
          <w:lang w:val="es-ES"/>
        </w:rPr>
        <w:t xml:space="preserve"> </w:t>
      </w:r>
    </w:p>
  </w:footnote>
  <w:footnote w:id="5">
    <w:p w14:paraId="7ABF26C1" w14:textId="1BBAE2F6" w:rsidR="00E21C75" w:rsidRPr="006F5309" w:rsidRDefault="00E21C75" w:rsidP="0055519F">
      <w:pPr>
        <w:pStyle w:val="Textonotapie"/>
        <w:tabs>
          <w:tab w:val="left" w:pos="567"/>
        </w:tabs>
        <w:jc w:val="both"/>
        <w:rPr>
          <w:rFonts w:ascii="Verdana" w:hAnsi="Verdana"/>
          <w:sz w:val="16"/>
          <w:szCs w:val="16"/>
          <w:lang w:val="es-ES"/>
        </w:rPr>
      </w:pPr>
      <w:r w:rsidRPr="006F5309">
        <w:rPr>
          <w:rStyle w:val="Refdenotaalpie"/>
          <w:rFonts w:ascii="Verdana" w:hAnsi="Verdana"/>
          <w:sz w:val="16"/>
          <w:szCs w:val="16"/>
        </w:rPr>
        <w:footnoteRef/>
      </w:r>
      <w:r w:rsidRPr="006F5309">
        <w:rPr>
          <w:rFonts w:ascii="Verdana" w:hAnsi="Verdana"/>
          <w:sz w:val="16"/>
          <w:szCs w:val="16"/>
        </w:rPr>
        <w:t xml:space="preserve"> </w:t>
      </w:r>
      <w:r w:rsidRPr="006F5309">
        <w:rPr>
          <w:rFonts w:ascii="Verdana" w:hAnsi="Verdana"/>
          <w:sz w:val="16"/>
          <w:szCs w:val="16"/>
          <w:lang w:val="es-ES"/>
        </w:rPr>
        <w:tab/>
      </w:r>
      <w:r w:rsidR="00B41D0E" w:rsidRPr="006F5309">
        <w:rPr>
          <w:rFonts w:ascii="Verdana" w:hAnsi="Verdana"/>
          <w:i/>
          <w:iCs/>
          <w:sz w:val="16"/>
          <w:szCs w:val="16"/>
          <w:lang w:val="es-ES"/>
        </w:rPr>
        <w:t xml:space="preserve">Cfr. </w:t>
      </w:r>
      <w:r w:rsidR="00B41D0E" w:rsidRPr="003862A1">
        <w:rPr>
          <w:rFonts w:ascii="Verdana" w:hAnsi="Verdana" w:cs="Open Sans"/>
          <w:i/>
          <w:iCs/>
          <w:color w:val="000000" w:themeColor="text1"/>
          <w:sz w:val="16"/>
          <w:szCs w:val="16"/>
          <w:shd w:val="clear" w:color="auto" w:fill="FFFFFF"/>
        </w:rPr>
        <w:t xml:space="preserve">Caso Carvajal </w:t>
      </w:r>
      <w:proofErr w:type="spellStart"/>
      <w:r w:rsidR="00B41D0E" w:rsidRPr="003862A1">
        <w:rPr>
          <w:rFonts w:ascii="Verdana" w:hAnsi="Verdana" w:cs="Open Sans"/>
          <w:i/>
          <w:iCs/>
          <w:color w:val="000000" w:themeColor="text1"/>
          <w:sz w:val="16"/>
          <w:szCs w:val="16"/>
          <w:shd w:val="clear" w:color="auto" w:fill="FFFFFF"/>
        </w:rPr>
        <w:t>Carvajal</w:t>
      </w:r>
      <w:proofErr w:type="spellEnd"/>
      <w:r w:rsidR="00B41D0E" w:rsidRPr="003862A1">
        <w:rPr>
          <w:rFonts w:ascii="Verdana" w:hAnsi="Verdana" w:cs="Open Sans"/>
          <w:i/>
          <w:iCs/>
          <w:color w:val="000000" w:themeColor="text1"/>
          <w:sz w:val="16"/>
          <w:szCs w:val="16"/>
          <w:shd w:val="clear" w:color="auto" w:fill="FFFFFF"/>
        </w:rPr>
        <w:t xml:space="preserve"> y otros Vs. Colombia. Supervisión de Cumplimiento de Sentencia.</w:t>
      </w:r>
      <w:r w:rsidR="00B41D0E" w:rsidRPr="003862A1">
        <w:rPr>
          <w:rFonts w:ascii="Verdana" w:hAnsi="Verdana" w:cs="Open Sans"/>
          <w:color w:val="000000" w:themeColor="text1"/>
          <w:sz w:val="16"/>
          <w:szCs w:val="16"/>
          <w:shd w:val="clear" w:color="auto" w:fill="FFFFFF"/>
        </w:rPr>
        <w:t xml:space="preserve"> Resolución de la Corte Interamericana de Derechos Humanos de 5 de abril de 2022.</w:t>
      </w:r>
      <w:r w:rsidR="003862A1">
        <w:rPr>
          <w:rFonts w:ascii="Verdana" w:hAnsi="Verdana"/>
          <w:sz w:val="16"/>
          <w:szCs w:val="16"/>
          <w:lang w:val="es-ES"/>
        </w:rPr>
        <w:t xml:space="preserve"> </w:t>
      </w:r>
      <w:r w:rsidRPr="006F5309">
        <w:rPr>
          <w:rFonts w:ascii="Verdana" w:hAnsi="Verdana"/>
          <w:sz w:val="16"/>
          <w:szCs w:val="16"/>
          <w:lang w:val="es-ES"/>
        </w:rPr>
        <w:t xml:space="preserve">Disponible </w:t>
      </w:r>
      <w:r w:rsidR="00B41D0E" w:rsidRPr="006F5309">
        <w:rPr>
          <w:rFonts w:ascii="Verdana" w:hAnsi="Verdana"/>
          <w:sz w:val="16"/>
          <w:szCs w:val="16"/>
          <w:lang w:val="es-ES"/>
        </w:rPr>
        <w:t>en</w:t>
      </w:r>
      <w:r w:rsidRPr="006F5309">
        <w:rPr>
          <w:rFonts w:ascii="Verdana" w:hAnsi="Verdana"/>
          <w:sz w:val="16"/>
          <w:szCs w:val="16"/>
          <w:lang w:val="es-ES"/>
        </w:rPr>
        <w:t xml:space="preserve">: </w:t>
      </w:r>
      <w:hyperlink r:id="rId4" w:history="1">
        <w:r w:rsidR="002B67CA" w:rsidRPr="006F5309">
          <w:rPr>
            <w:rStyle w:val="Hipervnculo"/>
            <w:rFonts w:ascii="Verdana" w:hAnsi="Verdana"/>
            <w:sz w:val="16"/>
            <w:szCs w:val="16"/>
            <w:lang w:val="es-ES"/>
          </w:rPr>
          <w:t>https://www.corteidh.or.cr/docs/supervisiones/carvajal_carvajal_05_04_22.pdf</w:t>
        </w:r>
      </w:hyperlink>
      <w:r w:rsidR="00B41D0E" w:rsidRPr="006F5309">
        <w:rPr>
          <w:rStyle w:val="Hipervnculo"/>
          <w:rFonts w:ascii="Verdana" w:hAnsi="Verdana"/>
          <w:sz w:val="16"/>
          <w:szCs w:val="16"/>
          <w:lang w:val="es-ES"/>
        </w:rPr>
        <w:t>.</w:t>
      </w:r>
      <w:r w:rsidR="002B67CA" w:rsidRPr="006F5309">
        <w:rPr>
          <w:rFonts w:ascii="Verdana" w:hAnsi="Verdana"/>
          <w:sz w:val="16"/>
          <w:szCs w:val="16"/>
          <w:lang w:val="es-ES"/>
        </w:rPr>
        <w:t xml:space="preserve"> </w:t>
      </w:r>
    </w:p>
  </w:footnote>
  <w:footnote w:id="6">
    <w:p w14:paraId="123EB96B" w14:textId="4A7BAF70" w:rsidR="002B67CA" w:rsidRPr="006F5309" w:rsidRDefault="002B67CA" w:rsidP="0055519F">
      <w:pPr>
        <w:pStyle w:val="Textonotapie"/>
        <w:tabs>
          <w:tab w:val="left" w:pos="567"/>
        </w:tabs>
        <w:jc w:val="both"/>
        <w:rPr>
          <w:rFonts w:ascii="Verdana" w:hAnsi="Verdana"/>
          <w:sz w:val="16"/>
          <w:szCs w:val="16"/>
          <w:lang w:val="es-ES"/>
        </w:rPr>
      </w:pPr>
      <w:r w:rsidRPr="006F5309">
        <w:rPr>
          <w:rStyle w:val="Refdenotaalpie"/>
          <w:rFonts w:ascii="Verdana" w:hAnsi="Verdana"/>
          <w:sz w:val="16"/>
          <w:szCs w:val="16"/>
        </w:rPr>
        <w:footnoteRef/>
      </w:r>
      <w:r w:rsidRPr="006F5309">
        <w:rPr>
          <w:rFonts w:ascii="Verdana" w:hAnsi="Verdana"/>
          <w:sz w:val="16"/>
          <w:szCs w:val="16"/>
        </w:rPr>
        <w:t xml:space="preserve"> </w:t>
      </w:r>
      <w:r w:rsidRPr="006F5309">
        <w:rPr>
          <w:rFonts w:ascii="Verdana" w:hAnsi="Verdana"/>
          <w:sz w:val="16"/>
          <w:szCs w:val="16"/>
          <w:lang w:val="es-ES"/>
        </w:rPr>
        <w:tab/>
      </w:r>
      <w:r w:rsidR="00AC2237" w:rsidRPr="006F5309">
        <w:rPr>
          <w:rFonts w:ascii="Verdana" w:hAnsi="Verdana"/>
          <w:sz w:val="16"/>
          <w:szCs w:val="16"/>
          <w:lang w:val="es-ES"/>
        </w:rPr>
        <w:t>L</w:t>
      </w:r>
      <w:r w:rsidRPr="006F5309">
        <w:rPr>
          <w:rFonts w:ascii="Verdana" w:hAnsi="Verdana"/>
          <w:sz w:val="16"/>
          <w:szCs w:val="16"/>
          <w:lang w:val="es-ES"/>
        </w:rPr>
        <w:t xml:space="preserve">as </w:t>
      </w:r>
      <w:r w:rsidR="00AC2237" w:rsidRPr="006F5309">
        <w:rPr>
          <w:rFonts w:ascii="Verdana" w:hAnsi="Verdana"/>
          <w:sz w:val="16"/>
          <w:szCs w:val="16"/>
          <w:lang w:val="es-ES"/>
        </w:rPr>
        <w:t>víctimas</w:t>
      </w:r>
      <w:r w:rsidRPr="006F5309">
        <w:rPr>
          <w:rFonts w:ascii="Verdana" w:hAnsi="Verdana"/>
          <w:sz w:val="16"/>
          <w:szCs w:val="16"/>
          <w:lang w:val="es-ES"/>
        </w:rPr>
        <w:t xml:space="preserve"> </w:t>
      </w:r>
      <w:r w:rsidR="00AC2237" w:rsidRPr="006F5309">
        <w:rPr>
          <w:rFonts w:ascii="Verdana" w:hAnsi="Verdana"/>
          <w:sz w:val="16"/>
          <w:szCs w:val="16"/>
          <w:lang w:val="es-ES"/>
        </w:rPr>
        <w:t>son</w:t>
      </w:r>
      <w:r w:rsidRPr="006F5309">
        <w:rPr>
          <w:rFonts w:ascii="Verdana" w:hAnsi="Verdana"/>
          <w:sz w:val="16"/>
          <w:szCs w:val="16"/>
          <w:lang w:val="es-ES"/>
        </w:rPr>
        <w:t xml:space="preserve"> representadas por la Sociedad Interamericana de Prensa </w:t>
      </w:r>
      <w:r w:rsidR="00FD0FA5" w:rsidRPr="006F5309">
        <w:rPr>
          <w:rFonts w:ascii="Verdana" w:hAnsi="Verdana"/>
          <w:sz w:val="16"/>
          <w:szCs w:val="16"/>
          <w:lang w:val="es-ES"/>
        </w:rPr>
        <w:t xml:space="preserve">(SIP) </w:t>
      </w:r>
      <w:r w:rsidRPr="008E5334">
        <w:rPr>
          <w:rFonts w:ascii="Verdana" w:hAnsi="Verdana"/>
          <w:i/>
          <w:iCs/>
          <w:sz w:val="16"/>
          <w:szCs w:val="16"/>
          <w:lang w:val="es-ES"/>
        </w:rPr>
        <w:t xml:space="preserve">y Robert Kennedy Human </w:t>
      </w:r>
      <w:proofErr w:type="spellStart"/>
      <w:r w:rsidRPr="008E5334">
        <w:rPr>
          <w:rFonts w:ascii="Verdana" w:hAnsi="Verdana"/>
          <w:i/>
          <w:iCs/>
          <w:sz w:val="16"/>
          <w:szCs w:val="16"/>
          <w:lang w:val="es-ES"/>
        </w:rPr>
        <w:t>Rights</w:t>
      </w:r>
      <w:proofErr w:type="spellEnd"/>
      <w:r w:rsidRPr="006F5309">
        <w:rPr>
          <w:rFonts w:ascii="Verdana" w:hAnsi="Verdana"/>
          <w:sz w:val="16"/>
          <w:szCs w:val="16"/>
          <w:lang w:val="es-ES"/>
        </w:rPr>
        <w:t>.</w:t>
      </w:r>
    </w:p>
  </w:footnote>
  <w:footnote w:id="7">
    <w:p w14:paraId="0B5C08BA" w14:textId="77777777" w:rsidR="00695B53" w:rsidRPr="006F5309" w:rsidRDefault="00695B53" w:rsidP="0055519F">
      <w:pPr>
        <w:pStyle w:val="Textonotapie"/>
        <w:tabs>
          <w:tab w:val="left" w:pos="567"/>
        </w:tabs>
        <w:jc w:val="both"/>
        <w:rPr>
          <w:rFonts w:ascii="Verdana" w:hAnsi="Verdana"/>
          <w:sz w:val="16"/>
          <w:szCs w:val="16"/>
          <w:lang w:val="es-ES"/>
        </w:rPr>
      </w:pPr>
      <w:r w:rsidRPr="006F5309">
        <w:rPr>
          <w:rStyle w:val="Refdenotaalpie"/>
          <w:rFonts w:ascii="Verdana" w:hAnsi="Verdana"/>
          <w:sz w:val="16"/>
          <w:szCs w:val="16"/>
        </w:rPr>
        <w:footnoteRef/>
      </w:r>
      <w:r w:rsidRPr="006F5309">
        <w:rPr>
          <w:rFonts w:ascii="Verdana" w:hAnsi="Verdana"/>
          <w:sz w:val="16"/>
          <w:szCs w:val="16"/>
        </w:rPr>
        <w:t xml:space="preserve"> </w:t>
      </w:r>
      <w:r w:rsidRPr="006F5309">
        <w:rPr>
          <w:rFonts w:ascii="Verdana" w:hAnsi="Verdana"/>
          <w:sz w:val="16"/>
          <w:szCs w:val="16"/>
        </w:rPr>
        <w:tab/>
        <w:t>En el ejercicio de su función jurisdiccional de supervisar el cumplimiento de sus decisiones, facultad que además se desprende de lo dispuesto en los artículos 33, 62.1, 62.3 y 65 de la Convención Americana sobre Derechos Humanos y 30 de su Estatuto y se encuentra regulada en el artículo 69 de su Reglamento.</w:t>
      </w:r>
    </w:p>
  </w:footnote>
  <w:footnote w:id="8">
    <w:p w14:paraId="64C78CA7" w14:textId="417242EB" w:rsidR="00695B53" w:rsidRPr="006F5309" w:rsidRDefault="00695B53" w:rsidP="0055519F">
      <w:pPr>
        <w:pStyle w:val="Textonotapie"/>
        <w:tabs>
          <w:tab w:val="left" w:pos="567"/>
        </w:tabs>
        <w:jc w:val="both"/>
        <w:rPr>
          <w:rFonts w:ascii="Verdana" w:hAnsi="Verdana"/>
          <w:i/>
          <w:sz w:val="16"/>
          <w:szCs w:val="16"/>
          <w:lang w:val="es-CR"/>
        </w:rPr>
      </w:pPr>
      <w:r w:rsidRPr="006F5309">
        <w:rPr>
          <w:rStyle w:val="Refdenotaalpie"/>
          <w:rFonts w:ascii="Verdana" w:hAnsi="Verdana"/>
          <w:sz w:val="16"/>
          <w:szCs w:val="16"/>
        </w:rPr>
        <w:footnoteRef/>
      </w:r>
      <w:r w:rsidRPr="006F5309">
        <w:rPr>
          <w:rFonts w:ascii="Verdana" w:hAnsi="Verdana"/>
          <w:sz w:val="16"/>
          <w:szCs w:val="16"/>
        </w:rPr>
        <w:t xml:space="preserve"> </w:t>
      </w:r>
      <w:r w:rsidRPr="006F5309">
        <w:rPr>
          <w:rFonts w:ascii="Verdana" w:hAnsi="Verdana"/>
          <w:sz w:val="16"/>
          <w:szCs w:val="16"/>
          <w:lang w:val="es-CR"/>
        </w:rPr>
        <w:tab/>
      </w:r>
      <w:r w:rsidR="00D13F95" w:rsidRPr="006F5309">
        <w:rPr>
          <w:rFonts w:ascii="Verdana" w:hAnsi="Verdana"/>
          <w:sz w:val="16"/>
          <w:szCs w:val="16"/>
          <w:lang w:val="es-CR"/>
        </w:rPr>
        <w:t xml:space="preserve">Dio cumplimiento total a las medidas relativas a: (i) </w:t>
      </w:r>
      <w:r w:rsidR="00D13F95" w:rsidRPr="006F5309">
        <w:rPr>
          <w:rFonts w:ascii="Verdana" w:hAnsi="Verdana"/>
          <w:sz w:val="16"/>
          <w:szCs w:val="16"/>
        </w:rPr>
        <w:t>realizar</w:t>
      </w:r>
      <w:r w:rsidRPr="006F5309">
        <w:rPr>
          <w:rFonts w:ascii="Verdana" w:hAnsi="Verdana"/>
          <w:sz w:val="16"/>
          <w:szCs w:val="16"/>
        </w:rPr>
        <w:t xml:space="preserve"> </w:t>
      </w:r>
      <w:r w:rsidR="0060476E" w:rsidRPr="006F5309">
        <w:rPr>
          <w:rFonts w:ascii="Verdana" w:hAnsi="Verdana"/>
          <w:sz w:val="16"/>
          <w:szCs w:val="16"/>
        </w:rPr>
        <w:t>la publicación y difusión de la sentencia, así como su resumen oficial</w:t>
      </w:r>
      <w:r w:rsidRPr="006F5309">
        <w:rPr>
          <w:rFonts w:ascii="Verdana" w:hAnsi="Verdana"/>
          <w:sz w:val="16"/>
          <w:szCs w:val="16"/>
        </w:rPr>
        <w:t xml:space="preserve"> (</w:t>
      </w:r>
      <w:r w:rsidR="0060476E" w:rsidRPr="006F5309">
        <w:rPr>
          <w:rFonts w:ascii="Verdana" w:hAnsi="Verdana"/>
          <w:i/>
          <w:sz w:val="16"/>
          <w:szCs w:val="16"/>
        </w:rPr>
        <w:t>punto resolutivo décimo primero</w:t>
      </w:r>
      <w:r w:rsidRPr="006F5309">
        <w:rPr>
          <w:rFonts w:ascii="Verdana" w:hAnsi="Verdana"/>
          <w:i/>
          <w:sz w:val="16"/>
          <w:szCs w:val="16"/>
        </w:rPr>
        <w:t xml:space="preserve"> de la Sentencia</w:t>
      </w:r>
      <w:r w:rsidRPr="006F5309">
        <w:rPr>
          <w:rFonts w:ascii="Verdana" w:hAnsi="Verdana"/>
          <w:sz w:val="16"/>
          <w:szCs w:val="16"/>
        </w:rPr>
        <w:t>)</w:t>
      </w:r>
      <w:r w:rsidR="00D13F95" w:rsidRPr="006F5309">
        <w:rPr>
          <w:rFonts w:ascii="Verdana" w:hAnsi="Verdana"/>
          <w:sz w:val="16"/>
          <w:szCs w:val="16"/>
          <w:lang w:val="es-CR"/>
        </w:rPr>
        <w:t>; (</w:t>
      </w:r>
      <w:proofErr w:type="spellStart"/>
      <w:r w:rsidR="00D13F95" w:rsidRPr="006F5309">
        <w:rPr>
          <w:rFonts w:ascii="Verdana" w:hAnsi="Verdana"/>
          <w:sz w:val="16"/>
          <w:szCs w:val="16"/>
          <w:lang w:val="es-CR"/>
        </w:rPr>
        <w:t>ii</w:t>
      </w:r>
      <w:proofErr w:type="spellEnd"/>
      <w:r w:rsidR="00D13F95" w:rsidRPr="006F5309">
        <w:rPr>
          <w:rFonts w:ascii="Verdana" w:hAnsi="Verdana"/>
          <w:sz w:val="16"/>
          <w:szCs w:val="16"/>
          <w:lang w:val="es-CR"/>
        </w:rPr>
        <w:t>)</w:t>
      </w:r>
      <w:r w:rsidR="0060476E" w:rsidRPr="006F5309">
        <w:rPr>
          <w:rFonts w:ascii="Verdana" w:hAnsi="Verdana"/>
          <w:sz w:val="16"/>
          <w:szCs w:val="16"/>
          <w:lang w:val="es-CR"/>
        </w:rPr>
        <w:t xml:space="preserve"> realizar un acto público de reconocimiento de responsabilidad internacional en relación a los hechos del presente caso </w:t>
      </w:r>
      <w:r w:rsidR="0060476E" w:rsidRPr="006F5309">
        <w:rPr>
          <w:rFonts w:ascii="Verdana" w:hAnsi="Verdana"/>
          <w:i/>
          <w:sz w:val="16"/>
          <w:szCs w:val="16"/>
          <w:lang w:val="es-CR"/>
        </w:rPr>
        <w:t xml:space="preserve">(punto resolutivo décimo segundo de la </w:t>
      </w:r>
      <w:r w:rsidR="00D13F95" w:rsidRPr="006F5309">
        <w:rPr>
          <w:rFonts w:ascii="Verdana" w:hAnsi="Verdana"/>
          <w:i/>
          <w:sz w:val="16"/>
          <w:szCs w:val="16"/>
          <w:lang w:val="es-CR"/>
        </w:rPr>
        <w:t>Sentencia</w:t>
      </w:r>
      <w:r w:rsidR="0060476E" w:rsidRPr="006F5309">
        <w:rPr>
          <w:rFonts w:ascii="Verdana" w:hAnsi="Verdana"/>
          <w:i/>
          <w:sz w:val="16"/>
          <w:szCs w:val="16"/>
          <w:lang w:val="es-CR"/>
        </w:rPr>
        <w:t>)</w:t>
      </w:r>
      <w:r w:rsidR="00D13F95" w:rsidRPr="006F5309">
        <w:rPr>
          <w:rFonts w:ascii="Verdana" w:hAnsi="Verdana"/>
          <w:iCs/>
          <w:sz w:val="16"/>
          <w:szCs w:val="16"/>
          <w:lang w:val="es-CR"/>
        </w:rPr>
        <w:t>; (</w:t>
      </w:r>
      <w:proofErr w:type="spellStart"/>
      <w:r w:rsidR="00D13F95" w:rsidRPr="006F5309">
        <w:rPr>
          <w:rFonts w:ascii="Verdana" w:hAnsi="Verdana"/>
          <w:iCs/>
          <w:sz w:val="16"/>
          <w:szCs w:val="16"/>
          <w:lang w:val="es-CR"/>
        </w:rPr>
        <w:t>iii</w:t>
      </w:r>
      <w:proofErr w:type="spellEnd"/>
      <w:r w:rsidR="00D13F95" w:rsidRPr="006F5309">
        <w:rPr>
          <w:rFonts w:ascii="Verdana" w:hAnsi="Verdana"/>
          <w:iCs/>
          <w:sz w:val="16"/>
          <w:szCs w:val="16"/>
          <w:lang w:val="es-CR"/>
        </w:rPr>
        <w:t xml:space="preserve">) </w:t>
      </w:r>
      <w:r w:rsidR="0004577A" w:rsidRPr="006F5309">
        <w:rPr>
          <w:rFonts w:ascii="Verdana" w:hAnsi="Verdana"/>
          <w:sz w:val="16"/>
          <w:szCs w:val="16"/>
          <w:lang w:val="es-ES"/>
        </w:rPr>
        <w:t xml:space="preserve">remitir los informes periódicos que envía a los organismos especializados de la OEA y Naciones Unidas sobre las medidas implementadas para la prevención y protección de protección de los periodistas en Colombia </w:t>
      </w:r>
      <w:r w:rsidR="0004577A" w:rsidRPr="003E7619">
        <w:rPr>
          <w:rFonts w:ascii="Verdana" w:hAnsi="Verdana"/>
          <w:i/>
          <w:iCs/>
          <w:sz w:val="16"/>
          <w:szCs w:val="16"/>
          <w:lang w:val="es-ES"/>
        </w:rPr>
        <w:t>(punto resolutivo décimo cuarto de la Sentencia)</w:t>
      </w:r>
      <w:r w:rsidR="0004577A" w:rsidRPr="003E7619">
        <w:rPr>
          <w:rFonts w:ascii="Verdana" w:hAnsi="Verdana"/>
          <w:sz w:val="16"/>
          <w:szCs w:val="16"/>
          <w:lang w:val="es-ES"/>
        </w:rPr>
        <w:t xml:space="preserve">; </w:t>
      </w:r>
      <w:r w:rsidR="00984872" w:rsidRPr="006F5309">
        <w:rPr>
          <w:rFonts w:ascii="Verdana" w:hAnsi="Verdana"/>
          <w:sz w:val="16"/>
          <w:szCs w:val="16"/>
          <w:lang w:val="es-ES"/>
        </w:rPr>
        <w:t>(</w:t>
      </w:r>
      <w:proofErr w:type="spellStart"/>
      <w:r w:rsidR="00984872" w:rsidRPr="006F5309">
        <w:rPr>
          <w:rFonts w:ascii="Verdana" w:hAnsi="Verdana"/>
          <w:sz w:val="16"/>
          <w:szCs w:val="16"/>
          <w:lang w:val="es-ES"/>
        </w:rPr>
        <w:t>iv</w:t>
      </w:r>
      <w:proofErr w:type="spellEnd"/>
      <w:r w:rsidR="00984872" w:rsidRPr="006F5309">
        <w:rPr>
          <w:rFonts w:ascii="Verdana" w:hAnsi="Verdana"/>
          <w:sz w:val="16"/>
          <w:szCs w:val="16"/>
          <w:lang w:val="es-ES"/>
        </w:rPr>
        <w:t>) pagar las indemnizaciones por concepto de daño material e inmaterial</w:t>
      </w:r>
      <w:r w:rsidR="0079474B">
        <w:rPr>
          <w:rFonts w:ascii="Verdana" w:hAnsi="Verdana"/>
          <w:sz w:val="16"/>
          <w:szCs w:val="16"/>
          <w:lang w:val="es-ES"/>
        </w:rPr>
        <w:t xml:space="preserve"> </w:t>
      </w:r>
      <w:r w:rsidR="0079474B" w:rsidRPr="003E7619">
        <w:rPr>
          <w:rFonts w:ascii="Verdana" w:hAnsi="Verdana"/>
          <w:i/>
          <w:iCs/>
          <w:sz w:val="16"/>
          <w:szCs w:val="16"/>
          <w:lang w:val="es-ES"/>
        </w:rPr>
        <w:t>(punto resolutivo décimo quinto de la Sentencia)</w:t>
      </w:r>
      <w:r w:rsidR="00984872" w:rsidRPr="006F5309">
        <w:rPr>
          <w:rFonts w:ascii="Verdana" w:hAnsi="Verdana"/>
          <w:sz w:val="16"/>
          <w:szCs w:val="16"/>
          <w:lang w:val="es-ES"/>
        </w:rPr>
        <w:t>; (v) pagar las cantidades fijadas para tratamiento psicológico y psiquiátrico para las víctimas que residen fuera de Colombia</w:t>
      </w:r>
      <w:r w:rsidR="0079474B">
        <w:rPr>
          <w:rFonts w:ascii="Verdana" w:hAnsi="Verdana"/>
          <w:sz w:val="16"/>
          <w:szCs w:val="16"/>
          <w:lang w:val="es-ES"/>
        </w:rPr>
        <w:t xml:space="preserve"> </w:t>
      </w:r>
      <w:r w:rsidR="0079474B" w:rsidRPr="003E7619">
        <w:rPr>
          <w:rFonts w:ascii="Verdana" w:hAnsi="Verdana"/>
          <w:i/>
          <w:iCs/>
          <w:sz w:val="16"/>
          <w:szCs w:val="16"/>
          <w:lang w:val="es-ES"/>
        </w:rPr>
        <w:t>(punto resolutivo décimo quinto de la Sentencia)</w:t>
      </w:r>
      <w:r w:rsidR="00984872" w:rsidRPr="006F5309">
        <w:rPr>
          <w:rFonts w:ascii="Verdana" w:hAnsi="Verdana"/>
          <w:sz w:val="16"/>
          <w:szCs w:val="16"/>
          <w:lang w:val="es-ES"/>
        </w:rPr>
        <w:t xml:space="preserve">, y (vi) reintegro de costas y gastos </w:t>
      </w:r>
      <w:r w:rsidR="00984872" w:rsidRPr="003E7619">
        <w:rPr>
          <w:rFonts w:ascii="Verdana" w:hAnsi="Verdana"/>
          <w:i/>
          <w:iCs/>
          <w:sz w:val="16"/>
          <w:szCs w:val="16"/>
          <w:lang w:val="es-ES"/>
        </w:rPr>
        <w:t>(punto resolutivo décimo quinto de la Sentencia)</w:t>
      </w:r>
      <w:r w:rsidR="00984872" w:rsidRPr="006F5309">
        <w:rPr>
          <w:rFonts w:ascii="Verdana" w:hAnsi="Verdana"/>
          <w:sz w:val="16"/>
          <w:szCs w:val="16"/>
          <w:lang w:val="es-ES"/>
        </w:rPr>
        <w:t>.</w:t>
      </w:r>
    </w:p>
  </w:footnote>
  <w:footnote w:id="9">
    <w:p w14:paraId="3574F155" w14:textId="6B1FCAEA" w:rsidR="00D13F95" w:rsidRPr="006F5309" w:rsidRDefault="00D13F95" w:rsidP="0055519F">
      <w:pPr>
        <w:pStyle w:val="Textonotapie"/>
        <w:tabs>
          <w:tab w:val="left" w:pos="567"/>
        </w:tabs>
        <w:jc w:val="both"/>
        <w:rPr>
          <w:rFonts w:ascii="Verdana" w:hAnsi="Verdana"/>
          <w:sz w:val="16"/>
          <w:szCs w:val="16"/>
        </w:rPr>
      </w:pPr>
      <w:r w:rsidRPr="006F5309">
        <w:rPr>
          <w:rStyle w:val="Refdenotaalpie"/>
          <w:rFonts w:ascii="Verdana" w:hAnsi="Verdana"/>
          <w:sz w:val="16"/>
          <w:szCs w:val="16"/>
        </w:rPr>
        <w:footnoteRef/>
      </w:r>
      <w:r w:rsidRPr="006F5309">
        <w:rPr>
          <w:rFonts w:ascii="Verdana" w:hAnsi="Verdana"/>
          <w:sz w:val="16"/>
          <w:szCs w:val="16"/>
        </w:rPr>
        <w:t xml:space="preserve"> </w:t>
      </w:r>
      <w:r w:rsidRPr="006F5309">
        <w:rPr>
          <w:rFonts w:ascii="Verdana" w:hAnsi="Verdana"/>
          <w:sz w:val="16"/>
          <w:szCs w:val="16"/>
        </w:rPr>
        <w:tab/>
        <w:t xml:space="preserve">La Corte </w:t>
      </w:r>
      <w:r w:rsidR="0004577A" w:rsidRPr="006F5309">
        <w:rPr>
          <w:rFonts w:ascii="Verdana" w:hAnsi="Verdana"/>
          <w:sz w:val="16"/>
          <w:szCs w:val="16"/>
        </w:rPr>
        <w:t xml:space="preserve">declaró que “ha concluido la supervisión de cumplimiento de la medida de reparación relativa a garantizar las condiciones de seguridad adecuadas para que los familiares de Nelson Carvajal que se encuentran en situación de desplazamiento y que son víctimas del presente caso puedan retornar a sus lugares de residencia </w:t>
      </w:r>
      <w:r w:rsidR="0004577A" w:rsidRPr="003E7619">
        <w:rPr>
          <w:rFonts w:ascii="Verdana" w:hAnsi="Verdana"/>
          <w:i/>
          <w:iCs/>
          <w:sz w:val="16"/>
          <w:szCs w:val="16"/>
        </w:rPr>
        <w:t>(punto resolutivo décimo tercero de la Sentencia)</w:t>
      </w:r>
      <w:r w:rsidR="0004577A" w:rsidRPr="006F5309">
        <w:rPr>
          <w:rFonts w:ascii="Verdana" w:hAnsi="Verdana"/>
          <w:sz w:val="16"/>
          <w:szCs w:val="16"/>
        </w:rPr>
        <w:t>”, ya que las víctimas respecto de las cuales se ordenó esta medida expresaron su voluntad de no querer regresar a Colombia, con lo cual “el Estado no tiene una reparación que cumplir”.</w:t>
      </w:r>
    </w:p>
  </w:footnote>
  <w:footnote w:id="10">
    <w:p w14:paraId="25914FDD" w14:textId="5FB020E9" w:rsidR="000E6A38" w:rsidRPr="00FB47EE" w:rsidRDefault="000E6A38" w:rsidP="00FB47EE">
      <w:pPr>
        <w:pStyle w:val="Textonotapie"/>
        <w:tabs>
          <w:tab w:val="left" w:pos="567"/>
        </w:tabs>
        <w:rPr>
          <w:rFonts w:ascii="Verdana" w:hAnsi="Verdana"/>
          <w:sz w:val="16"/>
          <w:szCs w:val="16"/>
          <w:lang w:val="es-ES"/>
        </w:rPr>
      </w:pPr>
      <w:r w:rsidRPr="00FB47EE">
        <w:rPr>
          <w:rStyle w:val="Refdenotaalpie"/>
          <w:rFonts w:ascii="Verdana" w:hAnsi="Verdana"/>
          <w:sz w:val="16"/>
          <w:szCs w:val="16"/>
        </w:rPr>
        <w:footnoteRef/>
      </w:r>
      <w:r w:rsidRPr="00FB47EE">
        <w:rPr>
          <w:rFonts w:ascii="Verdana" w:hAnsi="Verdana"/>
          <w:sz w:val="16"/>
          <w:szCs w:val="16"/>
        </w:rPr>
        <w:t xml:space="preserve"> </w:t>
      </w:r>
      <w:r w:rsidRPr="00FB47EE">
        <w:rPr>
          <w:rFonts w:ascii="Verdana" w:hAnsi="Verdana"/>
          <w:sz w:val="16"/>
          <w:szCs w:val="16"/>
          <w:lang w:val="es-ES"/>
        </w:rPr>
        <w:tab/>
      </w:r>
      <w:r w:rsidRPr="00FB47EE">
        <w:rPr>
          <w:rFonts w:ascii="Verdana" w:hAnsi="Verdana"/>
          <w:i/>
          <w:iCs/>
          <w:sz w:val="16"/>
          <w:szCs w:val="16"/>
          <w:lang w:val="es-ES"/>
        </w:rPr>
        <w:t>Cfr</w:t>
      </w:r>
      <w:r w:rsidRPr="00FB47EE">
        <w:rPr>
          <w:rFonts w:ascii="Verdana" w:hAnsi="Verdana"/>
          <w:sz w:val="16"/>
          <w:szCs w:val="16"/>
          <w:lang w:val="es-ES"/>
        </w:rPr>
        <w:t>. Escrito de observaciones de representantes de 27 de agosto de 2018.</w:t>
      </w:r>
    </w:p>
  </w:footnote>
  <w:footnote w:id="11">
    <w:p w14:paraId="470EB53B" w14:textId="3EED240C" w:rsidR="00DD036A" w:rsidRPr="003364B0" w:rsidRDefault="00DD036A" w:rsidP="0055519F">
      <w:pPr>
        <w:pStyle w:val="Textonotapie"/>
        <w:tabs>
          <w:tab w:val="left" w:pos="567"/>
        </w:tabs>
        <w:rPr>
          <w:rFonts w:ascii="Verdana" w:hAnsi="Verdana"/>
          <w:sz w:val="16"/>
          <w:szCs w:val="16"/>
        </w:rPr>
      </w:pPr>
      <w:r w:rsidRPr="003364B0">
        <w:rPr>
          <w:rStyle w:val="Refdenotaalpie"/>
          <w:rFonts w:ascii="Verdana" w:hAnsi="Verdana"/>
          <w:sz w:val="16"/>
          <w:szCs w:val="16"/>
        </w:rPr>
        <w:footnoteRef/>
      </w:r>
      <w:r w:rsidRPr="003364B0">
        <w:rPr>
          <w:rFonts w:ascii="Verdana" w:hAnsi="Verdana"/>
          <w:sz w:val="16"/>
          <w:szCs w:val="16"/>
        </w:rPr>
        <w:t xml:space="preserve"> </w:t>
      </w:r>
      <w:r w:rsidRPr="003364B0">
        <w:rPr>
          <w:rFonts w:ascii="Verdana" w:hAnsi="Verdana"/>
          <w:sz w:val="16"/>
          <w:szCs w:val="16"/>
        </w:rPr>
        <w:tab/>
      </w:r>
      <w:r w:rsidRPr="003364B0">
        <w:rPr>
          <w:rFonts w:ascii="Verdana" w:hAnsi="Verdana"/>
          <w:i/>
          <w:iCs/>
          <w:sz w:val="16"/>
          <w:szCs w:val="16"/>
        </w:rPr>
        <w:t>Cfr.</w:t>
      </w:r>
      <w:r w:rsidRPr="003364B0">
        <w:rPr>
          <w:rFonts w:ascii="Verdana" w:hAnsi="Verdana"/>
          <w:sz w:val="16"/>
          <w:szCs w:val="16"/>
        </w:rPr>
        <w:t xml:space="preserve"> Informe estatal de 21 de febrero de 2020</w:t>
      </w:r>
      <w:r w:rsidR="004F08CC">
        <w:rPr>
          <w:rFonts w:ascii="Verdana" w:hAnsi="Verdana"/>
          <w:sz w:val="16"/>
          <w:szCs w:val="16"/>
        </w:rPr>
        <w:t>.</w:t>
      </w:r>
    </w:p>
  </w:footnote>
  <w:footnote w:id="12">
    <w:p w14:paraId="0E83EAD4" w14:textId="2A8CB2B5" w:rsidR="0055519F" w:rsidRPr="0055519F" w:rsidRDefault="0055519F" w:rsidP="00D33C23">
      <w:pPr>
        <w:pStyle w:val="Textonotapie"/>
        <w:tabs>
          <w:tab w:val="left" w:pos="567"/>
        </w:tabs>
        <w:jc w:val="both"/>
        <w:rPr>
          <w:rFonts w:ascii="Verdana" w:hAnsi="Verdana"/>
          <w:sz w:val="16"/>
          <w:szCs w:val="16"/>
        </w:rPr>
      </w:pPr>
      <w:r w:rsidRPr="0055519F">
        <w:rPr>
          <w:rStyle w:val="Refdenotaalpie"/>
          <w:rFonts w:ascii="Verdana" w:hAnsi="Verdana"/>
          <w:sz w:val="16"/>
          <w:szCs w:val="16"/>
        </w:rPr>
        <w:footnoteRef/>
      </w:r>
      <w:r w:rsidRPr="0055519F">
        <w:rPr>
          <w:rFonts w:ascii="Verdana" w:hAnsi="Verdana"/>
          <w:sz w:val="16"/>
          <w:szCs w:val="16"/>
        </w:rPr>
        <w:t xml:space="preserve"> </w:t>
      </w:r>
      <w:r w:rsidRPr="0055519F">
        <w:rPr>
          <w:rFonts w:ascii="Verdana" w:hAnsi="Verdana"/>
          <w:sz w:val="16"/>
          <w:szCs w:val="16"/>
        </w:rPr>
        <w:tab/>
      </w:r>
      <w:r w:rsidR="00D33C23">
        <w:rPr>
          <w:rFonts w:ascii="Verdana" w:hAnsi="Verdana"/>
          <w:sz w:val="16"/>
          <w:szCs w:val="16"/>
        </w:rPr>
        <w:t xml:space="preserve">El </w:t>
      </w:r>
      <w:r w:rsidR="00D33C23" w:rsidRPr="00FB47EE">
        <w:rPr>
          <w:rFonts w:ascii="Verdana" w:hAnsi="Verdana"/>
          <w:i/>
          <w:iCs/>
          <w:sz w:val="16"/>
          <w:szCs w:val="16"/>
        </w:rPr>
        <w:t>Estado</w:t>
      </w:r>
      <w:r w:rsidR="00D33C23">
        <w:rPr>
          <w:rFonts w:ascii="Verdana" w:hAnsi="Verdana"/>
          <w:sz w:val="16"/>
          <w:szCs w:val="16"/>
        </w:rPr>
        <w:t xml:space="preserve"> señaló que “la mayor parte de las estrategias propuestas se diseñaron para ser llevadas a cabo en un promedio de 8 sesiones, sin que con ello se agote las posibilidades de atenciones más pausadas y profundas”, existiendo la posibilidad de que “de manera conjunta, víctima y profesional, puedan identificar aquellas necesidades de atención” y continuarla “hasta acordar […] el cierre [del] proceso”. </w:t>
      </w:r>
      <w:r w:rsidR="000E6A38" w:rsidRPr="003364B0">
        <w:rPr>
          <w:rFonts w:ascii="Verdana" w:hAnsi="Verdana"/>
          <w:i/>
          <w:iCs/>
          <w:sz w:val="16"/>
          <w:szCs w:val="16"/>
        </w:rPr>
        <w:t>Cfr.</w:t>
      </w:r>
      <w:r w:rsidR="000E6A38" w:rsidRPr="003364B0">
        <w:rPr>
          <w:rFonts w:ascii="Verdana" w:hAnsi="Verdana"/>
          <w:sz w:val="16"/>
          <w:szCs w:val="16"/>
        </w:rPr>
        <w:t xml:space="preserve"> Informe estatal de 21 de febrero de 2020</w:t>
      </w:r>
      <w:r w:rsidR="000E6A38">
        <w:rPr>
          <w:rFonts w:ascii="Verdana" w:hAnsi="Verdana"/>
          <w:sz w:val="16"/>
          <w:szCs w:val="16"/>
        </w:rPr>
        <w:t xml:space="preserve">. </w:t>
      </w:r>
    </w:p>
  </w:footnote>
  <w:footnote w:id="13">
    <w:p w14:paraId="547EF44B" w14:textId="0D319662" w:rsidR="00DD036A" w:rsidRPr="003364B0" w:rsidRDefault="00DD036A" w:rsidP="00FB47EE">
      <w:pPr>
        <w:pStyle w:val="Textonotapie"/>
        <w:tabs>
          <w:tab w:val="left" w:pos="567"/>
        </w:tabs>
        <w:jc w:val="both"/>
        <w:rPr>
          <w:rFonts w:ascii="Verdana" w:hAnsi="Verdana"/>
          <w:sz w:val="16"/>
          <w:szCs w:val="16"/>
        </w:rPr>
      </w:pPr>
      <w:r w:rsidRPr="003364B0">
        <w:rPr>
          <w:rStyle w:val="Refdenotaalpie"/>
          <w:rFonts w:ascii="Verdana" w:hAnsi="Verdana"/>
          <w:sz w:val="16"/>
          <w:szCs w:val="16"/>
        </w:rPr>
        <w:footnoteRef/>
      </w:r>
      <w:r w:rsidRPr="003364B0">
        <w:rPr>
          <w:rFonts w:ascii="Verdana" w:hAnsi="Verdana"/>
          <w:sz w:val="16"/>
          <w:szCs w:val="16"/>
        </w:rPr>
        <w:t xml:space="preserve"> </w:t>
      </w:r>
      <w:r w:rsidRPr="003364B0">
        <w:rPr>
          <w:rFonts w:ascii="Verdana" w:hAnsi="Verdana"/>
          <w:sz w:val="16"/>
          <w:szCs w:val="16"/>
        </w:rPr>
        <w:tab/>
      </w:r>
      <w:r w:rsidRPr="003364B0">
        <w:rPr>
          <w:rFonts w:ascii="Verdana" w:hAnsi="Verdana"/>
          <w:i/>
          <w:iCs/>
          <w:sz w:val="16"/>
          <w:szCs w:val="16"/>
        </w:rPr>
        <w:t>Cfr.</w:t>
      </w:r>
      <w:r w:rsidRPr="003364B0">
        <w:rPr>
          <w:rFonts w:ascii="Verdana" w:hAnsi="Verdana"/>
          <w:sz w:val="16"/>
          <w:szCs w:val="16"/>
        </w:rPr>
        <w:t xml:space="preserve"> Escrito</w:t>
      </w:r>
      <w:r w:rsidR="003364B0">
        <w:rPr>
          <w:rFonts w:ascii="Verdana" w:hAnsi="Verdana"/>
          <w:sz w:val="16"/>
          <w:szCs w:val="16"/>
        </w:rPr>
        <w:t>s</w:t>
      </w:r>
      <w:r w:rsidRPr="003364B0">
        <w:rPr>
          <w:rFonts w:ascii="Verdana" w:hAnsi="Verdana"/>
          <w:sz w:val="16"/>
          <w:szCs w:val="16"/>
        </w:rPr>
        <w:t xml:space="preserve"> de </w:t>
      </w:r>
      <w:r w:rsidR="003E02E8">
        <w:rPr>
          <w:rFonts w:ascii="Verdana" w:hAnsi="Verdana"/>
          <w:sz w:val="16"/>
          <w:szCs w:val="16"/>
        </w:rPr>
        <w:t xml:space="preserve">observaciones de </w:t>
      </w:r>
      <w:r w:rsidRPr="003364B0">
        <w:rPr>
          <w:rFonts w:ascii="Verdana" w:hAnsi="Verdana"/>
          <w:sz w:val="16"/>
          <w:szCs w:val="16"/>
        </w:rPr>
        <w:t xml:space="preserve">los representantes de </w:t>
      </w:r>
      <w:r w:rsidR="003364B0">
        <w:rPr>
          <w:rFonts w:ascii="Verdana" w:hAnsi="Verdana"/>
          <w:sz w:val="16"/>
          <w:szCs w:val="16"/>
        </w:rPr>
        <w:t xml:space="preserve">24 de agosto de 2020 y de </w:t>
      </w:r>
      <w:r w:rsidRPr="003364B0">
        <w:rPr>
          <w:rFonts w:ascii="Verdana" w:hAnsi="Verdana"/>
          <w:sz w:val="16"/>
          <w:szCs w:val="16"/>
        </w:rPr>
        <w:t>28 de junio de 2021.</w:t>
      </w:r>
    </w:p>
  </w:footnote>
  <w:footnote w:id="14">
    <w:p w14:paraId="297CF26F" w14:textId="508AF988" w:rsidR="00C47EED" w:rsidRPr="003364B0" w:rsidRDefault="00C47EED" w:rsidP="00C47EED">
      <w:pPr>
        <w:pStyle w:val="Textonotapie"/>
        <w:tabs>
          <w:tab w:val="left" w:pos="567"/>
        </w:tabs>
        <w:rPr>
          <w:rFonts w:ascii="Verdana" w:hAnsi="Verdana"/>
          <w:b/>
          <w:bCs/>
          <w:sz w:val="16"/>
          <w:szCs w:val="16"/>
          <w:lang w:val="es-CR"/>
        </w:rPr>
      </w:pPr>
      <w:r w:rsidRPr="003364B0">
        <w:rPr>
          <w:rStyle w:val="Refdenotaalpie"/>
          <w:rFonts w:ascii="Verdana" w:hAnsi="Verdana"/>
          <w:sz w:val="16"/>
          <w:szCs w:val="16"/>
        </w:rPr>
        <w:footnoteRef/>
      </w:r>
      <w:r w:rsidRPr="003364B0">
        <w:rPr>
          <w:rFonts w:ascii="Verdana" w:hAnsi="Verdana"/>
          <w:sz w:val="16"/>
          <w:szCs w:val="16"/>
        </w:rPr>
        <w:t xml:space="preserve"> </w:t>
      </w:r>
      <w:r w:rsidRPr="003364B0">
        <w:rPr>
          <w:rFonts w:ascii="Verdana" w:hAnsi="Verdana"/>
          <w:sz w:val="16"/>
          <w:szCs w:val="16"/>
        </w:rPr>
        <w:tab/>
      </w:r>
      <w:r w:rsidRPr="003364B0">
        <w:rPr>
          <w:rFonts w:ascii="Verdana" w:hAnsi="Verdana"/>
          <w:i/>
          <w:iCs/>
          <w:sz w:val="16"/>
          <w:szCs w:val="16"/>
        </w:rPr>
        <w:t>Cfr.</w:t>
      </w:r>
      <w:r w:rsidRPr="003364B0">
        <w:rPr>
          <w:rFonts w:ascii="Verdana" w:hAnsi="Verdana"/>
          <w:sz w:val="16"/>
          <w:szCs w:val="16"/>
        </w:rPr>
        <w:t xml:space="preserve"> Informes estatales de </w:t>
      </w:r>
      <w:r>
        <w:rPr>
          <w:rFonts w:ascii="Verdana" w:hAnsi="Verdana"/>
          <w:sz w:val="16"/>
          <w:szCs w:val="16"/>
        </w:rPr>
        <w:t xml:space="preserve">21 de febrero </w:t>
      </w:r>
      <w:r w:rsidRPr="003364B0">
        <w:rPr>
          <w:rFonts w:ascii="Verdana" w:eastAsiaTheme="minorHAnsi" w:hAnsi="Verdana" w:cs="Arial"/>
          <w:sz w:val="16"/>
          <w:szCs w:val="16"/>
          <w:lang w:val="es-CR"/>
        </w:rPr>
        <w:t>de 2020 y 12 de mayo de 2021.</w:t>
      </w:r>
    </w:p>
  </w:footnote>
  <w:footnote w:id="15">
    <w:p w14:paraId="0BB81C99" w14:textId="1D3E0A73" w:rsidR="00B9315C" w:rsidRPr="003364B0" w:rsidRDefault="00B9315C" w:rsidP="0055519F">
      <w:pPr>
        <w:pStyle w:val="Textonotapie"/>
        <w:tabs>
          <w:tab w:val="left" w:pos="567"/>
        </w:tabs>
        <w:rPr>
          <w:rFonts w:ascii="Verdana" w:hAnsi="Verdana"/>
          <w:sz w:val="16"/>
          <w:szCs w:val="16"/>
        </w:rPr>
      </w:pPr>
      <w:r w:rsidRPr="003364B0">
        <w:rPr>
          <w:rStyle w:val="Refdenotaalpie"/>
          <w:rFonts w:ascii="Verdana" w:hAnsi="Verdana"/>
          <w:sz w:val="16"/>
          <w:szCs w:val="16"/>
        </w:rPr>
        <w:footnoteRef/>
      </w:r>
      <w:r w:rsidRPr="003364B0">
        <w:rPr>
          <w:rFonts w:ascii="Verdana" w:hAnsi="Verdana"/>
          <w:sz w:val="16"/>
          <w:szCs w:val="16"/>
        </w:rPr>
        <w:t xml:space="preserve"> </w:t>
      </w:r>
      <w:r w:rsidRPr="003364B0">
        <w:rPr>
          <w:rFonts w:ascii="Verdana" w:hAnsi="Verdana"/>
          <w:sz w:val="16"/>
          <w:szCs w:val="16"/>
        </w:rPr>
        <w:tab/>
      </w:r>
      <w:r w:rsidR="00DD036A" w:rsidRPr="003364B0">
        <w:rPr>
          <w:rFonts w:ascii="Verdana" w:hAnsi="Verdana"/>
          <w:i/>
          <w:iCs/>
          <w:sz w:val="16"/>
          <w:szCs w:val="16"/>
        </w:rPr>
        <w:t>Cfr.</w:t>
      </w:r>
      <w:r w:rsidR="00DD036A" w:rsidRPr="003364B0">
        <w:rPr>
          <w:rFonts w:ascii="Verdana" w:hAnsi="Verdana"/>
          <w:sz w:val="16"/>
          <w:szCs w:val="16"/>
        </w:rPr>
        <w:t xml:space="preserve"> Escrito de </w:t>
      </w:r>
      <w:r w:rsidR="003E02E8">
        <w:rPr>
          <w:rFonts w:ascii="Verdana" w:hAnsi="Verdana"/>
          <w:sz w:val="16"/>
          <w:szCs w:val="16"/>
        </w:rPr>
        <w:t xml:space="preserve">observaciones de </w:t>
      </w:r>
      <w:r w:rsidR="00DD036A" w:rsidRPr="003364B0">
        <w:rPr>
          <w:rFonts w:ascii="Verdana" w:hAnsi="Verdana"/>
          <w:sz w:val="16"/>
          <w:szCs w:val="16"/>
        </w:rPr>
        <w:t xml:space="preserve">los representantes de 28 de junio de 2021. </w:t>
      </w:r>
    </w:p>
  </w:footnote>
  <w:footnote w:id="16">
    <w:p w14:paraId="7B0CF876" w14:textId="78561F11" w:rsidR="005E0957" w:rsidRPr="003364B0" w:rsidRDefault="005E0957" w:rsidP="0055519F">
      <w:pPr>
        <w:pStyle w:val="Textonotapie"/>
        <w:tabs>
          <w:tab w:val="left" w:pos="567"/>
        </w:tabs>
        <w:jc w:val="both"/>
        <w:rPr>
          <w:rFonts w:ascii="Verdana" w:hAnsi="Verdana"/>
          <w:sz w:val="16"/>
          <w:szCs w:val="16"/>
        </w:rPr>
      </w:pPr>
      <w:r w:rsidRPr="003364B0">
        <w:rPr>
          <w:rStyle w:val="Refdenotaalpie"/>
          <w:rFonts w:ascii="Verdana" w:hAnsi="Verdana"/>
          <w:sz w:val="16"/>
          <w:szCs w:val="16"/>
        </w:rPr>
        <w:footnoteRef/>
      </w:r>
      <w:r w:rsidRPr="003364B0">
        <w:rPr>
          <w:rFonts w:ascii="Verdana" w:hAnsi="Verdana"/>
          <w:sz w:val="16"/>
          <w:szCs w:val="16"/>
        </w:rPr>
        <w:t xml:space="preserve"> </w:t>
      </w:r>
      <w:r w:rsidRPr="003364B0">
        <w:rPr>
          <w:rFonts w:ascii="Verdana" w:hAnsi="Verdana"/>
          <w:sz w:val="16"/>
          <w:szCs w:val="16"/>
        </w:rPr>
        <w:tab/>
      </w:r>
      <w:r w:rsidR="003E02E8">
        <w:rPr>
          <w:rFonts w:ascii="Verdana" w:hAnsi="Verdana"/>
          <w:sz w:val="16"/>
          <w:szCs w:val="16"/>
        </w:rPr>
        <w:t>I</w:t>
      </w:r>
      <w:r w:rsidR="003364B0">
        <w:rPr>
          <w:rFonts w:ascii="Verdana" w:hAnsi="Verdana"/>
          <w:sz w:val="16"/>
          <w:szCs w:val="16"/>
        </w:rPr>
        <w:t>ndicaron que</w:t>
      </w:r>
      <w:r w:rsidR="003E02E8">
        <w:rPr>
          <w:rFonts w:ascii="Verdana" w:hAnsi="Verdana"/>
          <w:sz w:val="16"/>
          <w:szCs w:val="16"/>
        </w:rPr>
        <w:t>,</w:t>
      </w:r>
      <w:r w:rsidR="003364B0">
        <w:rPr>
          <w:rFonts w:ascii="Verdana" w:hAnsi="Verdana"/>
          <w:sz w:val="16"/>
          <w:szCs w:val="16"/>
        </w:rPr>
        <w:t xml:space="preserve"> aunque Jairo Carvajal Cabrera, Ana Francisca Carvajal Parra, Saúl Carvajal y Luz En Carvajal </w:t>
      </w:r>
      <w:proofErr w:type="spellStart"/>
      <w:r w:rsidR="003364B0">
        <w:rPr>
          <w:rFonts w:ascii="Verdana" w:hAnsi="Verdana"/>
          <w:sz w:val="16"/>
          <w:szCs w:val="16"/>
        </w:rPr>
        <w:t>Carvajal</w:t>
      </w:r>
      <w:proofErr w:type="spellEnd"/>
      <w:r w:rsidR="003364B0">
        <w:rPr>
          <w:rFonts w:ascii="Verdana" w:hAnsi="Verdana"/>
          <w:sz w:val="16"/>
          <w:szCs w:val="16"/>
        </w:rPr>
        <w:t xml:space="preserve"> “recibieron la asistencia de manera individual”</w:t>
      </w:r>
      <w:r w:rsidR="00405D39">
        <w:rPr>
          <w:rFonts w:ascii="Verdana" w:hAnsi="Verdana"/>
          <w:sz w:val="16"/>
          <w:szCs w:val="16"/>
        </w:rPr>
        <w:t xml:space="preserve"> no estaban satisfechos con algunas formas en las cuales la profesional designada por el Ministerio de Salud llevó a cabo la asistencia. En cuanto a la señora Janeth Cristina Carvajal, indicaron que recibió las sesiones de asistencia gestionadas por el Estado y que “se siente satisfecha con la atención brindada”.</w:t>
      </w:r>
      <w:r w:rsidR="003E02E8">
        <w:rPr>
          <w:rFonts w:ascii="Verdana" w:hAnsi="Verdana"/>
          <w:sz w:val="16"/>
          <w:szCs w:val="16"/>
        </w:rPr>
        <w:t xml:space="preserve"> </w:t>
      </w:r>
      <w:r w:rsidR="003E02E8" w:rsidRPr="003364B0">
        <w:rPr>
          <w:rFonts w:ascii="Verdana" w:hAnsi="Verdana"/>
          <w:i/>
          <w:iCs/>
          <w:sz w:val="16"/>
          <w:szCs w:val="16"/>
        </w:rPr>
        <w:t>Cfr.</w:t>
      </w:r>
      <w:r w:rsidR="003E02E8" w:rsidRPr="003364B0">
        <w:rPr>
          <w:rFonts w:ascii="Verdana" w:hAnsi="Verdana"/>
          <w:sz w:val="16"/>
          <w:szCs w:val="16"/>
        </w:rPr>
        <w:t xml:space="preserve"> </w:t>
      </w:r>
      <w:r w:rsidR="003E02E8" w:rsidRPr="00FB47EE">
        <w:rPr>
          <w:rFonts w:ascii="Verdana" w:hAnsi="Verdana"/>
          <w:i/>
          <w:iCs/>
          <w:sz w:val="16"/>
          <w:szCs w:val="16"/>
        </w:rPr>
        <w:t>Cfr</w:t>
      </w:r>
      <w:r w:rsidR="003E02E8">
        <w:rPr>
          <w:rFonts w:ascii="Verdana" w:hAnsi="Verdana"/>
          <w:sz w:val="16"/>
          <w:szCs w:val="16"/>
        </w:rPr>
        <w:t xml:space="preserve">. </w:t>
      </w:r>
      <w:r w:rsidR="003E02E8" w:rsidRPr="003364B0">
        <w:rPr>
          <w:rFonts w:ascii="Verdana" w:hAnsi="Verdana"/>
          <w:sz w:val="16"/>
          <w:szCs w:val="16"/>
        </w:rPr>
        <w:t xml:space="preserve">Escrito de </w:t>
      </w:r>
      <w:r w:rsidR="003E02E8">
        <w:rPr>
          <w:rFonts w:ascii="Verdana" w:hAnsi="Verdana"/>
          <w:sz w:val="16"/>
          <w:szCs w:val="16"/>
        </w:rPr>
        <w:t xml:space="preserve">observaciones de </w:t>
      </w:r>
      <w:r w:rsidR="003E02E8" w:rsidRPr="003364B0">
        <w:rPr>
          <w:rFonts w:ascii="Verdana" w:hAnsi="Verdana"/>
          <w:sz w:val="16"/>
          <w:szCs w:val="16"/>
        </w:rPr>
        <w:t xml:space="preserve">los representantes de </w:t>
      </w:r>
      <w:r w:rsidR="003E02E8">
        <w:rPr>
          <w:rFonts w:ascii="Verdana" w:hAnsi="Verdana"/>
          <w:sz w:val="16"/>
          <w:szCs w:val="16"/>
        </w:rPr>
        <w:t>24 de agosto de 2020.</w:t>
      </w:r>
    </w:p>
  </w:footnote>
  <w:footnote w:id="17">
    <w:p w14:paraId="5FDA6E97" w14:textId="410B2775" w:rsidR="006D328C" w:rsidRPr="003364B0" w:rsidRDefault="006D328C" w:rsidP="0055519F">
      <w:pPr>
        <w:tabs>
          <w:tab w:val="left" w:pos="567"/>
        </w:tabs>
        <w:autoSpaceDE w:val="0"/>
        <w:autoSpaceDN w:val="0"/>
        <w:adjustRightInd w:val="0"/>
        <w:jc w:val="both"/>
        <w:rPr>
          <w:rFonts w:ascii="Verdana" w:eastAsiaTheme="minorHAnsi" w:hAnsi="Verdana"/>
          <w:b/>
          <w:bCs/>
          <w:color w:val="000000"/>
          <w:sz w:val="16"/>
          <w:szCs w:val="16"/>
          <w:lang w:val="es-CR"/>
        </w:rPr>
      </w:pPr>
      <w:r w:rsidRPr="003364B0">
        <w:rPr>
          <w:rStyle w:val="Refdenotaalpie"/>
          <w:rFonts w:ascii="Verdana" w:hAnsi="Verdana"/>
          <w:sz w:val="16"/>
          <w:szCs w:val="16"/>
        </w:rPr>
        <w:footnoteRef/>
      </w:r>
      <w:r w:rsidRPr="003364B0">
        <w:rPr>
          <w:rFonts w:ascii="Verdana" w:hAnsi="Verdana"/>
          <w:sz w:val="16"/>
          <w:szCs w:val="16"/>
        </w:rPr>
        <w:t xml:space="preserve"> </w:t>
      </w:r>
      <w:r w:rsidRPr="003364B0">
        <w:rPr>
          <w:rFonts w:ascii="Verdana" w:hAnsi="Verdana"/>
          <w:sz w:val="16"/>
          <w:szCs w:val="16"/>
          <w:lang w:val="es-ES"/>
        </w:rPr>
        <w:tab/>
      </w:r>
      <w:r w:rsidR="001F2FDD">
        <w:rPr>
          <w:rFonts w:ascii="Verdana" w:hAnsi="Verdana"/>
          <w:sz w:val="16"/>
          <w:szCs w:val="16"/>
          <w:lang w:val="es-ES"/>
        </w:rPr>
        <w:t>S</w:t>
      </w:r>
      <w:r w:rsidRPr="003364B0">
        <w:rPr>
          <w:rFonts w:ascii="Verdana" w:hAnsi="Verdana"/>
          <w:sz w:val="16"/>
          <w:szCs w:val="16"/>
          <w:lang w:val="es-ES"/>
        </w:rPr>
        <w:t>ostuvieron que “</w:t>
      </w:r>
      <w:r w:rsidRPr="003364B0">
        <w:rPr>
          <w:rFonts w:ascii="Verdana" w:eastAsiaTheme="minorHAnsi" w:hAnsi="Verdana"/>
          <w:color w:val="000000"/>
          <w:sz w:val="16"/>
          <w:szCs w:val="16"/>
          <w:lang w:val="es-CR"/>
        </w:rPr>
        <w:t xml:space="preserve">previa consulta con las víctimas </w:t>
      </w:r>
      <w:proofErr w:type="spellStart"/>
      <w:r w:rsidRPr="003364B0">
        <w:rPr>
          <w:rFonts w:ascii="Verdana" w:eastAsiaTheme="minorHAnsi" w:hAnsi="Verdana"/>
          <w:color w:val="000000"/>
          <w:sz w:val="16"/>
          <w:szCs w:val="16"/>
          <w:lang w:val="es-CR"/>
        </w:rPr>
        <w:t>est</w:t>
      </w:r>
      <w:proofErr w:type="spellEnd"/>
      <w:r w:rsidRPr="003364B0">
        <w:rPr>
          <w:rFonts w:ascii="Verdana" w:eastAsiaTheme="minorHAnsi" w:hAnsi="Verdana"/>
          <w:color w:val="000000"/>
          <w:sz w:val="16"/>
          <w:szCs w:val="16"/>
          <w:lang w:val="es-CR"/>
        </w:rPr>
        <w:t>[</w:t>
      </w:r>
      <w:proofErr w:type="spellStart"/>
      <w:r w:rsidRPr="003364B0">
        <w:rPr>
          <w:rFonts w:ascii="Verdana" w:eastAsiaTheme="minorHAnsi" w:hAnsi="Verdana"/>
          <w:color w:val="000000"/>
          <w:sz w:val="16"/>
          <w:szCs w:val="16"/>
          <w:lang w:val="es-CR"/>
        </w:rPr>
        <w:t>án</w:t>
      </w:r>
      <w:proofErr w:type="spellEnd"/>
      <w:r w:rsidRPr="003364B0">
        <w:rPr>
          <w:rFonts w:ascii="Verdana" w:eastAsiaTheme="minorHAnsi" w:hAnsi="Verdana"/>
          <w:color w:val="000000"/>
          <w:sz w:val="16"/>
          <w:szCs w:val="16"/>
          <w:lang w:val="es-CR"/>
        </w:rPr>
        <w:t xml:space="preserve">] de acuerdo en que [la] Corte dé por cumplida en su totalidad la medida relativa </w:t>
      </w:r>
      <w:r w:rsidRPr="003364B0">
        <w:rPr>
          <w:rFonts w:ascii="Verdana" w:eastAsiaTheme="minorHAnsi" w:hAnsi="Verdana"/>
          <w:color w:val="222222"/>
          <w:sz w:val="16"/>
          <w:szCs w:val="16"/>
          <w:lang w:val="es-CR"/>
        </w:rPr>
        <w:t xml:space="preserve">a brindar tratamiento psicológico o psiquiátrico a las víctimas. </w:t>
      </w:r>
      <w:r w:rsidR="001F2FDD" w:rsidRPr="001F2FDD">
        <w:rPr>
          <w:rFonts w:ascii="Verdana" w:hAnsi="Verdana"/>
          <w:i/>
          <w:iCs/>
          <w:sz w:val="16"/>
          <w:szCs w:val="16"/>
        </w:rPr>
        <w:t xml:space="preserve"> </w:t>
      </w:r>
      <w:r w:rsidR="001F2FDD" w:rsidRPr="003364B0">
        <w:rPr>
          <w:rFonts w:ascii="Verdana" w:hAnsi="Verdana"/>
          <w:i/>
          <w:iCs/>
          <w:sz w:val="16"/>
          <w:szCs w:val="16"/>
        </w:rPr>
        <w:t>Cfr.</w:t>
      </w:r>
      <w:r w:rsidR="001F2FDD" w:rsidRPr="003364B0">
        <w:rPr>
          <w:rFonts w:ascii="Verdana" w:hAnsi="Verdana"/>
          <w:sz w:val="16"/>
          <w:szCs w:val="16"/>
        </w:rPr>
        <w:t xml:space="preserve"> Escrito de </w:t>
      </w:r>
      <w:r w:rsidR="001F2FDD">
        <w:rPr>
          <w:rFonts w:ascii="Verdana" w:hAnsi="Verdana"/>
          <w:sz w:val="16"/>
          <w:szCs w:val="16"/>
        </w:rPr>
        <w:t xml:space="preserve">observaciones de </w:t>
      </w:r>
      <w:r w:rsidR="001F2FDD" w:rsidRPr="003364B0">
        <w:rPr>
          <w:rFonts w:ascii="Verdana" w:hAnsi="Verdana"/>
          <w:sz w:val="16"/>
          <w:szCs w:val="16"/>
        </w:rPr>
        <w:t xml:space="preserve">los representantes de </w:t>
      </w:r>
      <w:r w:rsidR="001F2FDD">
        <w:rPr>
          <w:rFonts w:ascii="Verdana" w:hAnsi="Verdana"/>
          <w:sz w:val="16"/>
          <w:szCs w:val="16"/>
        </w:rPr>
        <w:t>23 de mayo de 2023</w:t>
      </w:r>
      <w:r w:rsidR="001F2FDD" w:rsidRPr="003364B0">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2AE6"/>
    <w:multiLevelType w:val="multilevel"/>
    <w:tmpl w:val="86806766"/>
    <w:lvl w:ilvl="0">
      <w:start w:val="1"/>
      <w:numFmt w:val="decimal"/>
      <w:lvlText w:val="%1."/>
      <w:lvlJc w:val="left"/>
      <w:pPr>
        <w:ind w:left="360" w:hanging="360"/>
      </w:pPr>
    </w:lvl>
    <w:lvl w:ilvl="1">
      <w:start w:val="2"/>
      <w:numFmt w:val="decimal"/>
      <w:isLgl/>
      <w:lvlText w:val="%1.%2."/>
      <w:lvlJc w:val="left"/>
      <w:pPr>
        <w:ind w:left="1151" w:hanging="720"/>
      </w:pPr>
    </w:lvl>
    <w:lvl w:ilvl="2">
      <w:start w:val="1"/>
      <w:numFmt w:val="decimal"/>
      <w:isLgl/>
      <w:lvlText w:val="%1.%2.%3."/>
      <w:lvlJc w:val="left"/>
      <w:pPr>
        <w:ind w:left="1211" w:hanging="720"/>
      </w:pPr>
    </w:lvl>
    <w:lvl w:ilvl="3">
      <w:start w:val="1"/>
      <w:numFmt w:val="decimal"/>
      <w:isLgl/>
      <w:lvlText w:val="%1.%2.%3.%4."/>
      <w:lvlJc w:val="left"/>
      <w:pPr>
        <w:ind w:left="1631" w:hanging="1080"/>
      </w:pPr>
    </w:lvl>
    <w:lvl w:ilvl="4">
      <w:start w:val="1"/>
      <w:numFmt w:val="decimal"/>
      <w:isLgl/>
      <w:lvlText w:val="%1.%2.%3.%4.%5."/>
      <w:lvlJc w:val="left"/>
      <w:pPr>
        <w:ind w:left="2051" w:hanging="1440"/>
      </w:pPr>
    </w:lvl>
    <w:lvl w:ilvl="5">
      <w:start w:val="1"/>
      <w:numFmt w:val="decimal"/>
      <w:isLgl/>
      <w:lvlText w:val="%1.%2.%3.%4.%5.%6."/>
      <w:lvlJc w:val="left"/>
      <w:pPr>
        <w:ind w:left="2111" w:hanging="1440"/>
      </w:pPr>
    </w:lvl>
    <w:lvl w:ilvl="6">
      <w:start w:val="1"/>
      <w:numFmt w:val="decimal"/>
      <w:isLgl/>
      <w:lvlText w:val="%1.%2.%3.%4.%5.%6.%7."/>
      <w:lvlJc w:val="left"/>
      <w:pPr>
        <w:ind w:left="2531" w:hanging="1800"/>
      </w:pPr>
    </w:lvl>
    <w:lvl w:ilvl="7">
      <w:start w:val="1"/>
      <w:numFmt w:val="decimal"/>
      <w:isLgl/>
      <w:lvlText w:val="%1.%2.%3.%4.%5.%6.%7.%8."/>
      <w:lvlJc w:val="left"/>
      <w:pPr>
        <w:ind w:left="2951" w:hanging="2160"/>
      </w:pPr>
    </w:lvl>
    <w:lvl w:ilvl="8">
      <w:start w:val="1"/>
      <w:numFmt w:val="decimal"/>
      <w:isLgl/>
      <w:lvlText w:val="%1.%2.%3.%4.%5.%6.%7.%8.%9."/>
      <w:lvlJc w:val="left"/>
      <w:pPr>
        <w:ind w:left="3011" w:hanging="2160"/>
      </w:pPr>
    </w:lvl>
  </w:abstractNum>
  <w:abstractNum w:abstractNumId="1" w15:restartNumberingAfterBreak="0">
    <w:nsid w:val="0779606D"/>
    <w:multiLevelType w:val="hybridMultilevel"/>
    <w:tmpl w:val="0B4474C6"/>
    <w:lvl w:ilvl="0" w:tplc="5BBA7F0A">
      <w:start w:val="1"/>
      <w:numFmt w:val="decimal"/>
      <w:lvlText w:val="%1."/>
      <w:lvlJc w:val="left"/>
      <w:pPr>
        <w:ind w:left="720" w:hanging="360"/>
      </w:pPr>
      <w:rPr>
        <w:rFonts w:ascii="Verdana" w:hAnsi="Verdana" w:hint="default"/>
        <w:b w:val="0"/>
        <w:i w:val="0"/>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79D215A"/>
    <w:multiLevelType w:val="hybridMultilevel"/>
    <w:tmpl w:val="51022128"/>
    <w:lvl w:ilvl="0" w:tplc="64A0DCEC">
      <w:start w:val="1"/>
      <w:numFmt w:val="lowerLetter"/>
      <w:lvlText w:val="%1)"/>
      <w:lvlJc w:val="left"/>
      <w:pPr>
        <w:ind w:left="720" w:hanging="360"/>
      </w:pPr>
      <w:rPr>
        <w:rFonts w:ascii="Verdana" w:hAnsi="Verdana" w:hint="default"/>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295F4B7F"/>
    <w:multiLevelType w:val="hybridMultilevel"/>
    <w:tmpl w:val="C68C7B66"/>
    <w:lvl w:ilvl="0" w:tplc="378E8BD4">
      <w:start w:val="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B5C77DB"/>
    <w:multiLevelType w:val="hybridMultilevel"/>
    <w:tmpl w:val="471C8F3E"/>
    <w:lvl w:ilvl="0" w:tplc="CC1AB0CC">
      <w:start w:val="1"/>
      <w:numFmt w:val="upperLetter"/>
      <w:lvlText w:val="%1."/>
      <w:lvlJc w:val="left"/>
      <w:pPr>
        <w:ind w:left="927" w:hanging="360"/>
      </w:pPr>
      <w:rPr>
        <w:sz w:val="20"/>
      </w:rPr>
    </w:lvl>
    <w:lvl w:ilvl="1" w:tplc="140A0019">
      <w:start w:val="1"/>
      <w:numFmt w:val="lowerLetter"/>
      <w:lvlText w:val="%2."/>
      <w:lvlJc w:val="left"/>
      <w:pPr>
        <w:ind w:left="1647" w:hanging="360"/>
      </w:pPr>
    </w:lvl>
    <w:lvl w:ilvl="2" w:tplc="140A001B">
      <w:start w:val="1"/>
      <w:numFmt w:val="lowerRoman"/>
      <w:lvlText w:val="%3."/>
      <w:lvlJc w:val="right"/>
      <w:pPr>
        <w:ind w:left="2367" w:hanging="180"/>
      </w:pPr>
    </w:lvl>
    <w:lvl w:ilvl="3" w:tplc="140A000F">
      <w:start w:val="1"/>
      <w:numFmt w:val="decimal"/>
      <w:lvlText w:val="%4."/>
      <w:lvlJc w:val="left"/>
      <w:pPr>
        <w:ind w:left="3087" w:hanging="360"/>
      </w:pPr>
    </w:lvl>
    <w:lvl w:ilvl="4" w:tplc="140A0019">
      <w:start w:val="1"/>
      <w:numFmt w:val="lowerLetter"/>
      <w:lvlText w:val="%5."/>
      <w:lvlJc w:val="left"/>
      <w:pPr>
        <w:ind w:left="3807" w:hanging="360"/>
      </w:pPr>
    </w:lvl>
    <w:lvl w:ilvl="5" w:tplc="140A001B">
      <w:start w:val="1"/>
      <w:numFmt w:val="lowerRoman"/>
      <w:lvlText w:val="%6."/>
      <w:lvlJc w:val="right"/>
      <w:pPr>
        <w:ind w:left="4527" w:hanging="180"/>
      </w:pPr>
    </w:lvl>
    <w:lvl w:ilvl="6" w:tplc="140A000F">
      <w:start w:val="1"/>
      <w:numFmt w:val="decimal"/>
      <w:lvlText w:val="%7."/>
      <w:lvlJc w:val="left"/>
      <w:pPr>
        <w:ind w:left="5247" w:hanging="360"/>
      </w:pPr>
    </w:lvl>
    <w:lvl w:ilvl="7" w:tplc="140A0019">
      <w:start w:val="1"/>
      <w:numFmt w:val="lowerLetter"/>
      <w:lvlText w:val="%8."/>
      <w:lvlJc w:val="left"/>
      <w:pPr>
        <w:ind w:left="5967" w:hanging="360"/>
      </w:pPr>
    </w:lvl>
    <w:lvl w:ilvl="8" w:tplc="140A001B">
      <w:start w:val="1"/>
      <w:numFmt w:val="lowerRoman"/>
      <w:lvlText w:val="%9."/>
      <w:lvlJc w:val="right"/>
      <w:pPr>
        <w:ind w:left="6687" w:hanging="180"/>
      </w:pPr>
    </w:lvl>
  </w:abstractNum>
  <w:abstractNum w:abstractNumId="5" w15:restartNumberingAfterBreak="0">
    <w:nsid w:val="43F424D8"/>
    <w:multiLevelType w:val="hybridMultilevel"/>
    <w:tmpl w:val="F620D69C"/>
    <w:lvl w:ilvl="0" w:tplc="22C65EAA">
      <w:start w:val="8"/>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1F71744"/>
    <w:multiLevelType w:val="hybridMultilevel"/>
    <w:tmpl w:val="70CC9D46"/>
    <w:lvl w:ilvl="0" w:tplc="15ACCC70">
      <w:start w:val="1"/>
      <w:numFmt w:val="decimal"/>
      <w:lvlText w:val="%1."/>
      <w:lvlJc w:val="left"/>
      <w:pPr>
        <w:ind w:left="720" w:hanging="360"/>
      </w:pPr>
      <w:rPr>
        <w:b w:val="0"/>
        <w:i w:val="0"/>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16cid:durableId="2085033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1759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6913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962329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7197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1168221">
    <w:abstractNumId w:val="1"/>
  </w:num>
  <w:num w:numId="7" w16cid:durableId="1593122094">
    <w:abstractNumId w:val="6"/>
  </w:num>
  <w:num w:numId="8" w16cid:durableId="668018571">
    <w:abstractNumId w:val="3"/>
  </w:num>
  <w:num w:numId="9" w16cid:durableId="1475221066">
    <w:abstractNumId w:val="2"/>
  </w:num>
  <w:num w:numId="10" w16cid:durableId="192154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B53"/>
    <w:rsid w:val="00025929"/>
    <w:rsid w:val="0003079B"/>
    <w:rsid w:val="0004577A"/>
    <w:rsid w:val="00084810"/>
    <w:rsid w:val="00085912"/>
    <w:rsid w:val="0009162A"/>
    <w:rsid w:val="000A3FFA"/>
    <w:rsid w:val="000B45FD"/>
    <w:rsid w:val="000D6898"/>
    <w:rsid w:val="000E6A38"/>
    <w:rsid w:val="00124D1D"/>
    <w:rsid w:val="001644AB"/>
    <w:rsid w:val="00177F1A"/>
    <w:rsid w:val="00197960"/>
    <w:rsid w:val="001A6C57"/>
    <w:rsid w:val="001B3442"/>
    <w:rsid w:val="001C3375"/>
    <w:rsid w:val="001D1CD9"/>
    <w:rsid w:val="001D2E9C"/>
    <w:rsid w:val="001F2FDD"/>
    <w:rsid w:val="00210116"/>
    <w:rsid w:val="00224A44"/>
    <w:rsid w:val="00227350"/>
    <w:rsid w:val="0027235A"/>
    <w:rsid w:val="00276C78"/>
    <w:rsid w:val="0028607E"/>
    <w:rsid w:val="002926E6"/>
    <w:rsid w:val="0029665D"/>
    <w:rsid w:val="002A459B"/>
    <w:rsid w:val="002B67CA"/>
    <w:rsid w:val="002F1C67"/>
    <w:rsid w:val="002F2855"/>
    <w:rsid w:val="00312809"/>
    <w:rsid w:val="003154BF"/>
    <w:rsid w:val="0032144B"/>
    <w:rsid w:val="003319BB"/>
    <w:rsid w:val="003364B0"/>
    <w:rsid w:val="0035152F"/>
    <w:rsid w:val="00352FD8"/>
    <w:rsid w:val="00354DFD"/>
    <w:rsid w:val="00364CED"/>
    <w:rsid w:val="00384D2F"/>
    <w:rsid w:val="003862A1"/>
    <w:rsid w:val="00397131"/>
    <w:rsid w:val="003A4586"/>
    <w:rsid w:val="003B077B"/>
    <w:rsid w:val="003B1EBF"/>
    <w:rsid w:val="003B4A29"/>
    <w:rsid w:val="003D705B"/>
    <w:rsid w:val="003E02E8"/>
    <w:rsid w:val="003E30E5"/>
    <w:rsid w:val="003E7619"/>
    <w:rsid w:val="003F2D07"/>
    <w:rsid w:val="003F47BB"/>
    <w:rsid w:val="00405D39"/>
    <w:rsid w:val="004131A4"/>
    <w:rsid w:val="00440F3D"/>
    <w:rsid w:val="004411A8"/>
    <w:rsid w:val="004527B8"/>
    <w:rsid w:val="004750DF"/>
    <w:rsid w:val="00475E7A"/>
    <w:rsid w:val="00480B9D"/>
    <w:rsid w:val="00483098"/>
    <w:rsid w:val="004A73D3"/>
    <w:rsid w:val="004B4C8E"/>
    <w:rsid w:val="004C0D9F"/>
    <w:rsid w:val="004D28D1"/>
    <w:rsid w:val="004E4EF3"/>
    <w:rsid w:val="004E7CC0"/>
    <w:rsid w:val="004F08CC"/>
    <w:rsid w:val="00502487"/>
    <w:rsid w:val="00513EFA"/>
    <w:rsid w:val="005141D1"/>
    <w:rsid w:val="0055519F"/>
    <w:rsid w:val="0055568E"/>
    <w:rsid w:val="005B5AE2"/>
    <w:rsid w:val="005D1CD8"/>
    <w:rsid w:val="005D5A68"/>
    <w:rsid w:val="005E0928"/>
    <w:rsid w:val="005E0957"/>
    <w:rsid w:val="006019CE"/>
    <w:rsid w:val="0060476E"/>
    <w:rsid w:val="006071F5"/>
    <w:rsid w:val="00622894"/>
    <w:rsid w:val="00623BFD"/>
    <w:rsid w:val="00624A00"/>
    <w:rsid w:val="00656325"/>
    <w:rsid w:val="00690DB3"/>
    <w:rsid w:val="006914CF"/>
    <w:rsid w:val="00695B53"/>
    <w:rsid w:val="006A6735"/>
    <w:rsid w:val="006B1684"/>
    <w:rsid w:val="006C456F"/>
    <w:rsid w:val="006C584B"/>
    <w:rsid w:val="006D328C"/>
    <w:rsid w:val="006D78AD"/>
    <w:rsid w:val="006F08EC"/>
    <w:rsid w:val="006F2166"/>
    <w:rsid w:val="006F5309"/>
    <w:rsid w:val="00721B57"/>
    <w:rsid w:val="00757CE0"/>
    <w:rsid w:val="007600E8"/>
    <w:rsid w:val="0076606D"/>
    <w:rsid w:val="00767D9E"/>
    <w:rsid w:val="00792435"/>
    <w:rsid w:val="0079474B"/>
    <w:rsid w:val="007B32C5"/>
    <w:rsid w:val="007C0BA9"/>
    <w:rsid w:val="007E73AA"/>
    <w:rsid w:val="007F61DD"/>
    <w:rsid w:val="00816970"/>
    <w:rsid w:val="00832A95"/>
    <w:rsid w:val="00852458"/>
    <w:rsid w:val="00872735"/>
    <w:rsid w:val="0088468D"/>
    <w:rsid w:val="00892351"/>
    <w:rsid w:val="00896CC1"/>
    <w:rsid w:val="008D16B9"/>
    <w:rsid w:val="008E1430"/>
    <w:rsid w:val="008E5334"/>
    <w:rsid w:val="008F42CE"/>
    <w:rsid w:val="009019F7"/>
    <w:rsid w:val="00933C15"/>
    <w:rsid w:val="00943662"/>
    <w:rsid w:val="009642BE"/>
    <w:rsid w:val="00984872"/>
    <w:rsid w:val="00994384"/>
    <w:rsid w:val="009976A9"/>
    <w:rsid w:val="009A25F2"/>
    <w:rsid w:val="009A3DA3"/>
    <w:rsid w:val="009B2A8E"/>
    <w:rsid w:val="009C0F94"/>
    <w:rsid w:val="009C2961"/>
    <w:rsid w:val="009C5111"/>
    <w:rsid w:val="009F08E2"/>
    <w:rsid w:val="009F32BD"/>
    <w:rsid w:val="00A113B9"/>
    <w:rsid w:val="00A21F07"/>
    <w:rsid w:val="00A25651"/>
    <w:rsid w:val="00A263C9"/>
    <w:rsid w:val="00A426DA"/>
    <w:rsid w:val="00A6288F"/>
    <w:rsid w:val="00A62DE0"/>
    <w:rsid w:val="00A77080"/>
    <w:rsid w:val="00A93A64"/>
    <w:rsid w:val="00AA51D0"/>
    <w:rsid w:val="00AB1FB4"/>
    <w:rsid w:val="00AC0DD3"/>
    <w:rsid w:val="00AC2237"/>
    <w:rsid w:val="00AC746A"/>
    <w:rsid w:val="00AC76B9"/>
    <w:rsid w:val="00AD14A4"/>
    <w:rsid w:val="00AE1DF4"/>
    <w:rsid w:val="00AE3B78"/>
    <w:rsid w:val="00B04A06"/>
    <w:rsid w:val="00B17FFB"/>
    <w:rsid w:val="00B265FD"/>
    <w:rsid w:val="00B349AF"/>
    <w:rsid w:val="00B41D0E"/>
    <w:rsid w:val="00B45E10"/>
    <w:rsid w:val="00B67640"/>
    <w:rsid w:val="00B731B6"/>
    <w:rsid w:val="00B74333"/>
    <w:rsid w:val="00B80EF6"/>
    <w:rsid w:val="00B9315C"/>
    <w:rsid w:val="00B96601"/>
    <w:rsid w:val="00B97614"/>
    <w:rsid w:val="00BB2E7B"/>
    <w:rsid w:val="00BE01AC"/>
    <w:rsid w:val="00BE5D51"/>
    <w:rsid w:val="00C01CD7"/>
    <w:rsid w:val="00C075BC"/>
    <w:rsid w:val="00C4080D"/>
    <w:rsid w:val="00C47EED"/>
    <w:rsid w:val="00C5373C"/>
    <w:rsid w:val="00C54F45"/>
    <w:rsid w:val="00C64B64"/>
    <w:rsid w:val="00C93306"/>
    <w:rsid w:val="00CA6207"/>
    <w:rsid w:val="00CA71C1"/>
    <w:rsid w:val="00CB0C61"/>
    <w:rsid w:val="00CB606E"/>
    <w:rsid w:val="00CC05D2"/>
    <w:rsid w:val="00CC1C3E"/>
    <w:rsid w:val="00CD5E0F"/>
    <w:rsid w:val="00CE49A3"/>
    <w:rsid w:val="00D06AD3"/>
    <w:rsid w:val="00D12342"/>
    <w:rsid w:val="00D13F95"/>
    <w:rsid w:val="00D26A85"/>
    <w:rsid w:val="00D2785E"/>
    <w:rsid w:val="00D30D60"/>
    <w:rsid w:val="00D33AB2"/>
    <w:rsid w:val="00D33C23"/>
    <w:rsid w:val="00D40E0A"/>
    <w:rsid w:val="00D443DC"/>
    <w:rsid w:val="00D453B4"/>
    <w:rsid w:val="00D5213D"/>
    <w:rsid w:val="00D566AC"/>
    <w:rsid w:val="00D67255"/>
    <w:rsid w:val="00D745A1"/>
    <w:rsid w:val="00D87268"/>
    <w:rsid w:val="00DA6A46"/>
    <w:rsid w:val="00DD036A"/>
    <w:rsid w:val="00DD5E6D"/>
    <w:rsid w:val="00DE33C6"/>
    <w:rsid w:val="00DE6557"/>
    <w:rsid w:val="00DF0B17"/>
    <w:rsid w:val="00DF3FC8"/>
    <w:rsid w:val="00E03E07"/>
    <w:rsid w:val="00E168F4"/>
    <w:rsid w:val="00E21C75"/>
    <w:rsid w:val="00E2448D"/>
    <w:rsid w:val="00E3174B"/>
    <w:rsid w:val="00E33605"/>
    <w:rsid w:val="00E339D7"/>
    <w:rsid w:val="00E43196"/>
    <w:rsid w:val="00E50E88"/>
    <w:rsid w:val="00E72BE7"/>
    <w:rsid w:val="00E753FF"/>
    <w:rsid w:val="00EA2303"/>
    <w:rsid w:val="00EB6D42"/>
    <w:rsid w:val="00EC16BD"/>
    <w:rsid w:val="00EC57BE"/>
    <w:rsid w:val="00EE5D06"/>
    <w:rsid w:val="00F02EB3"/>
    <w:rsid w:val="00F13419"/>
    <w:rsid w:val="00F17EF6"/>
    <w:rsid w:val="00F214A2"/>
    <w:rsid w:val="00F52475"/>
    <w:rsid w:val="00F72EB3"/>
    <w:rsid w:val="00F926B0"/>
    <w:rsid w:val="00FB47EE"/>
    <w:rsid w:val="00FC339C"/>
    <w:rsid w:val="00FD0FA5"/>
    <w:rsid w:val="00FD131F"/>
    <w:rsid w:val="00FE2C58"/>
    <w:rsid w:val="00FF054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A86B1"/>
  <w15:chartTrackingRefBased/>
  <w15:docId w15:val="{DD1C3BBC-065E-4C37-B665-D41DF0F1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B53"/>
    <w:pPr>
      <w:spacing w:after="0" w:line="240" w:lineRule="auto"/>
    </w:pPr>
    <w:rPr>
      <w:rFonts w:ascii="Garamond" w:eastAsia="Times" w:hAnsi="Garamond" w:cs="Times New Roman"/>
      <w:sz w:val="24"/>
      <w:szCs w:val="20"/>
      <w:lang w:val="es-ES_tradnl"/>
    </w:rPr>
  </w:style>
  <w:style w:type="paragraph" w:styleId="Ttulo1">
    <w:name w:val="heading 1"/>
    <w:basedOn w:val="Normal"/>
    <w:next w:val="Normal"/>
    <w:link w:val="Ttulo1Car"/>
    <w:uiPriority w:val="9"/>
    <w:qFormat/>
    <w:rsid w:val="00695B53"/>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5B53"/>
    <w:pPr>
      <w:tabs>
        <w:tab w:val="center" w:pos="4419"/>
        <w:tab w:val="right" w:pos="8838"/>
      </w:tabs>
    </w:pPr>
  </w:style>
  <w:style w:type="character" w:customStyle="1" w:styleId="EncabezadoCar">
    <w:name w:val="Encabezado Car"/>
    <w:basedOn w:val="Fuentedeprrafopredeter"/>
    <w:link w:val="Encabezado"/>
    <w:uiPriority w:val="99"/>
    <w:rsid w:val="00695B53"/>
  </w:style>
  <w:style w:type="paragraph" w:styleId="Piedepgina">
    <w:name w:val="footer"/>
    <w:basedOn w:val="Normal"/>
    <w:link w:val="PiedepginaCar"/>
    <w:uiPriority w:val="99"/>
    <w:unhideWhenUsed/>
    <w:rsid w:val="00695B53"/>
    <w:pPr>
      <w:tabs>
        <w:tab w:val="center" w:pos="4419"/>
        <w:tab w:val="right" w:pos="8838"/>
      </w:tabs>
    </w:pPr>
  </w:style>
  <w:style w:type="character" w:customStyle="1" w:styleId="PiedepginaCar">
    <w:name w:val="Pie de página Car"/>
    <w:basedOn w:val="Fuentedeprrafopredeter"/>
    <w:link w:val="Piedepgina"/>
    <w:uiPriority w:val="99"/>
    <w:rsid w:val="00695B53"/>
  </w:style>
  <w:style w:type="character" w:customStyle="1" w:styleId="Ttulo1Car">
    <w:name w:val="Título 1 Car"/>
    <w:basedOn w:val="Fuentedeprrafopredeter"/>
    <w:link w:val="Ttulo1"/>
    <w:uiPriority w:val="9"/>
    <w:rsid w:val="00695B53"/>
    <w:rPr>
      <w:rFonts w:ascii="Cambria" w:eastAsia="Times New Roman" w:hAnsi="Cambria" w:cs="Times New Roman"/>
      <w:b/>
      <w:bCs/>
      <w:kern w:val="32"/>
      <w:sz w:val="32"/>
      <w:szCs w:val="32"/>
      <w:lang w:val="es-ES_tradnl"/>
    </w:rPr>
  </w:style>
  <w:style w:type="character" w:styleId="Hipervnculo">
    <w:name w:val="Hyperlink"/>
    <w:uiPriority w:val="99"/>
    <w:unhideWhenUsed/>
    <w:rsid w:val="00695B53"/>
    <w:rPr>
      <w:color w:val="0000FF"/>
      <w:u w:val="single"/>
    </w:rPr>
  </w:style>
  <w:style w:type="paragraph" w:styleId="NormalWeb">
    <w:name w:val="Normal (Web)"/>
    <w:basedOn w:val="Normal"/>
    <w:uiPriority w:val="99"/>
    <w:semiHidden/>
    <w:unhideWhenUsed/>
    <w:rsid w:val="00695B53"/>
    <w:pPr>
      <w:spacing w:before="100" w:beforeAutospacing="1" w:after="100" w:afterAutospacing="1"/>
    </w:pPr>
    <w:rPr>
      <w:rFonts w:ascii="Times New Roman" w:eastAsia="Times New Roman" w:hAnsi="Times New Roman"/>
      <w:szCs w:val="24"/>
      <w:lang w:val="es-CR" w:eastAsia="es-CR"/>
    </w:rPr>
  </w:style>
  <w:style w:type="paragraph" w:styleId="TDC1">
    <w:name w:val="toc 1"/>
    <w:basedOn w:val="Normal"/>
    <w:next w:val="Normal"/>
    <w:autoRedefine/>
    <w:uiPriority w:val="39"/>
    <w:unhideWhenUsed/>
    <w:rsid w:val="009976A9"/>
    <w:pPr>
      <w:tabs>
        <w:tab w:val="left" w:pos="567"/>
        <w:tab w:val="right" w:leader="dot" w:pos="8828"/>
      </w:tabs>
      <w:spacing w:before="60" w:after="60"/>
      <w:jc w:val="both"/>
    </w:pPr>
    <w:rPr>
      <w:rFonts w:ascii="Verdana" w:hAnsi="Verdana"/>
      <w:bCs/>
      <w:i/>
      <w:iCs/>
      <w:noProof/>
      <w:sz w:val="20"/>
      <w:lang w:val="es-CR" w:eastAsia="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locked/>
    <w:rsid w:val="00695B53"/>
    <w:rPr>
      <w:rFonts w:ascii="Times" w:eastAsia="Times" w:hAnsi="Times" w:cs="Times New Roman"/>
      <w:sz w:val="24"/>
      <w:szCs w:val="20"/>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695B53"/>
    <w:rPr>
      <w:rFonts w:ascii="Times" w:hAnsi="Times"/>
    </w:rPr>
  </w:style>
  <w:style w:type="character" w:customStyle="1" w:styleId="TextonotapieCar1">
    <w:name w:val="Texto nota pie Car1"/>
    <w:basedOn w:val="Fuentedeprrafopredeter"/>
    <w:uiPriority w:val="99"/>
    <w:semiHidden/>
    <w:rsid w:val="00695B53"/>
    <w:rPr>
      <w:rFonts w:ascii="Garamond" w:eastAsia="Times" w:hAnsi="Garamond" w:cs="Times New Roman"/>
      <w:sz w:val="20"/>
      <w:szCs w:val="20"/>
      <w:lang w:val="es-ES_tradnl"/>
    </w:rPr>
  </w:style>
  <w:style w:type="character" w:customStyle="1" w:styleId="PrrafodelistaCar">
    <w:name w:val="Párrafo de lista Car"/>
    <w:aliases w:val="List Paragraph1 Car,Cuadrícula clara - Énfasis 31 Car,List Paragraph2 Car,Lista vistosa - Énfasis 11 Car,Lista clara - Énfasis 51 Car"/>
    <w:link w:val="Prrafodelista"/>
    <w:uiPriority w:val="34"/>
    <w:locked/>
    <w:rsid w:val="00695B53"/>
    <w:rPr>
      <w:rFonts w:ascii="Garamond" w:eastAsia="Times" w:hAnsi="Garamond" w:cs="Times New Roman"/>
      <w:sz w:val="24"/>
      <w:szCs w:val="20"/>
      <w:lang w:val="es-ES_tradnl"/>
    </w:rPr>
  </w:style>
  <w:style w:type="paragraph" w:styleId="Prrafodelista">
    <w:name w:val="List Paragraph"/>
    <w:aliases w:val="List Paragraph1,Cuadrícula clara - Énfasis 31,List Paragraph2,Lista vistosa - Énfasis 11,Lista clara - Énfasis 51"/>
    <w:basedOn w:val="Normal"/>
    <w:link w:val="PrrafodelistaCar"/>
    <w:uiPriority w:val="34"/>
    <w:qFormat/>
    <w:rsid w:val="00695B53"/>
    <w:pPr>
      <w:ind w:left="708"/>
    </w:p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nhideWhenUsed/>
    <w:qFormat/>
    <w:rsid w:val="00695B5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95B53"/>
    <w:pPr>
      <w:jc w:val="both"/>
    </w:pPr>
    <w:rPr>
      <w:rFonts w:asciiTheme="minorHAnsi" w:eastAsiaTheme="minorHAnsi" w:hAnsiTheme="minorHAnsi" w:cstheme="minorBidi"/>
      <w:sz w:val="22"/>
      <w:szCs w:val="22"/>
      <w:vertAlign w:val="superscript"/>
      <w:lang w:val="es-CR"/>
    </w:rPr>
  </w:style>
  <w:style w:type="paragraph" w:styleId="Textocomentario">
    <w:name w:val="annotation text"/>
    <w:basedOn w:val="Normal"/>
    <w:link w:val="TextocomentarioCar"/>
    <w:uiPriority w:val="99"/>
    <w:unhideWhenUsed/>
    <w:rsid w:val="003B1EBF"/>
    <w:pPr>
      <w:spacing w:after="200"/>
    </w:pPr>
    <w:rPr>
      <w:rFonts w:ascii="Calibri" w:eastAsia="Times New Roman" w:hAnsi="Calibri"/>
      <w:sz w:val="20"/>
      <w:lang w:val="es-CR" w:eastAsia="es-CR"/>
    </w:rPr>
  </w:style>
  <w:style w:type="character" w:customStyle="1" w:styleId="TextocomentarioCar">
    <w:name w:val="Texto comentario Car"/>
    <w:basedOn w:val="Fuentedeprrafopredeter"/>
    <w:link w:val="Textocomentario"/>
    <w:uiPriority w:val="99"/>
    <w:rsid w:val="003B1EBF"/>
    <w:rPr>
      <w:rFonts w:ascii="Calibri" w:eastAsia="Times New Roman" w:hAnsi="Calibri" w:cs="Times New Roman"/>
      <w:sz w:val="20"/>
      <w:szCs w:val="20"/>
      <w:lang w:eastAsia="es-CR"/>
    </w:rPr>
  </w:style>
  <w:style w:type="paragraph" w:styleId="Revisin">
    <w:name w:val="Revision"/>
    <w:hidden/>
    <w:uiPriority w:val="99"/>
    <w:semiHidden/>
    <w:rsid w:val="009B2A8E"/>
    <w:pPr>
      <w:spacing w:after="0" w:line="240" w:lineRule="auto"/>
    </w:pPr>
    <w:rPr>
      <w:rFonts w:ascii="Garamond" w:eastAsia="Times" w:hAnsi="Garamond" w:cs="Times New Roman"/>
      <w:sz w:val="24"/>
      <w:szCs w:val="20"/>
      <w:lang w:val="es-ES_tradnl"/>
    </w:rPr>
  </w:style>
  <w:style w:type="character" w:styleId="Refdecomentario">
    <w:name w:val="annotation reference"/>
    <w:basedOn w:val="Fuentedeprrafopredeter"/>
    <w:uiPriority w:val="99"/>
    <w:semiHidden/>
    <w:unhideWhenUsed/>
    <w:rsid w:val="00AC2237"/>
    <w:rPr>
      <w:sz w:val="16"/>
      <w:szCs w:val="16"/>
    </w:rPr>
  </w:style>
  <w:style w:type="paragraph" w:styleId="Asuntodelcomentario">
    <w:name w:val="annotation subject"/>
    <w:basedOn w:val="Textocomentario"/>
    <w:next w:val="Textocomentario"/>
    <w:link w:val="AsuntodelcomentarioCar"/>
    <w:uiPriority w:val="99"/>
    <w:semiHidden/>
    <w:unhideWhenUsed/>
    <w:rsid w:val="00AC2237"/>
    <w:pPr>
      <w:spacing w:after="0"/>
    </w:pPr>
    <w:rPr>
      <w:rFonts w:ascii="Garamond" w:eastAsia="Times" w:hAnsi="Garamond"/>
      <w:b/>
      <w:bCs/>
      <w:lang w:val="es-ES_tradnl" w:eastAsia="en-US"/>
    </w:rPr>
  </w:style>
  <w:style w:type="character" w:customStyle="1" w:styleId="AsuntodelcomentarioCar">
    <w:name w:val="Asunto del comentario Car"/>
    <w:basedOn w:val="TextocomentarioCar"/>
    <w:link w:val="Asuntodelcomentario"/>
    <w:uiPriority w:val="99"/>
    <w:semiHidden/>
    <w:rsid w:val="00AC2237"/>
    <w:rPr>
      <w:rFonts w:ascii="Garamond" w:eastAsia="Times" w:hAnsi="Garamond" w:cs="Times New Roman"/>
      <w:b/>
      <w:bCs/>
      <w:sz w:val="20"/>
      <w:szCs w:val="20"/>
      <w:lang w:val="es-ES_tradnl" w:eastAsia="es-CR"/>
    </w:rPr>
  </w:style>
  <w:style w:type="character" w:styleId="nfasis">
    <w:name w:val="Emphasis"/>
    <w:basedOn w:val="Fuentedeprrafopredeter"/>
    <w:uiPriority w:val="20"/>
    <w:qFormat/>
    <w:rsid w:val="005D1CD8"/>
    <w:rPr>
      <w:i/>
      <w:iCs/>
    </w:rPr>
  </w:style>
  <w:style w:type="character" w:styleId="Mencinsinresolver">
    <w:name w:val="Unresolved Mention"/>
    <w:basedOn w:val="Fuentedeprrafopredeter"/>
    <w:uiPriority w:val="99"/>
    <w:semiHidden/>
    <w:unhideWhenUsed/>
    <w:rsid w:val="005D1CD8"/>
    <w:rPr>
      <w:color w:val="605E5C"/>
      <w:shd w:val="clear" w:color="auto" w:fill="E1DFDD"/>
    </w:rPr>
  </w:style>
  <w:style w:type="character" w:styleId="Nmerodelnea">
    <w:name w:val="line number"/>
    <w:basedOn w:val="Fuentedeprrafopredeter"/>
    <w:uiPriority w:val="99"/>
    <w:semiHidden/>
    <w:unhideWhenUsed/>
    <w:rsid w:val="00483098"/>
  </w:style>
  <w:style w:type="paragraph" w:customStyle="1" w:styleId="pf0">
    <w:name w:val="pf0"/>
    <w:basedOn w:val="Normal"/>
    <w:rsid w:val="004D28D1"/>
    <w:pPr>
      <w:spacing w:before="100" w:beforeAutospacing="1" w:after="100" w:afterAutospacing="1"/>
    </w:pPr>
    <w:rPr>
      <w:rFonts w:ascii="Times New Roman" w:eastAsia="Times New Roman" w:hAnsi="Times New Roman"/>
      <w:szCs w:val="24"/>
      <w:lang w:val="es-CR" w:eastAsia="es-CR"/>
    </w:rPr>
  </w:style>
  <w:style w:type="character" w:customStyle="1" w:styleId="cf01">
    <w:name w:val="cf01"/>
    <w:basedOn w:val="Fuentedeprrafopredeter"/>
    <w:rsid w:val="004D28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378005">
      <w:bodyDiv w:val="1"/>
      <w:marLeft w:val="0"/>
      <w:marRight w:val="0"/>
      <w:marTop w:val="0"/>
      <w:marBottom w:val="0"/>
      <w:divBdr>
        <w:top w:val="none" w:sz="0" w:space="0" w:color="auto"/>
        <w:left w:val="none" w:sz="0" w:space="0" w:color="auto"/>
        <w:bottom w:val="none" w:sz="0" w:space="0" w:color="auto"/>
        <w:right w:val="none" w:sz="0" w:space="0" w:color="auto"/>
      </w:divBdr>
    </w:div>
    <w:div w:id="1430270043">
      <w:bodyDiv w:val="1"/>
      <w:marLeft w:val="0"/>
      <w:marRight w:val="0"/>
      <w:marTop w:val="0"/>
      <w:marBottom w:val="0"/>
      <w:divBdr>
        <w:top w:val="none" w:sz="0" w:space="0" w:color="auto"/>
        <w:left w:val="none" w:sz="0" w:space="0" w:color="auto"/>
        <w:bottom w:val="none" w:sz="0" w:space="0" w:color="auto"/>
        <w:right w:val="none" w:sz="0" w:space="0" w:color="auto"/>
      </w:divBdr>
    </w:div>
    <w:div w:id="1869415847">
      <w:bodyDiv w:val="1"/>
      <w:marLeft w:val="0"/>
      <w:marRight w:val="0"/>
      <w:marTop w:val="0"/>
      <w:marBottom w:val="0"/>
      <w:divBdr>
        <w:top w:val="none" w:sz="0" w:space="0" w:color="auto"/>
        <w:left w:val="none" w:sz="0" w:space="0" w:color="auto"/>
        <w:bottom w:val="none" w:sz="0" w:space="0" w:color="auto"/>
        <w:right w:val="none" w:sz="0" w:space="0" w:color="auto"/>
      </w:divBdr>
    </w:div>
    <w:div w:id="205646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docs/supervisiones/carvajalcarvajal_07_10_19.pdf" TargetMode="External"/><Relationship Id="rId2" Type="http://schemas.openxmlformats.org/officeDocument/2006/relationships/hyperlink" Target="http://www.corteidh.or.cr/docs/casos/articulos/seriec_365_esp.pdf" TargetMode="External"/><Relationship Id="rId1" Type="http://schemas.openxmlformats.org/officeDocument/2006/relationships/hyperlink" Target="http://www.corteidh.or.cr/docs/casos/articulos/seriec_352_esp.pdf" TargetMode="External"/><Relationship Id="rId4" Type="http://schemas.openxmlformats.org/officeDocument/2006/relationships/hyperlink" Target="https://www.corteidh.or.cr/docs/supervisiones/carvajal_carvajal_05_04_22.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E0EC-246E-4E78-8857-6C93EB776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1237</Words>
  <Characters>6805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2023-10-05T19:53:00Z</dcterms:created>
  <dcterms:modified xsi:type="dcterms:W3CDTF">2023-10-05T19:53:00Z</dcterms:modified>
</cp:coreProperties>
</file>