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5E249" w14:textId="77777777" w:rsidR="00BF1560" w:rsidRDefault="005B0D19" w:rsidP="000725B2">
      <w:pPr>
        <w:spacing w:line="240" w:lineRule="auto"/>
        <w:jc w:val="center"/>
        <w:rPr>
          <w:rFonts w:eastAsia="Calibri" w:cs="Calibri"/>
          <w:b/>
          <w:lang w:val="es-ES"/>
        </w:rPr>
      </w:pPr>
      <w:r w:rsidRPr="000E736A">
        <w:rPr>
          <w:rFonts w:eastAsia="Calibri" w:cs="Calibri"/>
          <w:b/>
          <w:lang w:val="es-ES"/>
        </w:rPr>
        <w:t>RESOLUCIÓN DEL PRESIDENTE</w:t>
      </w:r>
    </w:p>
    <w:p w14:paraId="6DB47540" w14:textId="783BF86A" w:rsidR="000725B2" w:rsidRPr="000E736A" w:rsidRDefault="005B0D19" w:rsidP="000725B2">
      <w:pPr>
        <w:spacing w:line="240" w:lineRule="auto"/>
        <w:jc w:val="center"/>
        <w:rPr>
          <w:rFonts w:eastAsia="Calibri" w:cs="Verdana"/>
          <w:b/>
          <w:bCs/>
          <w:caps/>
          <w:snapToGrid w:val="0"/>
          <w:lang w:val="es-ES" w:eastAsia="es-ES"/>
        </w:rPr>
      </w:pPr>
      <w:r w:rsidRPr="000E736A">
        <w:rPr>
          <w:rFonts w:eastAsia="Calibri" w:cs="Calibri"/>
          <w:b/>
          <w:lang w:val="es-ES"/>
        </w:rPr>
        <w:t xml:space="preserve"> DE LA CORTE INTERAMERICANA DE DERECHOS HUMANOS</w:t>
      </w:r>
      <w:r w:rsidR="000725B2" w:rsidRPr="000E736A">
        <w:rPr>
          <w:rFonts w:eastAsia="Calibri" w:cs="Calibri"/>
          <w:b/>
          <w:lang w:val="es-ES"/>
        </w:rPr>
        <w:br/>
      </w:r>
    </w:p>
    <w:p w14:paraId="3F0304AC" w14:textId="477223CC" w:rsidR="000725B2" w:rsidRPr="000E736A" w:rsidRDefault="005B0D19" w:rsidP="000725B2">
      <w:pPr>
        <w:tabs>
          <w:tab w:val="left" w:pos="720"/>
        </w:tabs>
        <w:spacing w:line="240" w:lineRule="auto"/>
        <w:jc w:val="center"/>
        <w:rPr>
          <w:rFonts w:eastAsia="Calibri" w:cs="Verdana"/>
          <w:b/>
          <w:bCs/>
          <w:snapToGrid w:val="0"/>
          <w:lang w:val="es-ES" w:eastAsia="es-ES"/>
        </w:rPr>
      </w:pPr>
      <w:r w:rsidRPr="000E736A">
        <w:rPr>
          <w:rFonts w:eastAsia="Calibri" w:cs="Verdana"/>
          <w:b/>
          <w:bCs/>
          <w:snapToGrid w:val="0"/>
          <w:lang w:val="es-ES" w:eastAsia="es-ES"/>
        </w:rPr>
        <w:t xml:space="preserve">DE </w:t>
      </w:r>
      <w:r w:rsidR="000177D4">
        <w:rPr>
          <w:rFonts w:eastAsia="Calibri" w:cs="Verdana"/>
          <w:b/>
          <w:bCs/>
          <w:snapToGrid w:val="0"/>
          <w:lang w:val="es-ES" w:eastAsia="es-ES"/>
        </w:rPr>
        <w:t>10</w:t>
      </w:r>
      <w:r w:rsidR="00084856" w:rsidRPr="000E736A">
        <w:rPr>
          <w:rFonts w:eastAsia="Calibri" w:cs="Verdana"/>
          <w:b/>
          <w:bCs/>
          <w:snapToGrid w:val="0"/>
          <w:lang w:val="es-ES" w:eastAsia="es-ES"/>
        </w:rPr>
        <w:t xml:space="preserve"> </w:t>
      </w:r>
      <w:r w:rsidRPr="000E736A">
        <w:rPr>
          <w:rFonts w:eastAsia="Calibri" w:cs="Verdana"/>
          <w:b/>
          <w:bCs/>
          <w:snapToGrid w:val="0"/>
          <w:lang w:val="es-ES" w:eastAsia="es-ES"/>
        </w:rPr>
        <w:t xml:space="preserve">DE </w:t>
      </w:r>
      <w:r w:rsidR="000177D4">
        <w:rPr>
          <w:rFonts w:eastAsia="Calibri" w:cs="Verdana"/>
          <w:b/>
          <w:bCs/>
          <w:snapToGrid w:val="0"/>
          <w:lang w:val="es-ES" w:eastAsia="es-ES"/>
        </w:rPr>
        <w:t>OCTUBRE</w:t>
      </w:r>
      <w:r w:rsidRPr="000E736A">
        <w:rPr>
          <w:rFonts w:eastAsia="Calibri" w:cs="Verdana"/>
          <w:b/>
          <w:bCs/>
          <w:snapToGrid w:val="0"/>
          <w:lang w:val="es-ES" w:eastAsia="es-ES"/>
        </w:rPr>
        <w:t xml:space="preserve"> DE </w:t>
      </w:r>
      <w:r w:rsidR="005022F1" w:rsidRPr="000E736A">
        <w:rPr>
          <w:rFonts w:eastAsia="Calibri" w:cs="Verdana"/>
          <w:b/>
          <w:bCs/>
          <w:snapToGrid w:val="0"/>
          <w:lang w:val="es-ES" w:eastAsia="es-ES"/>
        </w:rPr>
        <w:t>2023</w:t>
      </w:r>
    </w:p>
    <w:p w14:paraId="71D70E07" w14:textId="77777777" w:rsidR="000725B2" w:rsidRPr="000E736A" w:rsidRDefault="000725B2" w:rsidP="000725B2">
      <w:pPr>
        <w:tabs>
          <w:tab w:val="left" w:pos="720"/>
        </w:tabs>
        <w:spacing w:line="240" w:lineRule="auto"/>
        <w:jc w:val="center"/>
        <w:rPr>
          <w:rFonts w:eastAsia="Calibri" w:cs="Verdana"/>
          <w:b/>
          <w:bCs/>
          <w:caps/>
          <w:snapToGrid w:val="0"/>
          <w:lang w:val="es-ES" w:eastAsia="es-ES"/>
        </w:rPr>
      </w:pPr>
    </w:p>
    <w:p w14:paraId="1B870A61" w14:textId="425F7F58" w:rsidR="000725B2" w:rsidRPr="000E736A" w:rsidRDefault="005B0D19" w:rsidP="000725B2">
      <w:pPr>
        <w:tabs>
          <w:tab w:val="left" w:pos="720"/>
        </w:tabs>
        <w:spacing w:line="240" w:lineRule="auto"/>
        <w:jc w:val="center"/>
        <w:rPr>
          <w:rFonts w:eastAsia="Calibri" w:cs="Verdana"/>
          <w:b/>
          <w:bCs/>
          <w:snapToGrid w:val="0"/>
          <w:lang w:val="es-ES" w:eastAsia="es-ES"/>
        </w:rPr>
      </w:pPr>
      <w:r w:rsidRPr="000E736A">
        <w:rPr>
          <w:rFonts w:eastAsia="Calibri" w:cs="Verdana"/>
          <w:b/>
          <w:bCs/>
          <w:snapToGrid w:val="0"/>
          <w:lang w:val="es-ES" w:eastAsia="es-ES"/>
        </w:rPr>
        <w:t xml:space="preserve">CASO </w:t>
      </w:r>
      <w:r w:rsidR="005B6D83">
        <w:rPr>
          <w:rFonts w:eastAsia="Calibri" w:cs="Verdana"/>
          <w:b/>
          <w:bCs/>
          <w:snapToGrid w:val="0"/>
          <w:lang w:val="es-ES" w:eastAsia="es-ES"/>
        </w:rPr>
        <w:t>CUÉLLAR SANDOVAL</w:t>
      </w:r>
      <w:r w:rsidR="004E4525" w:rsidRPr="000E736A">
        <w:rPr>
          <w:rFonts w:eastAsia="Calibri" w:cs="Verdana"/>
          <w:b/>
          <w:bCs/>
          <w:snapToGrid w:val="0"/>
          <w:lang w:val="es-ES" w:eastAsia="es-ES"/>
        </w:rPr>
        <w:t xml:space="preserve"> Y OTR</w:t>
      </w:r>
      <w:r w:rsidR="005B6D83">
        <w:rPr>
          <w:rFonts w:eastAsia="Calibri" w:cs="Verdana"/>
          <w:b/>
          <w:bCs/>
          <w:snapToGrid w:val="0"/>
          <w:lang w:val="es-ES" w:eastAsia="es-ES"/>
        </w:rPr>
        <w:t>OS</w:t>
      </w:r>
      <w:r w:rsidRPr="000E736A">
        <w:rPr>
          <w:rFonts w:eastAsia="Calibri" w:cs="Verdana"/>
          <w:b/>
          <w:bCs/>
          <w:snapToGrid w:val="0"/>
          <w:lang w:val="es-ES" w:eastAsia="es-ES"/>
        </w:rPr>
        <w:t xml:space="preserve"> VS. </w:t>
      </w:r>
      <w:r w:rsidR="005B6D83">
        <w:rPr>
          <w:rFonts w:eastAsia="Calibri" w:cs="Verdana"/>
          <w:b/>
          <w:bCs/>
          <w:snapToGrid w:val="0"/>
          <w:lang w:val="es-ES" w:eastAsia="es-ES"/>
        </w:rPr>
        <w:t>EL SALVADOR</w:t>
      </w:r>
    </w:p>
    <w:p w14:paraId="26A5E7EF" w14:textId="33E52DE7" w:rsidR="000725B2" w:rsidRPr="000E736A" w:rsidRDefault="000725B2" w:rsidP="000725B2">
      <w:pPr>
        <w:tabs>
          <w:tab w:val="left" w:pos="720"/>
        </w:tabs>
        <w:spacing w:line="240" w:lineRule="auto"/>
        <w:rPr>
          <w:rFonts w:eastAsia="Verdana" w:cs="Verdana"/>
          <w:lang w:val="es-ES"/>
        </w:rPr>
      </w:pPr>
    </w:p>
    <w:p w14:paraId="16002F64" w14:textId="77777777" w:rsidR="00EA36F7" w:rsidRPr="000E736A" w:rsidRDefault="00EA36F7" w:rsidP="000725B2">
      <w:pPr>
        <w:tabs>
          <w:tab w:val="left" w:pos="720"/>
        </w:tabs>
        <w:spacing w:line="240" w:lineRule="auto"/>
        <w:rPr>
          <w:rFonts w:eastAsia="Verdana" w:cs="Verdana"/>
          <w:highlight w:val="yellow"/>
          <w:lang w:val="es-ES"/>
        </w:rPr>
      </w:pPr>
    </w:p>
    <w:p w14:paraId="2F0DCED3" w14:textId="2C3C74F5" w:rsidR="000725B2" w:rsidRPr="000E736A" w:rsidRDefault="005B0D19">
      <w:pPr>
        <w:rPr>
          <w:rFonts w:eastAsia="Verdana" w:cs="Verdana"/>
          <w:b/>
          <w:bCs/>
          <w:lang w:val="es-ES"/>
        </w:rPr>
      </w:pPr>
      <w:r w:rsidRPr="000E736A">
        <w:rPr>
          <w:rFonts w:eastAsia="Verdana" w:cs="Verdana"/>
          <w:b/>
          <w:bCs/>
          <w:lang w:val="es-ES"/>
        </w:rPr>
        <w:t xml:space="preserve">VISTO: </w:t>
      </w:r>
    </w:p>
    <w:p w14:paraId="1FD1E466" w14:textId="1408B779" w:rsidR="005B0D19" w:rsidRPr="000E736A" w:rsidRDefault="005B0D19" w:rsidP="005B0D19">
      <w:pPr>
        <w:rPr>
          <w:b/>
          <w:bCs/>
        </w:rPr>
      </w:pPr>
    </w:p>
    <w:p w14:paraId="2995020D" w14:textId="0C0E3995" w:rsidR="00895E40" w:rsidRDefault="00EA36F7" w:rsidP="00E55815">
      <w:pPr>
        <w:pStyle w:val="Sinespaciado"/>
        <w:numPr>
          <w:ilvl w:val="0"/>
          <w:numId w:val="26"/>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895E40">
        <w:rPr>
          <w:rFonts w:ascii="Verdana" w:hAnsi="Verdana" w:cs="Verdana"/>
          <w:sz w:val="20"/>
          <w:szCs w:val="20"/>
        </w:rPr>
        <w:t xml:space="preserve">El </w:t>
      </w:r>
      <w:r w:rsidR="00A712A5" w:rsidRPr="00895E40">
        <w:rPr>
          <w:rStyle w:val="markedcontent"/>
          <w:rFonts w:ascii="Verdana" w:hAnsi="Verdana" w:cs="Arial"/>
          <w:sz w:val="20"/>
          <w:szCs w:val="20"/>
        </w:rPr>
        <w:t>escrito de sometimiento del caso y el Informe de Fondo de la Comisión Interamericana de Derechos Humanos (en adelante “la Comisión Interamericana” o “la Comisión”); el escrito de solicitudes, argumentos y pruebas (en adelante el “escrito de solicitudes y argumentos”) de</w:t>
      </w:r>
      <w:r w:rsidR="00184B6D" w:rsidRPr="00895E40">
        <w:rPr>
          <w:rStyle w:val="markedcontent"/>
          <w:rFonts w:ascii="Verdana" w:hAnsi="Verdana" w:cs="Arial"/>
          <w:sz w:val="20"/>
          <w:szCs w:val="20"/>
        </w:rPr>
        <w:t>l</w:t>
      </w:r>
      <w:r w:rsidR="00A712A5" w:rsidRPr="00895E40">
        <w:rPr>
          <w:rStyle w:val="markedcontent"/>
          <w:rFonts w:ascii="Verdana" w:hAnsi="Verdana" w:cs="Arial"/>
          <w:sz w:val="20"/>
          <w:szCs w:val="20"/>
        </w:rPr>
        <w:t xml:space="preserve"> representante de las presuntas víctimas (en adelante “</w:t>
      </w:r>
      <w:r w:rsidR="00184B6D" w:rsidRPr="00895E40">
        <w:rPr>
          <w:rStyle w:val="markedcontent"/>
          <w:rFonts w:ascii="Verdana" w:hAnsi="Verdana" w:cs="Arial"/>
          <w:sz w:val="20"/>
          <w:szCs w:val="20"/>
        </w:rPr>
        <w:t>el</w:t>
      </w:r>
      <w:r w:rsidR="00A712A5" w:rsidRPr="00895E40">
        <w:rPr>
          <w:rStyle w:val="markedcontent"/>
          <w:rFonts w:ascii="Verdana" w:hAnsi="Verdana" w:cs="Arial"/>
          <w:sz w:val="20"/>
          <w:szCs w:val="20"/>
        </w:rPr>
        <w:t xml:space="preserve"> representante”</w:t>
      </w:r>
      <w:r w:rsidR="00184B6D" w:rsidRPr="00895E40">
        <w:rPr>
          <w:rStyle w:val="markedcontent"/>
          <w:rFonts w:ascii="Verdana" w:hAnsi="Verdana" w:cs="Arial"/>
          <w:sz w:val="20"/>
          <w:szCs w:val="20"/>
        </w:rPr>
        <w:t>)</w:t>
      </w:r>
      <w:r w:rsidR="004E4525" w:rsidRPr="000E736A">
        <w:rPr>
          <w:rStyle w:val="Refdenotaalpie"/>
          <w:rFonts w:ascii="Verdana" w:hAnsi="Verdana" w:cs="Arial"/>
          <w:sz w:val="20"/>
          <w:szCs w:val="20"/>
        </w:rPr>
        <w:footnoteReference w:id="1"/>
      </w:r>
      <w:r w:rsidR="00A712A5" w:rsidRPr="00895E40">
        <w:rPr>
          <w:rStyle w:val="markedcontent"/>
          <w:rFonts w:ascii="Verdana" w:hAnsi="Verdana" w:cs="Arial"/>
          <w:sz w:val="20"/>
          <w:szCs w:val="20"/>
        </w:rPr>
        <w:t>; el escrito de</w:t>
      </w:r>
      <w:r w:rsidR="00AC1B89">
        <w:rPr>
          <w:rStyle w:val="markedcontent"/>
          <w:rFonts w:ascii="Verdana" w:hAnsi="Verdana" w:cs="Arial"/>
          <w:sz w:val="20"/>
          <w:szCs w:val="20"/>
        </w:rPr>
        <w:t xml:space="preserve"> </w:t>
      </w:r>
      <w:r w:rsidR="00A712A5" w:rsidRPr="00895E40">
        <w:rPr>
          <w:rStyle w:val="markedcontent"/>
          <w:rFonts w:ascii="Verdana" w:hAnsi="Verdana" w:cs="Arial"/>
          <w:sz w:val="20"/>
          <w:szCs w:val="20"/>
        </w:rPr>
        <w:t>contestación al sometimiento del caso y al escrito de solicitudes y argumentos (en adelante “escrito de</w:t>
      </w:r>
      <w:r w:rsidRPr="00895E40">
        <w:rPr>
          <w:rStyle w:val="markedcontent"/>
          <w:rFonts w:ascii="Verdana" w:hAnsi="Verdana" w:cs="Arial"/>
          <w:sz w:val="20"/>
          <w:szCs w:val="20"/>
        </w:rPr>
        <w:t xml:space="preserve"> </w:t>
      </w:r>
      <w:r w:rsidR="005F3C5C">
        <w:rPr>
          <w:rStyle w:val="markedcontent"/>
          <w:rFonts w:ascii="Verdana" w:hAnsi="Verdana" w:cs="Arial"/>
          <w:sz w:val="20"/>
          <w:szCs w:val="20"/>
        </w:rPr>
        <w:t>c</w:t>
      </w:r>
      <w:r w:rsidR="00A712A5" w:rsidRPr="00895E40">
        <w:rPr>
          <w:rFonts w:ascii="Verdana" w:hAnsi="Verdana" w:cs="Verdana"/>
          <w:sz w:val="20"/>
          <w:szCs w:val="20"/>
        </w:rPr>
        <w:t xml:space="preserve">ontestación”) del Estado de </w:t>
      </w:r>
      <w:r w:rsidR="00895E40">
        <w:rPr>
          <w:rFonts w:ascii="Verdana" w:hAnsi="Verdana" w:cs="Verdana"/>
          <w:sz w:val="20"/>
          <w:szCs w:val="20"/>
        </w:rPr>
        <w:t>El Salvador</w:t>
      </w:r>
      <w:r w:rsidR="00A712A5" w:rsidRPr="00895E40">
        <w:rPr>
          <w:rFonts w:ascii="Verdana" w:hAnsi="Verdana" w:cs="Verdana"/>
          <w:sz w:val="20"/>
          <w:szCs w:val="20"/>
        </w:rPr>
        <w:t xml:space="preserve"> (en adelante “</w:t>
      </w:r>
      <w:r w:rsidR="00184B6D" w:rsidRPr="00895E40">
        <w:rPr>
          <w:rFonts w:ascii="Verdana" w:hAnsi="Verdana" w:cs="Verdana"/>
          <w:sz w:val="20"/>
          <w:szCs w:val="20"/>
        </w:rPr>
        <w:t>El Salvador</w:t>
      </w:r>
      <w:r w:rsidR="00A712A5" w:rsidRPr="00895E40">
        <w:rPr>
          <w:rFonts w:ascii="Verdana" w:hAnsi="Verdana" w:cs="Verdana"/>
          <w:sz w:val="20"/>
          <w:szCs w:val="20"/>
        </w:rPr>
        <w:t>” o “el Estado”)</w:t>
      </w:r>
      <w:r w:rsidR="00895E40">
        <w:rPr>
          <w:rFonts w:ascii="Verdana" w:hAnsi="Verdana" w:cs="Verdana"/>
          <w:sz w:val="20"/>
          <w:szCs w:val="20"/>
        </w:rPr>
        <w:t>, en el que reconoció su responsabilidad internacional</w:t>
      </w:r>
      <w:r w:rsidR="00E1146C">
        <w:rPr>
          <w:rStyle w:val="Refdenotaalpie"/>
          <w:rFonts w:ascii="Verdana" w:hAnsi="Verdana" w:cs="Verdana"/>
          <w:sz w:val="20"/>
          <w:szCs w:val="20"/>
        </w:rPr>
        <w:footnoteReference w:id="2"/>
      </w:r>
      <w:r w:rsidR="00895E40">
        <w:rPr>
          <w:rFonts w:ascii="Verdana" w:hAnsi="Verdana" w:cs="Verdana"/>
          <w:sz w:val="20"/>
          <w:szCs w:val="20"/>
        </w:rPr>
        <w:t xml:space="preserve">, así como los escritos de observaciones al reconocimiento de responsabilidad del Estado presentados por la Comisión y por el representante. </w:t>
      </w:r>
    </w:p>
    <w:p w14:paraId="5F9B6971" w14:textId="38F4FCDA" w:rsidR="006F203B" w:rsidRPr="00895E40" w:rsidRDefault="00895E40" w:rsidP="00895E40">
      <w:pPr>
        <w:pStyle w:val="Sinespaciado"/>
        <w:tabs>
          <w:tab w:val="left" w:pos="0"/>
          <w:tab w:val="left" w:pos="567"/>
        </w:tabs>
        <w:autoSpaceDE w:val="0"/>
        <w:autoSpaceDN w:val="0"/>
        <w:adjustRightInd w:val="0"/>
        <w:ind w:right="22"/>
        <w:contextualSpacing/>
        <w:jc w:val="both"/>
        <w:rPr>
          <w:rStyle w:val="markedcontent"/>
          <w:rFonts w:ascii="Verdana" w:hAnsi="Verdana" w:cs="Verdana"/>
          <w:sz w:val="20"/>
          <w:szCs w:val="20"/>
        </w:rPr>
      </w:pPr>
      <w:r>
        <w:rPr>
          <w:rFonts w:ascii="Verdana" w:hAnsi="Verdana" w:cs="Verdana"/>
          <w:sz w:val="20"/>
          <w:szCs w:val="20"/>
        </w:rPr>
        <w:t xml:space="preserve"> </w:t>
      </w:r>
    </w:p>
    <w:p w14:paraId="22C06F06" w14:textId="12916CE6" w:rsidR="00875272" w:rsidRPr="00875272" w:rsidRDefault="00875272" w:rsidP="00875272">
      <w:pPr>
        <w:pStyle w:val="Sinespaciado"/>
        <w:numPr>
          <w:ilvl w:val="0"/>
          <w:numId w:val="26"/>
        </w:numPr>
        <w:tabs>
          <w:tab w:val="left" w:pos="0"/>
          <w:tab w:val="left" w:pos="567"/>
        </w:tabs>
        <w:autoSpaceDE w:val="0"/>
        <w:autoSpaceDN w:val="0"/>
        <w:adjustRightInd w:val="0"/>
        <w:ind w:left="0" w:right="22" w:firstLine="0"/>
        <w:contextualSpacing/>
        <w:jc w:val="both"/>
        <w:rPr>
          <w:rStyle w:val="markedcontent"/>
          <w:rFonts w:ascii="Verdana" w:hAnsi="Verdana" w:cs="Verdana"/>
          <w:sz w:val="20"/>
          <w:szCs w:val="20"/>
        </w:rPr>
      </w:pPr>
      <w:r>
        <w:rPr>
          <w:rStyle w:val="markedcontent"/>
          <w:rFonts w:ascii="Verdana" w:hAnsi="Verdana" w:cs="Arial"/>
          <w:sz w:val="20"/>
          <w:szCs w:val="20"/>
        </w:rPr>
        <w:t>Las comunicaciones</w:t>
      </w:r>
      <w:r w:rsidR="006F203B">
        <w:rPr>
          <w:rStyle w:val="markedcontent"/>
          <w:rFonts w:ascii="Verdana" w:hAnsi="Verdana" w:cs="Arial"/>
          <w:sz w:val="20"/>
          <w:szCs w:val="20"/>
        </w:rPr>
        <w:t xml:space="preserve"> de </w:t>
      </w:r>
      <w:r w:rsidR="00747B4F">
        <w:rPr>
          <w:rStyle w:val="markedcontent"/>
          <w:rFonts w:ascii="Verdana" w:hAnsi="Verdana" w:cs="Arial"/>
          <w:sz w:val="20"/>
          <w:szCs w:val="20"/>
        </w:rPr>
        <w:t>31</w:t>
      </w:r>
      <w:r w:rsidR="006F203B">
        <w:rPr>
          <w:rStyle w:val="markedcontent"/>
          <w:rFonts w:ascii="Verdana" w:hAnsi="Verdana" w:cs="Arial"/>
          <w:sz w:val="20"/>
          <w:szCs w:val="20"/>
        </w:rPr>
        <w:t xml:space="preserve"> de </w:t>
      </w:r>
      <w:r w:rsidR="00747B4F">
        <w:rPr>
          <w:rStyle w:val="markedcontent"/>
          <w:rFonts w:ascii="Verdana" w:hAnsi="Verdana" w:cs="Arial"/>
          <w:sz w:val="20"/>
          <w:szCs w:val="20"/>
        </w:rPr>
        <w:t>julio</w:t>
      </w:r>
      <w:r w:rsidR="006F203B">
        <w:rPr>
          <w:rStyle w:val="markedcontent"/>
          <w:rFonts w:ascii="Verdana" w:hAnsi="Verdana" w:cs="Arial"/>
          <w:sz w:val="20"/>
          <w:szCs w:val="20"/>
        </w:rPr>
        <w:t xml:space="preserve"> de 2023, por medio de las cuales el Estado y la Comisión presentaron sus listas definitivas de declarantes</w:t>
      </w:r>
      <w:r w:rsidR="006C28D9" w:rsidRPr="006C28D9">
        <w:rPr>
          <w:rStyle w:val="markedcontent"/>
          <w:rFonts w:ascii="Verdana" w:hAnsi="Verdana" w:cs="Arial"/>
          <w:sz w:val="20"/>
          <w:szCs w:val="20"/>
        </w:rPr>
        <w:t>.</w:t>
      </w:r>
      <w:r>
        <w:rPr>
          <w:rStyle w:val="markedcontent"/>
          <w:rFonts w:ascii="Verdana" w:hAnsi="Verdana" w:cs="Arial"/>
          <w:sz w:val="20"/>
          <w:szCs w:val="20"/>
        </w:rPr>
        <w:t xml:space="preserve"> El representante no presentó lista definitiva de declarantes.</w:t>
      </w:r>
    </w:p>
    <w:p w14:paraId="2591B69D" w14:textId="77777777" w:rsidR="00875272" w:rsidRPr="00875272" w:rsidRDefault="00875272" w:rsidP="00875272">
      <w:pPr>
        <w:pStyle w:val="Sinespaciado"/>
        <w:tabs>
          <w:tab w:val="left" w:pos="0"/>
          <w:tab w:val="left" w:pos="567"/>
        </w:tabs>
        <w:autoSpaceDE w:val="0"/>
        <w:autoSpaceDN w:val="0"/>
        <w:adjustRightInd w:val="0"/>
        <w:ind w:right="22"/>
        <w:contextualSpacing/>
        <w:jc w:val="both"/>
        <w:rPr>
          <w:rStyle w:val="markedcontent"/>
          <w:rFonts w:ascii="Verdana" w:hAnsi="Verdana" w:cs="Verdana"/>
          <w:sz w:val="20"/>
          <w:szCs w:val="20"/>
        </w:rPr>
      </w:pPr>
    </w:p>
    <w:p w14:paraId="708AB13B" w14:textId="592033A3" w:rsidR="00F15225" w:rsidRDefault="00111976" w:rsidP="00F15225">
      <w:pPr>
        <w:pStyle w:val="Sinespaciado"/>
        <w:numPr>
          <w:ilvl w:val="0"/>
          <w:numId w:val="26"/>
        </w:numPr>
        <w:tabs>
          <w:tab w:val="left" w:pos="0"/>
          <w:tab w:val="left" w:pos="567"/>
        </w:tabs>
        <w:autoSpaceDE w:val="0"/>
        <w:autoSpaceDN w:val="0"/>
        <w:adjustRightInd w:val="0"/>
        <w:ind w:left="0" w:right="22" w:firstLine="0"/>
        <w:contextualSpacing/>
        <w:jc w:val="both"/>
        <w:rPr>
          <w:rFonts w:ascii="Verdana" w:hAnsi="Verdana" w:cs="Verdana"/>
          <w:sz w:val="20"/>
          <w:szCs w:val="20"/>
        </w:rPr>
      </w:pPr>
      <w:r>
        <w:rPr>
          <w:rFonts w:ascii="Verdana" w:hAnsi="Verdana" w:cs="Verdana"/>
          <w:sz w:val="20"/>
          <w:szCs w:val="20"/>
        </w:rPr>
        <w:t>L</w:t>
      </w:r>
      <w:r w:rsidRPr="00111976">
        <w:rPr>
          <w:rFonts w:ascii="Verdana" w:hAnsi="Verdana" w:cs="Verdana"/>
          <w:sz w:val="20"/>
          <w:szCs w:val="20"/>
        </w:rPr>
        <w:t xml:space="preserve">a Nota de la Secretaría </w:t>
      </w:r>
      <w:r w:rsidR="009100A8">
        <w:rPr>
          <w:rFonts w:ascii="Verdana" w:hAnsi="Verdana" w:cs="Verdana"/>
          <w:sz w:val="20"/>
          <w:szCs w:val="20"/>
        </w:rPr>
        <w:t xml:space="preserve">de la Corte Interamericana (en adelante “la Secretaría”) </w:t>
      </w:r>
      <w:r w:rsidRPr="00111976">
        <w:rPr>
          <w:rFonts w:ascii="Verdana" w:hAnsi="Verdana" w:cs="Verdana"/>
          <w:sz w:val="20"/>
          <w:szCs w:val="20"/>
        </w:rPr>
        <w:t xml:space="preserve">de 4 de agosto de 2023 </w:t>
      </w:r>
      <w:r>
        <w:rPr>
          <w:rFonts w:ascii="Verdana" w:hAnsi="Verdana" w:cs="Verdana"/>
          <w:sz w:val="20"/>
          <w:szCs w:val="20"/>
        </w:rPr>
        <w:t xml:space="preserve">mediante la cual se solicitó al Estado aclarar si las personas ofrecidas como declarantes “a título </w:t>
      </w:r>
      <w:proofErr w:type="gramStart"/>
      <w:r>
        <w:rPr>
          <w:rFonts w:ascii="Verdana" w:hAnsi="Verdana" w:cs="Verdana"/>
          <w:sz w:val="20"/>
          <w:szCs w:val="20"/>
        </w:rPr>
        <w:t xml:space="preserve">informativo”  </w:t>
      </w:r>
      <w:r w:rsidR="009E774B">
        <w:rPr>
          <w:rFonts w:ascii="Verdana" w:hAnsi="Verdana" w:cs="Verdana"/>
          <w:sz w:val="20"/>
          <w:szCs w:val="20"/>
        </w:rPr>
        <w:t>rendirían</w:t>
      </w:r>
      <w:proofErr w:type="gramEnd"/>
      <w:r>
        <w:rPr>
          <w:rFonts w:ascii="Verdana" w:hAnsi="Verdana" w:cs="Verdana"/>
          <w:sz w:val="20"/>
          <w:szCs w:val="20"/>
        </w:rPr>
        <w:t xml:space="preserve"> su declaración en calidad de testigos o peritos, y la comunicación del Estado de 10 de agosto de 2023 mediante la cual solicitó que las declaraciones ofrecidas sean rendidas en calidad de “testigos”. </w:t>
      </w:r>
    </w:p>
    <w:p w14:paraId="11CDC48C" w14:textId="77777777" w:rsidR="00111976" w:rsidRPr="00111976" w:rsidRDefault="00111976" w:rsidP="00111976">
      <w:pPr>
        <w:pStyle w:val="Sinespaciado"/>
        <w:tabs>
          <w:tab w:val="left" w:pos="0"/>
          <w:tab w:val="left" w:pos="567"/>
        </w:tabs>
        <w:autoSpaceDE w:val="0"/>
        <w:autoSpaceDN w:val="0"/>
        <w:adjustRightInd w:val="0"/>
        <w:ind w:right="22"/>
        <w:contextualSpacing/>
        <w:jc w:val="both"/>
        <w:rPr>
          <w:rStyle w:val="markedcontent"/>
          <w:rFonts w:ascii="Verdana" w:hAnsi="Verdana" w:cs="Verdana"/>
          <w:sz w:val="20"/>
          <w:szCs w:val="20"/>
        </w:rPr>
      </w:pPr>
    </w:p>
    <w:p w14:paraId="67624184" w14:textId="3EAEA1BF" w:rsidR="009D79C4" w:rsidRPr="009E774B" w:rsidRDefault="006C28D9" w:rsidP="006C28D9">
      <w:pPr>
        <w:pStyle w:val="Sinespaciado"/>
        <w:numPr>
          <w:ilvl w:val="0"/>
          <w:numId w:val="26"/>
        </w:numPr>
        <w:tabs>
          <w:tab w:val="left" w:pos="0"/>
          <w:tab w:val="left" w:pos="567"/>
        </w:tabs>
        <w:autoSpaceDE w:val="0"/>
        <w:autoSpaceDN w:val="0"/>
        <w:adjustRightInd w:val="0"/>
        <w:ind w:left="0" w:right="22" w:firstLine="0"/>
        <w:contextualSpacing/>
        <w:jc w:val="both"/>
        <w:rPr>
          <w:rStyle w:val="markedcontent"/>
          <w:rFonts w:ascii="Verdana" w:hAnsi="Verdana" w:cs="Verdana"/>
          <w:sz w:val="20"/>
          <w:szCs w:val="20"/>
        </w:rPr>
      </w:pPr>
      <w:r w:rsidRPr="003951AC">
        <w:rPr>
          <w:rStyle w:val="markedcontent"/>
          <w:rFonts w:ascii="Verdana" w:hAnsi="Verdana" w:cs="Arial"/>
          <w:sz w:val="20"/>
          <w:szCs w:val="20"/>
        </w:rPr>
        <w:t>Ni el representante ni la Comisión presentaron observaciones a la lista definitiva del Estado</w:t>
      </w:r>
      <w:r w:rsidR="007B35CF" w:rsidRPr="003951AC">
        <w:rPr>
          <w:rStyle w:val="Refdenotaalpie"/>
          <w:rFonts w:ascii="Verdana" w:hAnsi="Verdana" w:cs="Arial"/>
          <w:sz w:val="20"/>
          <w:szCs w:val="20"/>
        </w:rPr>
        <w:footnoteReference w:id="3"/>
      </w:r>
      <w:r w:rsidR="007B35CF" w:rsidRPr="003951AC">
        <w:rPr>
          <w:rStyle w:val="markedcontent"/>
          <w:rFonts w:ascii="Verdana" w:hAnsi="Verdana" w:cs="Arial"/>
          <w:sz w:val="20"/>
          <w:szCs w:val="20"/>
        </w:rPr>
        <w:t>.</w:t>
      </w:r>
    </w:p>
    <w:p w14:paraId="03F5E381" w14:textId="77777777" w:rsidR="009E774B" w:rsidRDefault="009E774B" w:rsidP="009E774B">
      <w:pPr>
        <w:pStyle w:val="Prrafodelista"/>
        <w:rPr>
          <w:rStyle w:val="markedcontent"/>
          <w:rFonts w:cs="Verdana"/>
        </w:rPr>
      </w:pPr>
    </w:p>
    <w:p w14:paraId="4A8F6155" w14:textId="0A866E0A" w:rsidR="000725B2" w:rsidRPr="000E736A" w:rsidRDefault="001B04AB">
      <w:pPr>
        <w:rPr>
          <w:b/>
          <w:bCs/>
        </w:rPr>
      </w:pPr>
      <w:r w:rsidRPr="000E736A">
        <w:rPr>
          <w:b/>
          <w:bCs/>
        </w:rPr>
        <w:t xml:space="preserve">CONSIDERANDO QUE: </w:t>
      </w:r>
    </w:p>
    <w:p w14:paraId="62383565" w14:textId="51E10FD7" w:rsidR="001B04AB" w:rsidRPr="000E736A" w:rsidRDefault="001B04AB">
      <w:pPr>
        <w:rPr>
          <w:b/>
          <w:bCs/>
        </w:rPr>
      </w:pPr>
    </w:p>
    <w:p w14:paraId="448CEB82" w14:textId="4F078347" w:rsidR="00396A54" w:rsidRDefault="00542B29" w:rsidP="00D307B4">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0E736A">
        <w:rPr>
          <w:rFonts w:ascii="Verdana" w:hAnsi="Verdana" w:cs="Verdana"/>
          <w:sz w:val="20"/>
          <w:szCs w:val="20"/>
        </w:rPr>
        <w:lastRenderedPageBreak/>
        <w:t>El ofrecimiento y la admisión de la prueba, así como la citación de presuntas víctimas, testigos y peritos, se encuentran regulados en los artículos 35.1.f, 40.2.c, 41.1.c, 46, 47, 48, 49, 50 y 57 del Reglamento de la Corte Interamericana de Derechos Humanos (en adelante “la Corte” o “el Tribunal”).</w:t>
      </w:r>
    </w:p>
    <w:p w14:paraId="201E3B9A" w14:textId="77777777" w:rsidR="0054381B" w:rsidRDefault="0054381B" w:rsidP="0054381B">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225AF627" w14:textId="05D651AE" w:rsidR="00E77C5B" w:rsidRPr="00E77C5B" w:rsidRDefault="0054381B" w:rsidP="00E77C5B">
      <w:pPr>
        <w:pStyle w:val="Sinespaciado"/>
        <w:numPr>
          <w:ilvl w:val="0"/>
          <w:numId w:val="32"/>
        </w:numPr>
        <w:tabs>
          <w:tab w:val="left" w:pos="0"/>
          <w:tab w:val="left" w:pos="567"/>
        </w:tabs>
        <w:autoSpaceDE w:val="0"/>
        <w:autoSpaceDN w:val="0"/>
        <w:adjustRightInd w:val="0"/>
        <w:ind w:left="0" w:right="22" w:firstLine="0"/>
        <w:contextualSpacing/>
        <w:jc w:val="both"/>
        <w:rPr>
          <w:rFonts w:cs="Verdana"/>
        </w:rPr>
      </w:pPr>
      <w:r w:rsidRPr="00AC7515">
        <w:rPr>
          <w:rFonts w:ascii="Verdana" w:hAnsi="Verdana" w:cs="Verdana"/>
          <w:sz w:val="20"/>
          <w:szCs w:val="20"/>
        </w:rPr>
        <w:t xml:space="preserve">La Comisión Interamericana, en el escrito de sometimiento del caso, ofreció </w:t>
      </w:r>
      <w:r w:rsidR="00AE0FA9">
        <w:rPr>
          <w:rFonts w:ascii="Verdana" w:hAnsi="Verdana" w:cs="Verdana"/>
          <w:sz w:val="20"/>
          <w:szCs w:val="20"/>
        </w:rPr>
        <w:t>la declaración de un</w:t>
      </w:r>
      <w:r w:rsidR="0014009E">
        <w:rPr>
          <w:rFonts w:ascii="Verdana" w:hAnsi="Verdana" w:cs="Verdana"/>
          <w:sz w:val="20"/>
          <w:szCs w:val="20"/>
        </w:rPr>
        <w:t>a</w:t>
      </w:r>
      <w:r w:rsidR="00AE0FA9">
        <w:rPr>
          <w:rFonts w:ascii="Verdana" w:hAnsi="Verdana" w:cs="Verdana"/>
          <w:sz w:val="20"/>
          <w:szCs w:val="20"/>
        </w:rPr>
        <w:t xml:space="preserve"> perit</w:t>
      </w:r>
      <w:r w:rsidR="0014009E">
        <w:rPr>
          <w:rFonts w:ascii="Verdana" w:hAnsi="Verdana" w:cs="Verdana"/>
          <w:sz w:val="20"/>
          <w:szCs w:val="20"/>
        </w:rPr>
        <w:t>a</w:t>
      </w:r>
      <w:r>
        <w:rPr>
          <w:rStyle w:val="Refdenotaalpie"/>
          <w:rFonts w:ascii="Verdana" w:hAnsi="Verdana" w:cs="Verdana"/>
          <w:sz w:val="20"/>
          <w:szCs w:val="20"/>
        </w:rPr>
        <w:footnoteReference w:id="4"/>
      </w:r>
      <w:r w:rsidRPr="00AC7515">
        <w:rPr>
          <w:rFonts w:ascii="Verdana" w:hAnsi="Verdana" w:cs="Verdana"/>
          <w:sz w:val="20"/>
          <w:szCs w:val="20"/>
        </w:rPr>
        <w:t>.</w:t>
      </w:r>
      <w:r w:rsidR="006C6303" w:rsidRPr="00AC7515">
        <w:rPr>
          <w:rFonts w:ascii="Verdana" w:hAnsi="Verdana" w:cs="Verdana"/>
          <w:sz w:val="20"/>
          <w:szCs w:val="20"/>
        </w:rPr>
        <w:t xml:space="preserve"> </w:t>
      </w:r>
      <w:r w:rsidR="00C824A6" w:rsidRPr="00AC7515">
        <w:rPr>
          <w:rFonts w:ascii="Verdana" w:hAnsi="Verdana" w:cs="Verdana"/>
          <w:sz w:val="20"/>
          <w:szCs w:val="20"/>
        </w:rPr>
        <w:t xml:space="preserve">El representante en su escrito de solicitudes y </w:t>
      </w:r>
      <w:proofErr w:type="gramStart"/>
      <w:r w:rsidR="00C824A6" w:rsidRPr="00AC7515">
        <w:rPr>
          <w:rFonts w:ascii="Verdana" w:hAnsi="Verdana" w:cs="Verdana"/>
          <w:sz w:val="20"/>
          <w:szCs w:val="20"/>
        </w:rPr>
        <w:t>argumentos,</w:t>
      </w:r>
      <w:proofErr w:type="gramEnd"/>
      <w:r w:rsidR="00C824A6" w:rsidRPr="00AC7515">
        <w:rPr>
          <w:rFonts w:ascii="Verdana" w:hAnsi="Verdana" w:cs="Verdana"/>
          <w:sz w:val="20"/>
          <w:szCs w:val="20"/>
        </w:rPr>
        <w:t xml:space="preserve"> </w:t>
      </w:r>
      <w:r w:rsidR="009D79C4">
        <w:rPr>
          <w:rFonts w:ascii="Verdana" w:hAnsi="Verdana" w:cs="Verdana"/>
          <w:sz w:val="20"/>
          <w:szCs w:val="20"/>
        </w:rPr>
        <w:t>ofreció</w:t>
      </w:r>
      <w:r w:rsidR="00C824A6" w:rsidRPr="00AC7515">
        <w:rPr>
          <w:rFonts w:ascii="Verdana" w:hAnsi="Verdana" w:cs="Verdana"/>
          <w:sz w:val="20"/>
          <w:szCs w:val="20"/>
        </w:rPr>
        <w:t xml:space="preserve"> </w:t>
      </w:r>
      <w:r w:rsidR="00AC7515" w:rsidRPr="00AC7515">
        <w:rPr>
          <w:rFonts w:ascii="Verdana" w:hAnsi="Verdana" w:cs="Verdana"/>
          <w:sz w:val="20"/>
          <w:szCs w:val="20"/>
        </w:rPr>
        <w:t xml:space="preserve">las declaraciones de </w:t>
      </w:r>
      <w:r w:rsidR="000E0923">
        <w:rPr>
          <w:rFonts w:ascii="Verdana" w:hAnsi="Verdana" w:cs="Verdana"/>
          <w:sz w:val="20"/>
          <w:szCs w:val="20"/>
        </w:rPr>
        <w:t>cuatro</w:t>
      </w:r>
      <w:r w:rsidR="00AC7515" w:rsidRPr="00AC7515">
        <w:rPr>
          <w:rFonts w:ascii="Verdana" w:hAnsi="Verdana" w:cs="Verdana"/>
          <w:sz w:val="20"/>
          <w:szCs w:val="20"/>
        </w:rPr>
        <w:t xml:space="preserve"> presuntas víctimas</w:t>
      </w:r>
      <w:r w:rsidR="00A10012">
        <w:rPr>
          <w:rStyle w:val="Refdenotaalpie"/>
          <w:rFonts w:ascii="Verdana" w:hAnsi="Verdana" w:cs="Verdana"/>
          <w:sz w:val="20"/>
          <w:szCs w:val="20"/>
        </w:rPr>
        <w:footnoteReference w:id="5"/>
      </w:r>
      <w:r w:rsidR="00AC7515" w:rsidRPr="00AC7515">
        <w:rPr>
          <w:rFonts w:ascii="Verdana" w:hAnsi="Verdana" w:cs="Verdana"/>
          <w:sz w:val="20"/>
          <w:szCs w:val="20"/>
        </w:rPr>
        <w:t xml:space="preserve">, </w:t>
      </w:r>
      <w:r w:rsidR="000E0923">
        <w:rPr>
          <w:rFonts w:ascii="Verdana" w:hAnsi="Verdana" w:cs="Verdana"/>
          <w:sz w:val="20"/>
          <w:szCs w:val="20"/>
        </w:rPr>
        <w:t>un</w:t>
      </w:r>
      <w:r w:rsidR="00AC7515" w:rsidRPr="00AC7515">
        <w:rPr>
          <w:rFonts w:ascii="Verdana" w:hAnsi="Verdana" w:cs="Verdana"/>
          <w:sz w:val="20"/>
          <w:szCs w:val="20"/>
        </w:rPr>
        <w:t xml:space="preserve"> testigo</w:t>
      </w:r>
      <w:r w:rsidR="00A10012">
        <w:rPr>
          <w:rStyle w:val="Refdenotaalpie"/>
          <w:rFonts w:ascii="Verdana" w:hAnsi="Verdana" w:cs="Verdana"/>
          <w:sz w:val="20"/>
          <w:szCs w:val="20"/>
        </w:rPr>
        <w:footnoteReference w:id="6"/>
      </w:r>
      <w:r w:rsidR="00AC7515" w:rsidRPr="00AC7515">
        <w:rPr>
          <w:rFonts w:ascii="Verdana" w:hAnsi="Verdana" w:cs="Verdana"/>
          <w:sz w:val="20"/>
          <w:szCs w:val="20"/>
        </w:rPr>
        <w:t xml:space="preserve"> y </w:t>
      </w:r>
      <w:r w:rsidR="000E0923">
        <w:rPr>
          <w:rFonts w:ascii="Verdana" w:hAnsi="Verdana" w:cs="Verdana"/>
          <w:sz w:val="20"/>
          <w:szCs w:val="20"/>
        </w:rPr>
        <w:t>tres</w:t>
      </w:r>
      <w:r w:rsidR="00AC7515" w:rsidRPr="00AC7515">
        <w:rPr>
          <w:rFonts w:ascii="Verdana" w:hAnsi="Verdana" w:cs="Verdana"/>
          <w:sz w:val="20"/>
          <w:szCs w:val="20"/>
        </w:rPr>
        <w:t xml:space="preserve"> </w:t>
      </w:r>
      <w:r w:rsidR="00AC7515">
        <w:rPr>
          <w:rFonts w:ascii="Verdana" w:hAnsi="Verdana" w:cs="Verdana"/>
          <w:sz w:val="20"/>
          <w:szCs w:val="20"/>
        </w:rPr>
        <w:t>peritos</w:t>
      </w:r>
      <w:r w:rsidR="00A10012">
        <w:rPr>
          <w:rStyle w:val="Refdenotaalpie"/>
          <w:rFonts w:ascii="Verdana" w:hAnsi="Verdana" w:cs="Verdana"/>
          <w:sz w:val="20"/>
          <w:szCs w:val="20"/>
        </w:rPr>
        <w:footnoteReference w:id="7"/>
      </w:r>
      <w:r w:rsidR="00AC7515">
        <w:rPr>
          <w:rFonts w:ascii="Verdana" w:hAnsi="Verdana" w:cs="Verdana"/>
          <w:sz w:val="20"/>
          <w:szCs w:val="20"/>
        </w:rPr>
        <w:t xml:space="preserve">. </w:t>
      </w:r>
      <w:proofErr w:type="gramStart"/>
      <w:r w:rsidR="000E0923">
        <w:rPr>
          <w:rFonts w:ascii="Verdana" w:hAnsi="Verdana" w:cs="Verdana"/>
          <w:sz w:val="20"/>
          <w:szCs w:val="20"/>
        </w:rPr>
        <w:t>Asimismo</w:t>
      </w:r>
      <w:proofErr w:type="gramEnd"/>
      <w:r w:rsidR="000E0923">
        <w:rPr>
          <w:rFonts w:ascii="Verdana" w:hAnsi="Verdana" w:cs="Verdana"/>
          <w:sz w:val="20"/>
          <w:szCs w:val="20"/>
        </w:rPr>
        <w:t xml:space="preserve"> se adhirió al ofrecimiento del peritaje realizado por la Comisión. </w:t>
      </w:r>
    </w:p>
    <w:p w14:paraId="46D0B0A9" w14:textId="77777777" w:rsidR="00E77C5B" w:rsidRPr="00E77C5B" w:rsidRDefault="00E77C5B" w:rsidP="00E77C5B">
      <w:pPr>
        <w:pStyle w:val="Sinespaciado"/>
        <w:tabs>
          <w:tab w:val="left" w:pos="0"/>
          <w:tab w:val="left" w:pos="567"/>
        </w:tabs>
        <w:autoSpaceDE w:val="0"/>
        <w:autoSpaceDN w:val="0"/>
        <w:adjustRightInd w:val="0"/>
        <w:ind w:right="22"/>
        <w:contextualSpacing/>
        <w:jc w:val="both"/>
        <w:rPr>
          <w:rFonts w:cs="Verdana"/>
        </w:rPr>
      </w:pPr>
    </w:p>
    <w:p w14:paraId="270B958C" w14:textId="2E4DBA3A" w:rsidR="00AC7515" w:rsidRPr="00F15225" w:rsidRDefault="00AC7515" w:rsidP="00F15225">
      <w:pPr>
        <w:pStyle w:val="Sinespaciado"/>
        <w:numPr>
          <w:ilvl w:val="0"/>
          <w:numId w:val="32"/>
        </w:numPr>
        <w:tabs>
          <w:tab w:val="left" w:pos="0"/>
          <w:tab w:val="left" w:pos="567"/>
        </w:tabs>
        <w:autoSpaceDE w:val="0"/>
        <w:autoSpaceDN w:val="0"/>
        <w:adjustRightInd w:val="0"/>
        <w:ind w:left="0" w:right="22" w:firstLine="0"/>
        <w:contextualSpacing/>
        <w:jc w:val="both"/>
        <w:rPr>
          <w:rFonts w:cs="Verdana"/>
        </w:rPr>
      </w:pPr>
      <w:r>
        <w:rPr>
          <w:rFonts w:ascii="Verdana" w:hAnsi="Verdana" w:cs="Verdana"/>
          <w:sz w:val="20"/>
          <w:szCs w:val="20"/>
        </w:rPr>
        <w:t>Por su parte, el Estado salvadoreño, en su escrito de contestación, ofreció</w:t>
      </w:r>
      <w:r w:rsidR="0014009E">
        <w:rPr>
          <w:rFonts w:ascii="Verdana" w:hAnsi="Verdana" w:cs="Verdana"/>
          <w:sz w:val="20"/>
          <w:szCs w:val="20"/>
        </w:rPr>
        <w:t xml:space="preserve"> dos declaraciones a “título informativo”, </w:t>
      </w:r>
      <w:r w:rsidR="00E77C5B">
        <w:rPr>
          <w:rFonts w:ascii="Verdana" w:hAnsi="Verdana" w:cs="Verdana"/>
          <w:sz w:val="20"/>
          <w:szCs w:val="20"/>
        </w:rPr>
        <w:t xml:space="preserve">sin mencionar el nombre de la persona que rendiría </w:t>
      </w:r>
      <w:r w:rsidR="00880DB3">
        <w:rPr>
          <w:rFonts w:ascii="Verdana" w:hAnsi="Verdana" w:cs="Verdana"/>
          <w:sz w:val="20"/>
          <w:szCs w:val="20"/>
        </w:rPr>
        <w:t>una</w:t>
      </w:r>
      <w:r w:rsidR="00E77C5B">
        <w:rPr>
          <w:rFonts w:ascii="Verdana" w:hAnsi="Verdana" w:cs="Verdana"/>
          <w:sz w:val="20"/>
          <w:szCs w:val="20"/>
        </w:rPr>
        <w:t xml:space="preserve"> de las declaraciones</w:t>
      </w:r>
      <w:r w:rsidR="00A31EFD">
        <w:rPr>
          <w:rStyle w:val="Refdenotaalpie"/>
          <w:rFonts w:ascii="Verdana" w:hAnsi="Verdana" w:cs="Verdana"/>
          <w:sz w:val="20"/>
          <w:szCs w:val="20"/>
        </w:rPr>
        <w:footnoteReference w:id="8"/>
      </w:r>
      <w:r>
        <w:rPr>
          <w:rFonts w:ascii="Verdana" w:hAnsi="Verdana" w:cs="Verdana"/>
          <w:sz w:val="20"/>
          <w:szCs w:val="20"/>
        </w:rPr>
        <w:t xml:space="preserve">. </w:t>
      </w:r>
    </w:p>
    <w:p w14:paraId="4ABC16D5" w14:textId="77777777" w:rsidR="00F15225" w:rsidRPr="00F15225" w:rsidRDefault="00F15225" w:rsidP="00F15225">
      <w:pPr>
        <w:pStyle w:val="Sinespaciado"/>
        <w:tabs>
          <w:tab w:val="left" w:pos="0"/>
          <w:tab w:val="left" w:pos="567"/>
        </w:tabs>
        <w:autoSpaceDE w:val="0"/>
        <w:autoSpaceDN w:val="0"/>
        <w:adjustRightInd w:val="0"/>
        <w:ind w:right="22"/>
        <w:contextualSpacing/>
        <w:jc w:val="both"/>
        <w:rPr>
          <w:rFonts w:cs="Verdana"/>
        </w:rPr>
      </w:pPr>
    </w:p>
    <w:p w14:paraId="5DB1A459" w14:textId="1DD7FAC0" w:rsidR="00A10012" w:rsidRDefault="00AC7515" w:rsidP="00D50F1A">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74DE2">
        <w:rPr>
          <w:rFonts w:ascii="Verdana" w:hAnsi="Verdana" w:cs="Verdana"/>
          <w:sz w:val="20"/>
          <w:szCs w:val="20"/>
        </w:rPr>
        <w:t>La Comisión, al presentar su lista definitiva de declarantes</w:t>
      </w:r>
      <w:r w:rsidR="00747B4F" w:rsidRPr="00D74DE2">
        <w:rPr>
          <w:rFonts w:ascii="Verdana" w:hAnsi="Verdana" w:cs="Verdana"/>
          <w:sz w:val="20"/>
          <w:szCs w:val="20"/>
        </w:rPr>
        <w:t>,</w:t>
      </w:r>
      <w:r w:rsidRPr="00D74DE2">
        <w:rPr>
          <w:rFonts w:ascii="Verdana" w:hAnsi="Verdana" w:cs="Verdana"/>
          <w:sz w:val="20"/>
          <w:szCs w:val="20"/>
        </w:rPr>
        <w:t xml:space="preserve"> </w:t>
      </w:r>
      <w:r w:rsidR="00A31EFD" w:rsidRPr="00D74DE2">
        <w:rPr>
          <w:rFonts w:ascii="Verdana" w:hAnsi="Verdana" w:cs="Verdana"/>
          <w:sz w:val="20"/>
          <w:szCs w:val="20"/>
        </w:rPr>
        <w:t>informó a la Corte que la perita ofrecida no podr</w:t>
      </w:r>
      <w:r w:rsidR="009E774B">
        <w:rPr>
          <w:rFonts w:ascii="Verdana" w:hAnsi="Verdana" w:cs="Verdana"/>
          <w:sz w:val="20"/>
          <w:szCs w:val="20"/>
        </w:rPr>
        <w:t>ía</w:t>
      </w:r>
      <w:r w:rsidR="00A31EFD" w:rsidRPr="00D74DE2">
        <w:rPr>
          <w:rFonts w:ascii="Verdana" w:hAnsi="Verdana" w:cs="Verdana"/>
          <w:sz w:val="20"/>
          <w:szCs w:val="20"/>
        </w:rPr>
        <w:t xml:space="preserve"> rendir su peritaje debido a una “incompatibilidad derivada de compromisos laborales recientemente asumidos”. </w:t>
      </w:r>
    </w:p>
    <w:p w14:paraId="7D2B13DA" w14:textId="77777777" w:rsidR="00D74DE2" w:rsidRPr="00D74DE2" w:rsidRDefault="00D74DE2" w:rsidP="00D74DE2">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4523A301" w14:textId="788AEFDF" w:rsidR="00A31EFD" w:rsidRPr="00A31EFD" w:rsidRDefault="00A31EFD" w:rsidP="00880DB3">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Pr>
          <w:rFonts w:ascii="Verdana" w:hAnsi="Verdana" w:cs="Verdana"/>
          <w:sz w:val="20"/>
          <w:szCs w:val="20"/>
        </w:rPr>
        <w:t>El Estado salvadoreño,</w:t>
      </w:r>
      <w:r w:rsidR="009E774B">
        <w:rPr>
          <w:rFonts w:ascii="Verdana" w:hAnsi="Verdana" w:cs="Verdana"/>
          <w:sz w:val="20"/>
          <w:szCs w:val="20"/>
        </w:rPr>
        <w:t xml:space="preserve"> por su parte,</w:t>
      </w:r>
      <w:r>
        <w:rPr>
          <w:rFonts w:ascii="Verdana" w:hAnsi="Verdana" w:cs="Verdana"/>
          <w:sz w:val="20"/>
          <w:szCs w:val="20"/>
        </w:rPr>
        <w:t xml:space="preserve"> </w:t>
      </w:r>
      <w:r w:rsidR="00F15225">
        <w:rPr>
          <w:rFonts w:ascii="Verdana" w:hAnsi="Verdana" w:cs="Verdana"/>
          <w:sz w:val="20"/>
          <w:szCs w:val="20"/>
        </w:rPr>
        <w:t xml:space="preserve">reiteró </w:t>
      </w:r>
      <w:r w:rsidR="009E774B">
        <w:rPr>
          <w:rFonts w:ascii="Verdana" w:hAnsi="Verdana" w:cs="Verdana"/>
          <w:sz w:val="20"/>
          <w:szCs w:val="20"/>
        </w:rPr>
        <w:t xml:space="preserve">al presentar su lista definitiva de declarantes </w:t>
      </w:r>
      <w:r w:rsidR="00F15225">
        <w:rPr>
          <w:rFonts w:ascii="Verdana" w:hAnsi="Verdana" w:cs="Verdana"/>
          <w:sz w:val="20"/>
          <w:szCs w:val="20"/>
        </w:rPr>
        <w:t>el ofrecimiento de dos declaraciones a “título informativo”</w:t>
      </w:r>
      <w:r w:rsidR="00880DB3">
        <w:rPr>
          <w:rFonts w:ascii="Verdana" w:hAnsi="Verdana" w:cs="Verdana"/>
          <w:sz w:val="20"/>
          <w:szCs w:val="20"/>
        </w:rPr>
        <w:t xml:space="preserve"> y </w:t>
      </w:r>
      <w:r w:rsidR="006642E5">
        <w:rPr>
          <w:rFonts w:ascii="Verdana" w:hAnsi="Verdana" w:cs="Verdana"/>
          <w:sz w:val="20"/>
          <w:szCs w:val="20"/>
        </w:rPr>
        <w:t xml:space="preserve">solicitó </w:t>
      </w:r>
      <w:r w:rsidR="006442B7">
        <w:rPr>
          <w:rFonts w:ascii="Verdana" w:hAnsi="Verdana" w:cs="Verdana"/>
          <w:sz w:val="20"/>
          <w:szCs w:val="20"/>
        </w:rPr>
        <w:t>recibir</w:t>
      </w:r>
      <w:r>
        <w:rPr>
          <w:rFonts w:ascii="Verdana" w:hAnsi="Verdana" w:cs="Verdana"/>
          <w:sz w:val="20"/>
          <w:szCs w:val="20"/>
        </w:rPr>
        <w:t xml:space="preserve"> la declaración </w:t>
      </w:r>
      <w:r w:rsidR="00747B4F">
        <w:rPr>
          <w:rFonts w:ascii="Verdana" w:hAnsi="Verdana" w:cs="Verdana"/>
          <w:sz w:val="20"/>
          <w:szCs w:val="20"/>
        </w:rPr>
        <w:t>de la señora René Arístides González Benítez ante fedatario público (</w:t>
      </w:r>
      <w:r w:rsidR="00747B4F" w:rsidRPr="00747B4F">
        <w:rPr>
          <w:rFonts w:ascii="Verdana" w:hAnsi="Verdana" w:cs="Verdana"/>
          <w:i/>
          <w:iCs/>
          <w:sz w:val="20"/>
          <w:szCs w:val="20"/>
        </w:rPr>
        <w:t>affidávit</w:t>
      </w:r>
      <w:r w:rsidR="00747B4F">
        <w:rPr>
          <w:rFonts w:ascii="Verdana" w:hAnsi="Verdana" w:cs="Verdana"/>
          <w:sz w:val="20"/>
          <w:szCs w:val="20"/>
        </w:rPr>
        <w:t>) y</w:t>
      </w:r>
      <w:r w:rsidR="006442B7">
        <w:rPr>
          <w:rFonts w:ascii="Verdana" w:hAnsi="Verdana" w:cs="Verdana"/>
          <w:sz w:val="20"/>
          <w:szCs w:val="20"/>
        </w:rPr>
        <w:t xml:space="preserve"> de </w:t>
      </w:r>
      <w:r w:rsidR="00747B4F">
        <w:rPr>
          <w:rFonts w:ascii="Verdana" w:hAnsi="Verdana" w:cs="Verdana"/>
          <w:sz w:val="20"/>
          <w:szCs w:val="20"/>
        </w:rPr>
        <w:t>la señora Elsy Lourdes Flores Sousa</w:t>
      </w:r>
      <w:r w:rsidR="006442B7">
        <w:rPr>
          <w:rFonts w:ascii="Verdana" w:hAnsi="Verdana" w:cs="Verdana"/>
          <w:sz w:val="20"/>
          <w:szCs w:val="20"/>
        </w:rPr>
        <w:t xml:space="preserve"> </w:t>
      </w:r>
      <w:r w:rsidR="00747B4F">
        <w:rPr>
          <w:rFonts w:ascii="Verdana" w:hAnsi="Verdana" w:cs="Verdana"/>
          <w:sz w:val="20"/>
          <w:szCs w:val="20"/>
        </w:rPr>
        <w:t xml:space="preserve">en audiencia pública. </w:t>
      </w:r>
      <w:r w:rsidR="00E77C5B">
        <w:rPr>
          <w:rFonts w:ascii="Verdana" w:hAnsi="Verdana" w:cs="Verdana"/>
          <w:sz w:val="20"/>
          <w:szCs w:val="20"/>
        </w:rPr>
        <w:t xml:space="preserve">Posteriormente el </w:t>
      </w:r>
      <w:r w:rsidR="00E77C5B" w:rsidRPr="00AC1B89">
        <w:rPr>
          <w:rFonts w:ascii="Verdana" w:hAnsi="Verdana" w:cs="Verdana"/>
          <w:sz w:val="20"/>
          <w:szCs w:val="20"/>
        </w:rPr>
        <w:t xml:space="preserve">Estado aclaró que las personas ofrecidas </w:t>
      </w:r>
      <w:r w:rsidR="009E774B" w:rsidRPr="00AC1B89">
        <w:rPr>
          <w:rFonts w:ascii="Verdana" w:hAnsi="Verdana" w:cs="Verdana"/>
          <w:sz w:val="20"/>
          <w:szCs w:val="20"/>
        </w:rPr>
        <w:t>declararían</w:t>
      </w:r>
      <w:r w:rsidR="00E77C5B" w:rsidRPr="00AC1B89">
        <w:rPr>
          <w:rFonts w:ascii="Verdana" w:hAnsi="Verdana" w:cs="Verdana"/>
          <w:sz w:val="20"/>
          <w:szCs w:val="20"/>
        </w:rPr>
        <w:t xml:space="preserve"> en calidad de testigos</w:t>
      </w:r>
      <w:r w:rsidR="00880DB3" w:rsidRPr="00AC1B89">
        <w:rPr>
          <w:rFonts w:ascii="Verdana" w:hAnsi="Verdana" w:cs="Verdana"/>
          <w:sz w:val="20"/>
          <w:szCs w:val="20"/>
        </w:rPr>
        <w:t xml:space="preserve"> (</w:t>
      </w:r>
      <w:r w:rsidR="00880DB3" w:rsidRPr="00AC1B89">
        <w:rPr>
          <w:rFonts w:ascii="Verdana" w:hAnsi="Verdana" w:cs="Verdana"/>
          <w:i/>
          <w:iCs/>
          <w:sz w:val="20"/>
          <w:szCs w:val="20"/>
        </w:rPr>
        <w:t>supra</w:t>
      </w:r>
      <w:r w:rsidR="00880DB3" w:rsidRPr="00AC1B89">
        <w:rPr>
          <w:rFonts w:ascii="Verdana" w:hAnsi="Verdana" w:cs="Verdana"/>
          <w:sz w:val="20"/>
          <w:szCs w:val="20"/>
        </w:rPr>
        <w:t xml:space="preserve"> Visto </w:t>
      </w:r>
      <w:r w:rsidR="006442B7" w:rsidRPr="00AC1B89">
        <w:rPr>
          <w:rFonts w:ascii="Verdana" w:hAnsi="Verdana" w:cs="Verdana"/>
          <w:sz w:val="20"/>
          <w:szCs w:val="20"/>
        </w:rPr>
        <w:t>3</w:t>
      </w:r>
      <w:r w:rsidR="00880DB3" w:rsidRPr="00AC1B89">
        <w:rPr>
          <w:rFonts w:ascii="Verdana" w:hAnsi="Verdana" w:cs="Verdana"/>
          <w:sz w:val="20"/>
          <w:szCs w:val="20"/>
        </w:rPr>
        <w:t>)</w:t>
      </w:r>
      <w:r w:rsidR="00E77C5B" w:rsidRPr="00AC1B89">
        <w:rPr>
          <w:rFonts w:ascii="Verdana" w:hAnsi="Verdana" w:cs="Verdana"/>
          <w:sz w:val="20"/>
          <w:szCs w:val="20"/>
        </w:rPr>
        <w:t>.</w:t>
      </w:r>
      <w:r w:rsidR="00E77C5B">
        <w:rPr>
          <w:rFonts w:ascii="Verdana" w:hAnsi="Verdana" w:cs="Verdana"/>
          <w:b/>
          <w:bCs/>
          <w:sz w:val="20"/>
          <w:szCs w:val="20"/>
        </w:rPr>
        <w:t xml:space="preserve"> </w:t>
      </w:r>
      <w:r w:rsidR="00437972">
        <w:rPr>
          <w:rFonts w:ascii="Verdana" w:hAnsi="Verdana" w:cs="Verdana"/>
          <w:b/>
          <w:bCs/>
          <w:sz w:val="20"/>
          <w:szCs w:val="20"/>
        </w:rPr>
        <w:tab/>
      </w:r>
    </w:p>
    <w:p w14:paraId="0702BB0F" w14:textId="77777777" w:rsidR="00A4292D" w:rsidRPr="000E736A" w:rsidRDefault="00A4292D" w:rsidP="00A4292D">
      <w:pPr>
        <w:pStyle w:val="Sinespaciado"/>
        <w:tabs>
          <w:tab w:val="left" w:pos="0"/>
          <w:tab w:val="left" w:pos="567"/>
        </w:tabs>
        <w:autoSpaceDE w:val="0"/>
        <w:autoSpaceDN w:val="0"/>
        <w:adjustRightInd w:val="0"/>
        <w:ind w:right="22"/>
        <w:contextualSpacing/>
        <w:jc w:val="both"/>
        <w:rPr>
          <w:rStyle w:val="markedcontent"/>
          <w:rFonts w:ascii="Verdana" w:hAnsi="Verdana" w:cs="Arial"/>
          <w:sz w:val="20"/>
          <w:szCs w:val="20"/>
        </w:rPr>
      </w:pPr>
    </w:p>
    <w:p w14:paraId="10D989F8" w14:textId="1E4ACC46" w:rsidR="00EA36F7" w:rsidRPr="000E736A" w:rsidRDefault="00EA36F7" w:rsidP="00D307B4">
      <w:pPr>
        <w:pStyle w:val="Sinespaciado"/>
        <w:numPr>
          <w:ilvl w:val="0"/>
          <w:numId w:val="32"/>
        </w:numPr>
        <w:tabs>
          <w:tab w:val="left" w:pos="0"/>
          <w:tab w:val="left" w:pos="567"/>
        </w:tabs>
        <w:autoSpaceDE w:val="0"/>
        <w:autoSpaceDN w:val="0"/>
        <w:adjustRightInd w:val="0"/>
        <w:ind w:left="0" w:right="22" w:firstLine="0"/>
        <w:contextualSpacing/>
        <w:jc w:val="both"/>
        <w:rPr>
          <w:rStyle w:val="markedcontent"/>
          <w:rFonts w:ascii="Verdana" w:hAnsi="Verdana" w:cs="Arial"/>
          <w:sz w:val="20"/>
          <w:szCs w:val="20"/>
        </w:rPr>
      </w:pPr>
      <w:r w:rsidRPr="000E736A">
        <w:rPr>
          <w:rStyle w:val="markedcontent"/>
          <w:rFonts w:ascii="Verdana" w:hAnsi="Verdana" w:cs="Arial"/>
          <w:sz w:val="20"/>
          <w:szCs w:val="20"/>
        </w:rPr>
        <w:t xml:space="preserve">La Corte garantizó a las partes el derecho de defensa respecto de los ofrecimientos probatorios oportunamente realizados. Ni </w:t>
      </w:r>
      <w:r w:rsidR="00747B4F">
        <w:rPr>
          <w:rStyle w:val="markedcontent"/>
          <w:rFonts w:ascii="Verdana" w:hAnsi="Verdana" w:cs="Arial"/>
          <w:sz w:val="20"/>
          <w:szCs w:val="20"/>
        </w:rPr>
        <w:t xml:space="preserve">el representante </w:t>
      </w:r>
      <w:r w:rsidRPr="000E736A">
        <w:rPr>
          <w:rStyle w:val="markedcontent"/>
          <w:rFonts w:ascii="Verdana" w:hAnsi="Verdana" w:cs="Arial"/>
          <w:sz w:val="20"/>
          <w:szCs w:val="20"/>
        </w:rPr>
        <w:t xml:space="preserve">ni la Comisión formularon observaciones o </w:t>
      </w:r>
      <w:r w:rsidRPr="000E736A">
        <w:rPr>
          <w:rFonts w:ascii="Verdana" w:hAnsi="Verdana" w:cs="Verdana"/>
          <w:sz w:val="20"/>
          <w:szCs w:val="20"/>
        </w:rPr>
        <w:t>recusaciones</w:t>
      </w:r>
      <w:r w:rsidRPr="000E736A">
        <w:rPr>
          <w:rStyle w:val="markedcontent"/>
          <w:rFonts w:ascii="Verdana" w:hAnsi="Verdana" w:cs="Arial"/>
          <w:sz w:val="20"/>
          <w:szCs w:val="20"/>
        </w:rPr>
        <w:t xml:space="preserve"> a los declarantes propuestos</w:t>
      </w:r>
      <w:r w:rsidR="00747B4F">
        <w:rPr>
          <w:rStyle w:val="markedcontent"/>
          <w:rFonts w:ascii="Verdana" w:hAnsi="Verdana" w:cs="Arial"/>
          <w:sz w:val="20"/>
          <w:szCs w:val="20"/>
        </w:rPr>
        <w:t xml:space="preserve"> por el Estado. </w:t>
      </w:r>
    </w:p>
    <w:p w14:paraId="408F7980" w14:textId="25E449F3" w:rsidR="00EA36F7" w:rsidRPr="000E736A" w:rsidRDefault="00EA36F7" w:rsidP="00996AED">
      <w:pPr>
        <w:spacing w:line="240" w:lineRule="auto"/>
        <w:rPr>
          <w:rStyle w:val="markedcontent"/>
          <w:rFonts w:cs="Arial"/>
        </w:rPr>
      </w:pPr>
    </w:p>
    <w:p w14:paraId="23257267" w14:textId="23B62AA8" w:rsidR="00A4292D" w:rsidRDefault="00A4292D" w:rsidP="008062C6">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895E40">
        <w:rPr>
          <w:rFonts w:ascii="Verdana" w:hAnsi="Verdana"/>
          <w:sz w:val="20"/>
          <w:szCs w:val="20"/>
        </w:rPr>
        <w:t xml:space="preserve">En virtud de lo anterior, el </w:t>
      </w:r>
      <w:proofErr w:type="gramStart"/>
      <w:r w:rsidRPr="00895E40">
        <w:rPr>
          <w:rFonts w:ascii="Verdana" w:hAnsi="Verdana"/>
          <w:b/>
          <w:bCs/>
          <w:i/>
          <w:iCs/>
          <w:sz w:val="20"/>
          <w:szCs w:val="20"/>
        </w:rPr>
        <w:t>Presidente</w:t>
      </w:r>
      <w:proofErr w:type="gramEnd"/>
      <w:r w:rsidRPr="00895E40">
        <w:rPr>
          <w:rFonts w:ascii="Verdana" w:hAnsi="Verdana"/>
          <w:b/>
          <w:bCs/>
          <w:i/>
          <w:iCs/>
          <w:sz w:val="20"/>
          <w:szCs w:val="20"/>
        </w:rPr>
        <w:t xml:space="preserve"> de la Corte</w:t>
      </w:r>
      <w:r w:rsidRPr="00895E40">
        <w:rPr>
          <w:rFonts w:ascii="Verdana" w:hAnsi="Verdana"/>
          <w:sz w:val="20"/>
          <w:szCs w:val="20"/>
        </w:rPr>
        <w:t xml:space="preserve"> (en adelante “el Presidente” o “esta Presidencia”) ha decidido que es </w:t>
      </w:r>
      <w:r w:rsidRPr="00895E40">
        <w:rPr>
          <w:rFonts w:ascii="Verdana" w:hAnsi="Verdana" w:cs="Verdana"/>
          <w:sz w:val="20"/>
          <w:szCs w:val="20"/>
        </w:rPr>
        <w:t>necesario</w:t>
      </w:r>
      <w:r w:rsidRPr="00895E40">
        <w:rPr>
          <w:rFonts w:ascii="Verdana" w:hAnsi="Verdana"/>
          <w:sz w:val="20"/>
          <w:szCs w:val="20"/>
        </w:rPr>
        <w:t xml:space="preserve"> convocar a </w:t>
      </w:r>
      <w:r w:rsidRPr="00895E40">
        <w:rPr>
          <w:rFonts w:ascii="Verdana" w:hAnsi="Verdana" w:cs="Verdana"/>
          <w:sz w:val="20"/>
          <w:szCs w:val="20"/>
        </w:rPr>
        <w:t>una</w:t>
      </w:r>
      <w:r w:rsidRPr="00895E40">
        <w:rPr>
          <w:rFonts w:ascii="Verdana" w:hAnsi="Verdana"/>
          <w:sz w:val="20"/>
          <w:szCs w:val="20"/>
        </w:rPr>
        <w:t xml:space="preserve"> audiencia durante la cual se recibirán las declaraciones que sean admitidas para ser realizadas en audiencia, así como los alegatos y observaciones finales orales de las partes y la Comisión Interamericana, respectivamente. </w:t>
      </w:r>
    </w:p>
    <w:p w14:paraId="772E043C" w14:textId="77777777" w:rsidR="008062C6" w:rsidRPr="008062C6" w:rsidRDefault="008062C6" w:rsidP="008062C6">
      <w:pPr>
        <w:pStyle w:val="Sinespaciado"/>
        <w:tabs>
          <w:tab w:val="left" w:pos="0"/>
          <w:tab w:val="left" w:pos="567"/>
        </w:tabs>
        <w:autoSpaceDE w:val="0"/>
        <w:autoSpaceDN w:val="0"/>
        <w:adjustRightInd w:val="0"/>
        <w:ind w:right="22"/>
        <w:contextualSpacing/>
        <w:jc w:val="both"/>
        <w:rPr>
          <w:rFonts w:ascii="Verdana" w:hAnsi="Verdana"/>
          <w:sz w:val="20"/>
          <w:szCs w:val="20"/>
        </w:rPr>
      </w:pPr>
    </w:p>
    <w:p w14:paraId="39F11ADD" w14:textId="607F90A6" w:rsidR="00E77C5B" w:rsidRPr="00AC1B89" w:rsidRDefault="00EA36F7" w:rsidP="00BD6EEB">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895E40">
        <w:rPr>
          <w:rFonts w:ascii="Verdana" w:hAnsi="Verdana"/>
          <w:sz w:val="20"/>
          <w:szCs w:val="20"/>
        </w:rPr>
        <w:t xml:space="preserve">El </w:t>
      </w:r>
      <w:proofErr w:type="gramStart"/>
      <w:r w:rsidRPr="00895E40">
        <w:rPr>
          <w:rFonts w:ascii="Verdana" w:hAnsi="Verdana"/>
          <w:sz w:val="20"/>
          <w:szCs w:val="20"/>
        </w:rPr>
        <w:t>Presidente</w:t>
      </w:r>
      <w:proofErr w:type="gramEnd"/>
      <w:r w:rsidRPr="00895E40">
        <w:rPr>
          <w:rFonts w:ascii="Verdana" w:hAnsi="Verdana"/>
          <w:sz w:val="20"/>
          <w:szCs w:val="20"/>
        </w:rPr>
        <w:t xml:space="preserve"> considera </w:t>
      </w:r>
      <w:r w:rsidR="00A4292D" w:rsidRPr="00895E40">
        <w:rPr>
          <w:rFonts w:ascii="Verdana" w:hAnsi="Verdana"/>
          <w:sz w:val="20"/>
          <w:szCs w:val="20"/>
        </w:rPr>
        <w:t>procedente</w:t>
      </w:r>
      <w:r w:rsidRPr="00895E40">
        <w:rPr>
          <w:rFonts w:ascii="Verdana" w:hAnsi="Verdana"/>
          <w:sz w:val="20"/>
          <w:szCs w:val="20"/>
        </w:rPr>
        <w:t xml:space="preserve"> recabar las declaraciones ofrecidas por las partes que no han sido objetadas a efecto de que el Tribunal aprecie su valor en la debida oportunidad procesal, dentro del </w:t>
      </w:r>
      <w:r w:rsidRPr="00895E40">
        <w:rPr>
          <w:rFonts w:ascii="Verdana" w:hAnsi="Verdana" w:cs="Verdana"/>
          <w:sz w:val="20"/>
          <w:szCs w:val="20"/>
        </w:rPr>
        <w:t>contexto</w:t>
      </w:r>
      <w:r w:rsidRPr="00895E40">
        <w:rPr>
          <w:rFonts w:ascii="Verdana" w:hAnsi="Verdana"/>
          <w:sz w:val="20"/>
          <w:szCs w:val="20"/>
        </w:rPr>
        <w:t xml:space="preserve"> del acervo probatorio existente y según las reglas de la sana crítica. </w:t>
      </w:r>
      <w:r w:rsidR="00A4292D" w:rsidRPr="00895E40">
        <w:rPr>
          <w:rFonts w:ascii="Verdana" w:hAnsi="Verdana"/>
          <w:sz w:val="20"/>
          <w:szCs w:val="20"/>
        </w:rPr>
        <w:t xml:space="preserve">Por consiguiente, el </w:t>
      </w:r>
      <w:proofErr w:type="gramStart"/>
      <w:r w:rsidR="00A4292D" w:rsidRPr="00AC1B89">
        <w:rPr>
          <w:rFonts w:ascii="Verdana" w:hAnsi="Verdana"/>
          <w:sz w:val="20"/>
          <w:szCs w:val="20"/>
        </w:rPr>
        <w:t>Presidente</w:t>
      </w:r>
      <w:proofErr w:type="gramEnd"/>
      <w:r w:rsidR="00A4292D" w:rsidRPr="00AC1B89">
        <w:rPr>
          <w:rFonts w:ascii="Verdana" w:hAnsi="Verdana"/>
          <w:sz w:val="20"/>
          <w:szCs w:val="20"/>
        </w:rPr>
        <w:t xml:space="preserve"> admite la declaraci</w:t>
      </w:r>
      <w:r w:rsidR="00923189" w:rsidRPr="00AC1B89">
        <w:rPr>
          <w:rFonts w:ascii="Verdana" w:hAnsi="Verdana"/>
          <w:sz w:val="20"/>
          <w:szCs w:val="20"/>
        </w:rPr>
        <w:t>ón</w:t>
      </w:r>
      <w:r w:rsidR="00A4292D" w:rsidRPr="00AC1B89">
        <w:rPr>
          <w:rFonts w:ascii="Verdana" w:hAnsi="Verdana"/>
          <w:sz w:val="20"/>
          <w:szCs w:val="20"/>
        </w:rPr>
        <w:t xml:space="preserve"> testimonial de </w:t>
      </w:r>
      <w:r w:rsidR="00EE2B71" w:rsidRPr="00AC1B89">
        <w:rPr>
          <w:rFonts w:ascii="Verdana" w:hAnsi="Verdana"/>
          <w:sz w:val="20"/>
          <w:szCs w:val="20"/>
        </w:rPr>
        <w:t>Elsy Lourdes Flores Sosa</w:t>
      </w:r>
      <w:r w:rsidR="00A4292D" w:rsidRPr="00AC1B89">
        <w:rPr>
          <w:rFonts w:ascii="Verdana" w:hAnsi="Verdana"/>
          <w:sz w:val="20"/>
          <w:szCs w:val="20"/>
        </w:rPr>
        <w:t>, ofrecid</w:t>
      </w:r>
      <w:r w:rsidR="00880DB3" w:rsidRPr="00AC1B89">
        <w:rPr>
          <w:rFonts w:ascii="Verdana" w:hAnsi="Verdana"/>
          <w:sz w:val="20"/>
          <w:szCs w:val="20"/>
        </w:rPr>
        <w:t>a</w:t>
      </w:r>
      <w:r w:rsidR="00A4292D" w:rsidRPr="00AC1B89">
        <w:rPr>
          <w:rFonts w:ascii="Verdana" w:hAnsi="Verdana"/>
          <w:sz w:val="20"/>
          <w:szCs w:val="20"/>
        </w:rPr>
        <w:t xml:space="preserve"> por el Estado, según los objetos y modalidades determinados en la parte resolutiva (</w:t>
      </w:r>
      <w:r w:rsidR="00A4292D" w:rsidRPr="00AC1B89">
        <w:rPr>
          <w:rFonts w:ascii="Verdana" w:hAnsi="Verdana"/>
          <w:i/>
          <w:iCs/>
          <w:sz w:val="20"/>
          <w:szCs w:val="20"/>
        </w:rPr>
        <w:t>infra</w:t>
      </w:r>
      <w:r w:rsidR="00A4292D" w:rsidRPr="00AC1B89">
        <w:rPr>
          <w:rFonts w:ascii="Verdana" w:hAnsi="Verdana"/>
          <w:sz w:val="20"/>
          <w:szCs w:val="20"/>
        </w:rPr>
        <w:t xml:space="preserve"> punto resolutivo 1).</w:t>
      </w:r>
    </w:p>
    <w:p w14:paraId="159A75F4" w14:textId="77777777" w:rsidR="00BD6EEB" w:rsidRPr="00BD6EEB" w:rsidRDefault="00BD6EEB" w:rsidP="00BD6EEB">
      <w:pPr>
        <w:pStyle w:val="Sinespaciado"/>
        <w:tabs>
          <w:tab w:val="left" w:pos="0"/>
          <w:tab w:val="left" w:pos="567"/>
        </w:tabs>
        <w:autoSpaceDE w:val="0"/>
        <w:autoSpaceDN w:val="0"/>
        <w:adjustRightInd w:val="0"/>
        <w:ind w:right="22"/>
        <w:contextualSpacing/>
        <w:jc w:val="both"/>
        <w:rPr>
          <w:rFonts w:ascii="Verdana" w:hAnsi="Verdana"/>
          <w:sz w:val="20"/>
          <w:szCs w:val="20"/>
        </w:rPr>
      </w:pPr>
    </w:p>
    <w:p w14:paraId="6BA0DBBA" w14:textId="7A2CCF0A" w:rsidR="00EA36F7" w:rsidRPr="006442B7" w:rsidRDefault="00E77C5B" w:rsidP="00996AED">
      <w:pPr>
        <w:pStyle w:val="Sinespaciado"/>
        <w:numPr>
          <w:ilvl w:val="0"/>
          <w:numId w:val="32"/>
        </w:numPr>
        <w:tabs>
          <w:tab w:val="left" w:pos="0"/>
          <w:tab w:val="left" w:pos="567"/>
        </w:tabs>
        <w:autoSpaceDE w:val="0"/>
        <w:autoSpaceDN w:val="0"/>
        <w:adjustRightInd w:val="0"/>
        <w:ind w:left="0" w:right="22" w:firstLine="0"/>
        <w:contextualSpacing/>
        <w:jc w:val="both"/>
        <w:rPr>
          <w:rStyle w:val="markedcontent"/>
          <w:rFonts w:ascii="Verdana" w:hAnsi="Verdana"/>
          <w:sz w:val="20"/>
          <w:szCs w:val="20"/>
        </w:rPr>
      </w:pPr>
      <w:r>
        <w:rPr>
          <w:rFonts w:ascii="Verdana" w:hAnsi="Verdana"/>
          <w:sz w:val="20"/>
          <w:szCs w:val="20"/>
        </w:rPr>
        <w:lastRenderedPageBreak/>
        <w:t xml:space="preserve">A continuación, la Presidencia examinará en forma particular: A) la admisibilidad de la prueba testimonial </w:t>
      </w:r>
      <w:r w:rsidR="00880DB3">
        <w:rPr>
          <w:rFonts w:ascii="Verdana" w:hAnsi="Verdana"/>
          <w:sz w:val="20"/>
          <w:szCs w:val="20"/>
        </w:rPr>
        <w:t xml:space="preserve">de </w:t>
      </w:r>
      <w:r w:rsidR="00EE2B71">
        <w:rPr>
          <w:rFonts w:ascii="Verdana" w:hAnsi="Verdana"/>
          <w:sz w:val="20"/>
          <w:szCs w:val="20"/>
        </w:rPr>
        <w:t>René Arístides González Benítez</w:t>
      </w:r>
      <w:r w:rsidR="00880DB3">
        <w:rPr>
          <w:rFonts w:ascii="Verdana" w:hAnsi="Verdana"/>
          <w:sz w:val="20"/>
          <w:szCs w:val="20"/>
        </w:rPr>
        <w:t xml:space="preserve"> </w:t>
      </w:r>
      <w:r>
        <w:rPr>
          <w:rFonts w:ascii="Verdana" w:hAnsi="Verdana"/>
          <w:sz w:val="20"/>
          <w:szCs w:val="20"/>
        </w:rPr>
        <w:t xml:space="preserve">ofrecida por el Estado, y B) </w:t>
      </w:r>
      <w:r w:rsidR="00BD6EEB">
        <w:rPr>
          <w:rFonts w:ascii="Verdana" w:hAnsi="Verdana"/>
          <w:sz w:val="20"/>
          <w:szCs w:val="20"/>
        </w:rPr>
        <w:t xml:space="preserve">el requerimiento de prueba para mejor proveer. </w:t>
      </w:r>
    </w:p>
    <w:p w14:paraId="109DDF18" w14:textId="77777777" w:rsidR="00BD6EEB" w:rsidRPr="000E736A" w:rsidRDefault="00BD6EEB" w:rsidP="00BD6EEB">
      <w:pPr>
        <w:spacing w:line="240" w:lineRule="auto"/>
      </w:pPr>
      <w:r w:rsidRPr="000E736A">
        <w:tab/>
      </w:r>
    </w:p>
    <w:p w14:paraId="13846082" w14:textId="4440F165" w:rsidR="00BD6EEB" w:rsidRDefault="00BD6EEB" w:rsidP="00BD6EEB">
      <w:pPr>
        <w:pStyle w:val="Estilo1"/>
        <w:numPr>
          <w:ilvl w:val="0"/>
          <w:numId w:val="35"/>
        </w:numPr>
        <w:rPr>
          <w:sz w:val="20"/>
          <w:szCs w:val="20"/>
          <w:lang w:val="es-419"/>
        </w:rPr>
      </w:pPr>
      <w:r w:rsidRPr="000E736A">
        <w:rPr>
          <w:sz w:val="20"/>
          <w:szCs w:val="20"/>
          <w:lang w:val="es-419"/>
        </w:rPr>
        <w:t xml:space="preserve">Admisibilidad de la </w:t>
      </w:r>
      <w:r w:rsidR="00880DB3">
        <w:rPr>
          <w:sz w:val="20"/>
          <w:szCs w:val="20"/>
          <w:lang w:val="es-419"/>
        </w:rPr>
        <w:t>prueba</w:t>
      </w:r>
      <w:r w:rsidRPr="000E736A">
        <w:rPr>
          <w:sz w:val="20"/>
          <w:szCs w:val="20"/>
          <w:lang w:val="es-419"/>
        </w:rPr>
        <w:t xml:space="preserve"> </w:t>
      </w:r>
      <w:r>
        <w:rPr>
          <w:sz w:val="20"/>
          <w:szCs w:val="20"/>
          <w:lang w:val="es-419"/>
        </w:rPr>
        <w:t xml:space="preserve">testimonial </w:t>
      </w:r>
      <w:r w:rsidR="00880DB3">
        <w:rPr>
          <w:sz w:val="20"/>
          <w:szCs w:val="20"/>
          <w:lang w:val="es-419"/>
        </w:rPr>
        <w:t xml:space="preserve">de </w:t>
      </w:r>
      <w:r w:rsidR="00EE2B71">
        <w:rPr>
          <w:rFonts w:cs="Verdana"/>
          <w:sz w:val="20"/>
          <w:szCs w:val="20"/>
          <w:lang w:val="es-CR"/>
        </w:rPr>
        <w:t>René Arístides González Benítez</w:t>
      </w:r>
      <w:r w:rsidR="00880DB3" w:rsidRPr="00880DB3">
        <w:rPr>
          <w:rFonts w:cs="Verdana"/>
          <w:sz w:val="20"/>
          <w:szCs w:val="20"/>
          <w:lang w:val="es-CR"/>
        </w:rPr>
        <w:t xml:space="preserve"> </w:t>
      </w:r>
      <w:r>
        <w:rPr>
          <w:sz w:val="20"/>
          <w:szCs w:val="20"/>
          <w:lang w:val="es-419"/>
        </w:rPr>
        <w:t>ofrecida por el Estado</w:t>
      </w:r>
    </w:p>
    <w:p w14:paraId="566D903E" w14:textId="77777777" w:rsidR="004F2447" w:rsidRDefault="004F2447" w:rsidP="004F2447">
      <w:pPr>
        <w:pStyle w:val="Sinespaciado"/>
        <w:tabs>
          <w:tab w:val="left" w:pos="0"/>
          <w:tab w:val="left" w:pos="567"/>
        </w:tabs>
        <w:autoSpaceDE w:val="0"/>
        <w:autoSpaceDN w:val="0"/>
        <w:adjustRightInd w:val="0"/>
        <w:ind w:right="22"/>
        <w:contextualSpacing/>
        <w:jc w:val="both"/>
        <w:rPr>
          <w:rFonts w:ascii="Verdana" w:hAnsi="Verdana"/>
          <w:sz w:val="20"/>
          <w:szCs w:val="20"/>
        </w:rPr>
      </w:pPr>
    </w:p>
    <w:p w14:paraId="354DB48D" w14:textId="3C8D9AB5" w:rsidR="00BD6EEB" w:rsidRPr="004F2447" w:rsidRDefault="004F2447" w:rsidP="001F548F">
      <w:pPr>
        <w:pStyle w:val="Sinespaciado"/>
        <w:numPr>
          <w:ilvl w:val="0"/>
          <w:numId w:val="32"/>
        </w:numPr>
        <w:tabs>
          <w:tab w:val="left" w:pos="0"/>
          <w:tab w:val="left" w:pos="567"/>
        </w:tabs>
        <w:autoSpaceDE w:val="0"/>
        <w:autoSpaceDN w:val="0"/>
        <w:adjustRightInd w:val="0"/>
        <w:ind w:left="0" w:right="22" w:firstLine="0"/>
        <w:contextualSpacing/>
        <w:jc w:val="both"/>
        <w:rPr>
          <w:sz w:val="20"/>
          <w:szCs w:val="20"/>
        </w:rPr>
      </w:pPr>
      <w:r w:rsidRPr="004F2447">
        <w:rPr>
          <w:rFonts w:ascii="Verdana" w:hAnsi="Verdana"/>
          <w:sz w:val="20"/>
          <w:szCs w:val="20"/>
        </w:rPr>
        <w:t xml:space="preserve">El </w:t>
      </w:r>
      <w:proofErr w:type="gramStart"/>
      <w:r w:rsidRPr="004F2447">
        <w:rPr>
          <w:rFonts w:ascii="Verdana" w:hAnsi="Verdana"/>
          <w:sz w:val="20"/>
          <w:szCs w:val="20"/>
        </w:rPr>
        <w:t>Presidente</w:t>
      </w:r>
      <w:proofErr w:type="gramEnd"/>
      <w:r w:rsidRPr="004F2447">
        <w:rPr>
          <w:rFonts w:ascii="Verdana" w:hAnsi="Verdana"/>
          <w:sz w:val="20"/>
          <w:szCs w:val="20"/>
        </w:rPr>
        <w:t xml:space="preserve"> recuerda que la parte que ofrece una prueba debe asegurar que su presentación cumpla con los requisitos reglamentarios y que la falta de ofrecimiento de la prueba en el tiempo oportuno y en la forma debida determina que esta sea declarada inadmisible</w:t>
      </w:r>
      <w:r>
        <w:rPr>
          <w:rStyle w:val="Refdenotaalpie"/>
          <w:rFonts w:ascii="Verdana" w:hAnsi="Verdana"/>
          <w:sz w:val="20"/>
          <w:szCs w:val="20"/>
        </w:rPr>
        <w:footnoteReference w:id="9"/>
      </w:r>
      <w:r w:rsidRPr="004F2447">
        <w:rPr>
          <w:rFonts w:ascii="Verdana" w:hAnsi="Verdana"/>
          <w:sz w:val="20"/>
          <w:szCs w:val="20"/>
        </w:rPr>
        <w:t xml:space="preserve">. En tal sentido, según lo previsto en el artículo 41.1.c. del Reglamento, el escrito de contestación debe contener “la propuesta e identificación de los declarantes y el objeto de su declaración”. </w:t>
      </w:r>
    </w:p>
    <w:p w14:paraId="118B7955" w14:textId="77777777" w:rsidR="004F2447" w:rsidRPr="004F2447" w:rsidRDefault="004F2447" w:rsidP="004F2447">
      <w:pPr>
        <w:pStyle w:val="Sinespaciado"/>
        <w:tabs>
          <w:tab w:val="left" w:pos="0"/>
          <w:tab w:val="left" w:pos="567"/>
        </w:tabs>
        <w:autoSpaceDE w:val="0"/>
        <w:autoSpaceDN w:val="0"/>
        <w:adjustRightInd w:val="0"/>
        <w:ind w:right="22"/>
        <w:contextualSpacing/>
        <w:jc w:val="both"/>
        <w:rPr>
          <w:sz w:val="20"/>
          <w:szCs w:val="20"/>
        </w:rPr>
      </w:pPr>
    </w:p>
    <w:p w14:paraId="77D486A7" w14:textId="68821EEA" w:rsidR="004F2447" w:rsidRDefault="004F2447" w:rsidP="001F548F">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4F2447">
        <w:rPr>
          <w:rFonts w:ascii="Verdana" w:hAnsi="Verdana"/>
          <w:sz w:val="20"/>
          <w:szCs w:val="20"/>
        </w:rPr>
        <w:t xml:space="preserve">En el presente caso, </w:t>
      </w:r>
      <w:r>
        <w:rPr>
          <w:rFonts w:ascii="Verdana" w:hAnsi="Verdana"/>
          <w:sz w:val="20"/>
          <w:szCs w:val="20"/>
        </w:rPr>
        <w:t xml:space="preserve">el </w:t>
      </w:r>
      <w:r w:rsidRPr="004F2447">
        <w:rPr>
          <w:rFonts w:ascii="Verdana" w:hAnsi="Verdana"/>
          <w:b/>
          <w:bCs/>
          <w:i/>
          <w:iCs/>
          <w:sz w:val="20"/>
          <w:szCs w:val="20"/>
        </w:rPr>
        <w:t>Estado</w:t>
      </w:r>
      <w:r>
        <w:rPr>
          <w:rFonts w:ascii="Verdana" w:hAnsi="Verdana"/>
          <w:b/>
          <w:bCs/>
          <w:i/>
          <w:iCs/>
          <w:sz w:val="20"/>
          <w:szCs w:val="20"/>
        </w:rPr>
        <w:t xml:space="preserve">, </w:t>
      </w:r>
      <w:r>
        <w:rPr>
          <w:rFonts w:ascii="Verdana" w:hAnsi="Verdana"/>
          <w:sz w:val="20"/>
          <w:szCs w:val="20"/>
        </w:rPr>
        <w:t xml:space="preserve">en su escrito de contestación del </w:t>
      </w:r>
      <w:r w:rsidR="003C2DF0">
        <w:rPr>
          <w:rFonts w:ascii="Verdana" w:hAnsi="Verdana"/>
          <w:sz w:val="20"/>
          <w:szCs w:val="20"/>
        </w:rPr>
        <w:t xml:space="preserve">29 </w:t>
      </w:r>
      <w:r>
        <w:rPr>
          <w:rFonts w:ascii="Verdana" w:hAnsi="Verdana"/>
          <w:sz w:val="20"/>
          <w:szCs w:val="20"/>
        </w:rPr>
        <w:t xml:space="preserve">de </w:t>
      </w:r>
      <w:r w:rsidR="003C2DF0">
        <w:rPr>
          <w:rFonts w:ascii="Verdana" w:hAnsi="Verdana"/>
          <w:sz w:val="20"/>
          <w:szCs w:val="20"/>
        </w:rPr>
        <w:t xml:space="preserve">noviembre </w:t>
      </w:r>
      <w:r>
        <w:rPr>
          <w:rFonts w:ascii="Verdana" w:hAnsi="Verdana"/>
          <w:sz w:val="20"/>
          <w:szCs w:val="20"/>
        </w:rPr>
        <w:t>del 2022, ofreció dos declaraciones a “título informativo” y detalló el objeto de est</w:t>
      </w:r>
      <w:r w:rsidR="006442B7">
        <w:rPr>
          <w:rFonts w:ascii="Verdana" w:hAnsi="Verdana"/>
          <w:sz w:val="20"/>
          <w:szCs w:val="20"/>
        </w:rPr>
        <w:t>a</w:t>
      </w:r>
      <w:r>
        <w:rPr>
          <w:rFonts w:ascii="Verdana" w:hAnsi="Verdana"/>
          <w:sz w:val="20"/>
          <w:szCs w:val="20"/>
        </w:rPr>
        <w:t>s. Sin embargo, no indicó el nombre de un</w:t>
      </w:r>
      <w:r w:rsidR="003C2DF0">
        <w:rPr>
          <w:rFonts w:ascii="Verdana" w:hAnsi="Verdana"/>
          <w:sz w:val="20"/>
          <w:szCs w:val="20"/>
        </w:rPr>
        <w:t>o</w:t>
      </w:r>
      <w:r>
        <w:rPr>
          <w:rFonts w:ascii="Verdana" w:hAnsi="Verdana"/>
          <w:sz w:val="20"/>
          <w:szCs w:val="20"/>
        </w:rPr>
        <w:t xml:space="preserve"> de l</w:t>
      </w:r>
      <w:r w:rsidR="00CB4A75">
        <w:rPr>
          <w:rFonts w:ascii="Verdana" w:hAnsi="Verdana"/>
          <w:sz w:val="20"/>
          <w:szCs w:val="20"/>
        </w:rPr>
        <w:t>o</w:t>
      </w:r>
      <w:r>
        <w:rPr>
          <w:rFonts w:ascii="Verdana" w:hAnsi="Verdana"/>
          <w:sz w:val="20"/>
          <w:szCs w:val="20"/>
        </w:rPr>
        <w:t>s declarantes ofrecid</w:t>
      </w:r>
      <w:r w:rsidR="00CB4A75">
        <w:rPr>
          <w:rFonts w:ascii="Verdana" w:hAnsi="Verdana"/>
          <w:sz w:val="20"/>
          <w:szCs w:val="20"/>
        </w:rPr>
        <w:t>o</w:t>
      </w:r>
      <w:r>
        <w:rPr>
          <w:rFonts w:ascii="Verdana" w:hAnsi="Verdana"/>
          <w:sz w:val="20"/>
          <w:szCs w:val="20"/>
        </w:rPr>
        <w:t xml:space="preserve">s. </w:t>
      </w:r>
      <w:r w:rsidR="00EE2B71">
        <w:rPr>
          <w:rFonts w:ascii="Verdana" w:hAnsi="Verdana"/>
          <w:b/>
          <w:bCs/>
          <w:sz w:val="20"/>
          <w:szCs w:val="20"/>
        </w:rPr>
        <w:t xml:space="preserve"> </w:t>
      </w:r>
      <w:r w:rsidR="00EE2B71">
        <w:rPr>
          <w:rFonts w:ascii="Verdana" w:hAnsi="Verdana"/>
          <w:sz w:val="20"/>
          <w:szCs w:val="20"/>
        </w:rPr>
        <w:t xml:space="preserve">Luego, en su lista definitiva de declarantes, el Estado </w:t>
      </w:r>
      <w:r w:rsidR="00BE193D">
        <w:rPr>
          <w:rFonts w:ascii="Verdana" w:hAnsi="Verdana"/>
          <w:sz w:val="20"/>
          <w:szCs w:val="20"/>
        </w:rPr>
        <w:t xml:space="preserve">indicó </w:t>
      </w:r>
      <w:r w:rsidR="00EE2B71">
        <w:rPr>
          <w:rFonts w:ascii="Verdana" w:hAnsi="Verdana"/>
          <w:sz w:val="20"/>
          <w:szCs w:val="20"/>
        </w:rPr>
        <w:t xml:space="preserve">que </w:t>
      </w:r>
      <w:r w:rsidR="0063275A">
        <w:rPr>
          <w:rFonts w:ascii="Verdana" w:hAnsi="Verdana"/>
          <w:sz w:val="20"/>
          <w:szCs w:val="20"/>
        </w:rPr>
        <w:t xml:space="preserve">la declaración </w:t>
      </w:r>
      <w:r w:rsidR="00EE2B71">
        <w:rPr>
          <w:rFonts w:ascii="Verdana" w:hAnsi="Verdana"/>
          <w:sz w:val="20"/>
          <w:szCs w:val="20"/>
        </w:rPr>
        <w:t xml:space="preserve">sería rendida por René Arístides González Benítez. </w:t>
      </w:r>
    </w:p>
    <w:p w14:paraId="5C072F64" w14:textId="77777777" w:rsidR="004F2447" w:rsidRDefault="004F2447" w:rsidP="004F2447">
      <w:pPr>
        <w:pStyle w:val="Prrafodelista"/>
      </w:pPr>
    </w:p>
    <w:p w14:paraId="062AF381" w14:textId="08BC1FCD" w:rsidR="00BD6EEB" w:rsidRPr="00EE2B71" w:rsidRDefault="00EE2B71" w:rsidP="00BD6EEB">
      <w:pPr>
        <w:pStyle w:val="Sinespaciado"/>
        <w:numPr>
          <w:ilvl w:val="0"/>
          <w:numId w:val="32"/>
        </w:numPr>
        <w:tabs>
          <w:tab w:val="left" w:pos="0"/>
          <w:tab w:val="left" w:pos="567"/>
        </w:tabs>
        <w:autoSpaceDE w:val="0"/>
        <w:autoSpaceDN w:val="0"/>
        <w:adjustRightInd w:val="0"/>
        <w:ind w:left="0" w:right="22" w:firstLine="0"/>
        <w:contextualSpacing/>
        <w:jc w:val="both"/>
        <w:rPr>
          <w:sz w:val="20"/>
          <w:szCs w:val="20"/>
        </w:rPr>
      </w:pPr>
      <w:r>
        <w:rPr>
          <w:rFonts w:ascii="Verdana" w:hAnsi="Verdana"/>
          <w:sz w:val="20"/>
          <w:szCs w:val="20"/>
        </w:rPr>
        <w:t xml:space="preserve">El </w:t>
      </w:r>
      <w:proofErr w:type="gramStart"/>
      <w:r>
        <w:rPr>
          <w:rFonts w:ascii="Verdana" w:hAnsi="Verdana"/>
          <w:sz w:val="20"/>
          <w:szCs w:val="20"/>
        </w:rPr>
        <w:t>Presidente</w:t>
      </w:r>
      <w:proofErr w:type="gramEnd"/>
      <w:r>
        <w:rPr>
          <w:rFonts w:ascii="Verdana" w:hAnsi="Verdana"/>
          <w:sz w:val="20"/>
          <w:szCs w:val="20"/>
        </w:rPr>
        <w:t xml:space="preserve"> constata que</w:t>
      </w:r>
      <w:r w:rsidR="004F2447">
        <w:rPr>
          <w:rFonts w:ascii="Verdana" w:hAnsi="Verdana"/>
          <w:sz w:val="20"/>
          <w:szCs w:val="20"/>
        </w:rPr>
        <w:t xml:space="preserve"> el Estado no individua</w:t>
      </w:r>
      <w:r>
        <w:rPr>
          <w:rFonts w:ascii="Verdana" w:hAnsi="Verdana"/>
          <w:sz w:val="20"/>
          <w:szCs w:val="20"/>
        </w:rPr>
        <w:t xml:space="preserve">lizó la declaración de René Arístides González en la oportunidad procesal </w:t>
      </w:r>
      <w:r w:rsidR="00BE193D">
        <w:rPr>
          <w:rFonts w:ascii="Verdana" w:hAnsi="Verdana"/>
          <w:sz w:val="20"/>
          <w:szCs w:val="20"/>
        </w:rPr>
        <w:t xml:space="preserve">prevista </w:t>
      </w:r>
      <w:r>
        <w:rPr>
          <w:rFonts w:ascii="Verdana" w:hAnsi="Verdana"/>
          <w:sz w:val="20"/>
          <w:szCs w:val="20"/>
        </w:rPr>
        <w:t>para ello</w:t>
      </w:r>
      <w:r w:rsidR="009E774B">
        <w:rPr>
          <w:rFonts w:ascii="Verdana" w:hAnsi="Verdana"/>
          <w:sz w:val="20"/>
          <w:szCs w:val="20"/>
        </w:rPr>
        <w:t xml:space="preserve"> -esto es, en el escrito de contestación-</w:t>
      </w:r>
      <w:r>
        <w:rPr>
          <w:rFonts w:ascii="Verdana" w:hAnsi="Verdana"/>
          <w:sz w:val="20"/>
          <w:szCs w:val="20"/>
        </w:rPr>
        <w:t xml:space="preserve">, y que, por lo tanto, no cumplió con los requisitos reglamentarios establecidos en el artículo 41.c.1 del Reglamento. En vista de lo anterior, </w:t>
      </w:r>
      <w:r w:rsidR="009E774B">
        <w:rPr>
          <w:rFonts w:ascii="Verdana" w:hAnsi="Verdana"/>
          <w:sz w:val="20"/>
          <w:szCs w:val="20"/>
        </w:rPr>
        <w:t>la</w:t>
      </w:r>
      <w:r>
        <w:rPr>
          <w:rFonts w:ascii="Verdana" w:hAnsi="Verdana"/>
          <w:sz w:val="20"/>
          <w:szCs w:val="20"/>
        </w:rPr>
        <w:t xml:space="preserve"> declaración</w:t>
      </w:r>
      <w:r w:rsidR="009E774B">
        <w:rPr>
          <w:rFonts w:ascii="Verdana" w:hAnsi="Verdana"/>
          <w:sz w:val="20"/>
          <w:szCs w:val="20"/>
        </w:rPr>
        <w:t xml:space="preserve"> testimonial</w:t>
      </w:r>
      <w:r>
        <w:rPr>
          <w:rFonts w:ascii="Verdana" w:hAnsi="Verdana"/>
          <w:sz w:val="20"/>
          <w:szCs w:val="20"/>
        </w:rPr>
        <w:t xml:space="preserve"> de René Arístides González Benítez no es admisible.   </w:t>
      </w:r>
    </w:p>
    <w:p w14:paraId="0CB086DC" w14:textId="77777777" w:rsidR="00EE2B71" w:rsidRPr="00EE2B71" w:rsidRDefault="00EE2B71" w:rsidP="00EE2B71">
      <w:pPr>
        <w:pStyle w:val="Sinespaciado"/>
        <w:tabs>
          <w:tab w:val="left" w:pos="0"/>
          <w:tab w:val="left" w:pos="567"/>
        </w:tabs>
        <w:autoSpaceDE w:val="0"/>
        <w:autoSpaceDN w:val="0"/>
        <w:adjustRightInd w:val="0"/>
        <w:ind w:right="22"/>
        <w:contextualSpacing/>
        <w:jc w:val="both"/>
        <w:rPr>
          <w:sz w:val="20"/>
          <w:szCs w:val="20"/>
        </w:rPr>
      </w:pPr>
    </w:p>
    <w:p w14:paraId="3030DF1D" w14:textId="4DD313C1" w:rsidR="00BD6EEB" w:rsidRDefault="00BD6EEB" w:rsidP="00BD6EEB">
      <w:pPr>
        <w:pStyle w:val="Estilo1"/>
        <w:numPr>
          <w:ilvl w:val="0"/>
          <w:numId w:val="35"/>
        </w:numPr>
        <w:rPr>
          <w:sz w:val="20"/>
          <w:szCs w:val="20"/>
          <w:lang w:val="es-419"/>
        </w:rPr>
      </w:pPr>
      <w:r>
        <w:rPr>
          <w:sz w:val="20"/>
          <w:szCs w:val="20"/>
          <w:lang w:val="es-419"/>
        </w:rPr>
        <w:t xml:space="preserve">Requerimiento de prueba </w:t>
      </w:r>
      <w:r w:rsidR="006903B1">
        <w:rPr>
          <w:sz w:val="20"/>
          <w:szCs w:val="20"/>
          <w:lang w:val="es-419"/>
        </w:rPr>
        <w:t xml:space="preserve">para mejor resolver </w:t>
      </w:r>
    </w:p>
    <w:p w14:paraId="464643A5" w14:textId="77777777" w:rsidR="00BD6EEB" w:rsidRPr="00895E40" w:rsidRDefault="00BD6EEB" w:rsidP="00996AED">
      <w:pPr>
        <w:spacing w:line="240" w:lineRule="auto"/>
        <w:rPr>
          <w:rStyle w:val="markedcontent"/>
          <w:rFonts w:cs="Arial"/>
        </w:rPr>
      </w:pPr>
    </w:p>
    <w:p w14:paraId="4F7FB36B" w14:textId="5B3DABDD" w:rsidR="006642E5" w:rsidRDefault="00D74DE2" w:rsidP="00432113">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9E774B">
        <w:rPr>
          <w:rFonts w:ascii="Verdana" w:hAnsi="Verdana"/>
          <w:sz w:val="20"/>
          <w:szCs w:val="20"/>
        </w:rPr>
        <w:t xml:space="preserve">Por otro lado, el </w:t>
      </w:r>
      <w:proofErr w:type="gramStart"/>
      <w:r w:rsidRPr="009E774B">
        <w:rPr>
          <w:rFonts w:ascii="Verdana" w:hAnsi="Verdana"/>
          <w:sz w:val="20"/>
          <w:szCs w:val="20"/>
        </w:rPr>
        <w:t>Presidente</w:t>
      </w:r>
      <w:proofErr w:type="gramEnd"/>
      <w:r w:rsidRPr="009E774B">
        <w:rPr>
          <w:rFonts w:ascii="Verdana" w:hAnsi="Verdana"/>
          <w:sz w:val="20"/>
          <w:szCs w:val="20"/>
        </w:rPr>
        <w:t xml:space="preserve"> </w:t>
      </w:r>
      <w:r w:rsidR="00187E82" w:rsidRPr="009E774B">
        <w:rPr>
          <w:rFonts w:ascii="Verdana" w:hAnsi="Verdana"/>
          <w:sz w:val="20"/>
          <w:szCs w:val="20"/>
        </w:rPr>
        <w:t>advierte</w:t>
      </w:r>
      <w:r w:rsidRPr="009E774B">
        <w:rPr>
          <w:rFonts w:ascii="Verdana" w:hAnsi="Verdana"/>
          <w:sz w:val="20"/>
          <w:szCs w:val="20"/>
        </w:rPr>
        <w:t xml:space="preserve"> que el representante propuso en su escrito de solicitudes y argumentos, las </w:t>
      </w:r>
      <w:r w:rsidR="006642E5" w:rsidRPr="009E774B">
        <w:rPr>
          <w:rFonts w:ascii="Verdana" w:hAnsi="Verdana"/>
          <w:sz w:val="20"/>
          <w:szCs w:val="20"/>
        </w:rPr>
        <w:t xml:space="preserve">declaraciones de </w:t>
      </w:r>
      <w:r w:rsidR="000E0923" w:rsidRPr="009E774B">
        <w:rPr>
          <w:rFonts w:ascii="Verdana" w:hAnsi="Verdana" w:cs="Verdana"/>
          <w:sz w:val="20"/>
          <w:szCs w:val="20"/>
        </w:rPr>
        <w:t>cuatro</w:t>
      </w:r>
      <w:r w:rsidR="006642E5" w:rsidRPr="009E774B">
        <w:rPr>
          <w:rFonts w:ascii="Verdana" w:hAnsi="Verdana" w:cs="Verdana"/>
          <w:sz w:val="20"/>
          <w:szCs w:val="20"/>
        </w:rPr>
        <w:t xml:space="preserve"> presuntas víctimas, </w:t>
      </w:r>
      <w:r w:rsidR="000E0923" w:rsidRPr="009E774B">
        <w:rPr>
          <w:rFonts w:ascii="Verdana" w:hAnsi="Verdana" w:cs="Verdana"/>
          <w:sz w:val="20"/>
          <w:szCs w:val="20"/>
        </w:rPr>
        <w:t>un</w:t>
      </w:r>
      <w:r w:rsidR="006642E5" w:rsidRPr="009E774B">
        <w:rPr>
          <w:rFonts w:ascii="Verdana" w:hAnsi="Verdana" w:cs="Verdana"/>
          <w:sz w:val="20"/>
          <w:szCs w:val="20"/>
        </w:rPr>
        <w:t xml:space="preserve"> testigo y </w:t>
      </w:r>
      <w:r w:rsidR="000E0923" w:rsidRPr="009E774B">
        <w:rPr>
          <w:rFonts w:ascii="Verdana" w:hAnsi="Verdana" w:cs="Verdana"/>
          <w:sz w:val="20"/>
          <w:szCs w:val="20"/>
        </w:rPr>
        <w:t>tres</w:t>
      </w:r>
      <w:r w:rsidR="006642E5" w:rsidRPr="009E774B">
        <w:rPr>
          <w:rFonts w:ascii="Verdana" w:hAnsi="Verdana" w:cs="Verdana"/>
          <w:sz w:val="20"/>
          <w:szCs w:val="20"/>
        </w:rPr>
        <w:t xml:space="preserve"> peritos. No obstante, no presentó su correspondiente lista definitiva de declarantes</w:t>
      </w:r>
      <w:r w:rsidR="009E774B">
        <w:rPr>
          <w:rFonts w:ascii="Verdana" w:hAnsi="Verdana" w:cs="Verdana"/>
          <w:sz w:val="20"/>
          <w:szCs w:val="20"/>
        </w:rPr>
        <w:t>.</w:t>
      </w:r>
    </w:p>
    <w:p w14:paraId="2E8C5970" w14:textId="77777777" w:rsidR="009E774B" w:rsidRDefault="009E774B" w:rsidP="009E774B">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0ECF3158" w14:textId="38D3D044" w:rsidR="009E774B" w:rsidRPr="009E774B" w:rsidRDefault="009E774B" w:rsidP="006642E5">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sz w:val="20"/>
          <w:szCs w:val="20"/>
        </w:rPr>
      </w:pPr>
      <w:r w:rsidRPr="009E774B">
        <w:rPr>
          <w:rFonts w:ascii="Verdana" w:hAnsi="Verdana"/>
          <w:sz w:val="20"/>
          <w:szCs w:val="20"/>
        </w:rPr>
        <w:t>Esta Presiden</w:t>
      </w:r>
      <w:r w:rsidR="00C570FB">
        <w:rPr>
          <w:rFonts w:ascii="Verdana" w:hAnsi="Verdana"/>
          <w:sz w:val="20"/>
          <w:szCs w:val="20"/>
        </w:rPr>
        <w:t>cia</w:t>
      </w:r>
      <w:r w:rsidRPr="009E774B">
        <w:rPr>
          <w:rFonts w:ascii="Verdana" w:hAnsi="Verdana"/>
          <w:sz w:val="20"/>
          <w:szCs w:val="20"/>
        </w:rPr>
        <w:t xml:space="preserve"> observa que, de conformidad a lo normado en los artículos 35.1.f; 36.1.f, 40.2.c, 41.1.c y 46 del Reglamento de la Corte, el proceso prevé un acto de ofrecimiento de declaraciones, </w:t>
      </w:r>
      <w:r>
        <w:rPr>
          <w:rFonts w:ascii="Verdana" w:hAnsi="Verdana"/>
          <w:sz w:val="20"/>
          <w:szCs w:val="20"/>
        </w:rPr>
        <w:t>el cual</w:t>
      </w:r>
      <w:r w:rsidRPr="009E774B">
        <w:rPr>
          <w:rFonts w:ascii="Verdana" w:hAnsi="Verdana"/>
          <w:sz w:val="20"/>
          <w:szCs w:val="20"/>
        </w:rPr>
        <w:t xml:space="preserve"> se realiza en los escritos iniciales de las partes y la Comisión, y un acto para la “confirma[</w:t>
      </w:r>
      <w:proofErr w:type="spellStart"/>
      <w:r w:rsidRPr="009E774B">
        <w:rPr>
          <w:rFonts w:ascii="Verdana" w:hAnsi="Verdana"/>
          <w:sz w:val="20"/>
          <w:szCs w:val="20"/>
        </w:rPr>
        <w:t>ción</w:t>
      </w:r>
      <w:proofErr w:type="spellEnd"/>
      <w:r w:rsidRPr="009E774B">
        <w:rPr>
          <w:rFonts w:ascii="Verdana" w:hAnsi="Verdana"/>
          <w:sz w:val="20"/>
          <w:szCs w:val="20"/>
        </w:rPr>
        <w:t xml:space="preserve">] o </w:t>
      </w:r>
      <w:proofErr w:type="spellStart"/>
      <w:r w:rsidRPr="009E774B">
        <w:rPr>
          <w:rFonts w:ascii="Verdana" w:hAnsi="Verdana"/>
          <w:sz w:val="20"/>
          <w:szCs w:val="20"/>
        </w:rPr>
        <w:t>desisti</w:t>
      </w:r>
      <w:proofErr w:type="spellEnd"/>
      <w:r w:rsidRPr="009E774B">
        <w:rPr>
          <w:rFonts w:ascii="Verdana" w:hAnsi="Verdana"/>
          <w:sz w:val="20"/>
          <w:szCs w:val="20"/>
        </w:rPr>
        <w:t xml:space="preserve">[miento]” de esos medios de prueba. La confirmación de la propuesta de declaraciones por medio de la presentación de listas definitivas resulta un acto necesario, </w:t>
      </w:r>
      <w:proofErr w:type="gramStart"/>
      <w:r w:rsidRPr="009E774B">
        <w:rPr>
          <w:rFonts w:ascii="Verdana" w:hAnsi="Verdana"/>
          <w:sz w:val="20"/>
          <w:szCs w:val="20"/>
        </w:rPr>
        <w:t>de acuerdo al</w:t>
      </w:r>
      <w:proofErr w:type="gramEnd"/>
      <w:r w:rsidRPr="009E774B">
        <w:rPr>
          <w:rFonts w:ascii="Verdana" w:hAnsi="Verdana"/>
          <w:sz w:val="20"/>
          <w:szCs w:val="20"/>
        </w:rPr>
        <w:t xml:space="preserve"> modo en que está reglado el proceso ante la Corte, y la falta de dicha confirmación implica un desistimiento tácito de la prueba ofrecid</w:t>
      </w:r>
      <w:r>
        <w:rPr>
          <w:rFonts w:ascii="Verdana" w:hAnsi="Verdana"/>
          <w:sz w:val="20"/>
          <w:szCs w:val="20"/>
        </w:rPr>
        <w:t>a</w:t>
      </w:r>
      <w:r>
        <w:rPr>
          <w:rStyle w:val="Refdenotaalpie"/>
          <w:rFonts w:ascii="Verdana" w:hAnsi="Verdana"/>
          <w:sz w:val="20"/>
          <w:szCs w:val="20"/>
        </w:rPr>
        <w:footnoteReference w:id="10"/>
      </w:r>
      <w:r>
        <w:rPr>
          <w:rFonts w:ascii="Verdana" w:hAnsi="Verdana"/>
          <w:sz w:val="20"/>
          <w:szCs w:val="20"/>
        </w:rPr>
        <w:t>.</w:t>
      </w:r>
    </w:p>
    <w:p w14:paraId="3DA4C87F" w14:textId="77777777" w:rsidR="009E774B" w:rsidRDefault="009E774B" w:rsidP="009E774B">
      <w:pPr>
        <w:pStyle w:val="Prrafodelista"/>
        <w:rPr>
          <w:rFonts w:cs="Verdana"/>
        </w:rPr>
      </w:pPr>
    </w:p>
    <w:p w14:paraId="75576E14" w14:textId="25FF70D0" w:rsidR="006642E5" w:rsidRPr="00AC1B89" w:rsidRDefault="006642E5" w:rsidP="00C067F0">
      <w:pPr>
        <w:pStyle w:val="Sinespaciado"/>
        <w:numPr>
          <w:ilvl w:val="0"/>
          <w:numId w:val="32"/>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530E3">
        <w:rPr>
          <w:rFonts w:ascii="Verdana" w:hAnsi="Verdana" w:cs="Verdana"/>
          <w:sz w:val="20"/>
          <w:szCs w:val="20"/>
        </w:rPr>
        <w:lastRenderedPageBreak/>
        <w:t>Sin embargo, de acuerdo con lo establecido por el artículo 58</w:t>
      </w:r>
      <w:r w:rsidR="00D530E3">
        <w:rPr>
          <w:rFonts w:ascii="Verdana" w:hAnsi="Verdana" w:cs="Verdana"/>
          <w:sz w:val="20"/>
          <w:szCs w:val="20"/>
        </w:rPr>
        <w:t>.a</w:t>
      </w:r>
      <w:r w:rsidRPr="00D530E3">
        <w:rPr>
          <w:rFonts w:ascii="Verdana" w:hAnsi="Verdana" w:cs="Verdana"/>
          <w:sz w:val="20"/>
          <w:szCs w:val="20"/>
        </w:rPr>
        <w:t xml:space="preserve"> del Reglamento, en cualquier estado de la causa la Corte podrá, “procurar de oficio toda prueba que considere útil y necesaria</w:t>
      </w:r>
      <w:r w:rsidR="00604F9E">
        <w:rPr>
          <w:rFonts w:ascii="Verdana" w:hAnsi="Verdana" w:cs="Verdana"/>
          <w:sz w:val="20"/>
          <w:szCs w:val="20"/>
        </w:rPr>
        <w:t>”</w:t>
      </w:r>
      <w:r w:rsidRPr="00D16FE2">
        <w:rPr>
          <w:rFonts w:ascii="Verdana" w:hAnsi="Verdana" w:cs="Verdana"/>
          <w:sz w:val="20"/>
          <w:szCs w:val="20"/>
        </w:rPr>
        <w:t xml:space="preserve">. </w:t>
      </w:r>
      <w:r w:rsidR="00D530E3" w:rsidRPr="00D16FE2">
        <w:rPr>
          <w:rFonts w:ascii="Verdana" w:hAnsi="Verdana" w:cs="Verdana"/>
          <w:sz w:val="20"/>
          <w:szCs w:val="20"/>
        </w:rPr>
        <w:t xml:space="preserve">Para ello, la Corte podrá tomar como referencia, eventualmente, la prueba ofrecida en el escrito de sometimiento del caso por parte de la Comisión, </w:t>
      </w:r>
      <w:proofErr w:type="gramStart"/>
      <w:r w:rsidR="00D530E3" w:rsidRPr="00D16FE2">
        <w:rPr>
          <w:rFonts w:ascii="Verdana" w:hAnsi="Verdana" w:cs="Verdana"/>
          <w:sz w:val="20"/>
          <w:szCs w:val="20"/>
        </w:rPr>
        <w:t>el  escrito</w:t>
      </w:r>
      <w:proofErr w:type="gramEnd"/>
      <w:r w:rsidR="00D530E3" w:rsidRPr="00D16FE2">
        <w:rPr>
          <w:rFonts w:ascii="Verdana" w:hAnsi="Verdana" w:cs="Verdana"/>
          <w:sz w:val="20"/>
          <w:szCs w:val="20"/>
        </w:rPr>
        <w:t xml:space="preserve"> de solicitudes, argumentos y pruebas o, en su caso, el escrito de </w:t>
      </w:r>
      <w:r w:rsidR="005F3C5C">
        <w:rPr>
          <w:rFonts w:ascii="Verdana" w:hAnsi="Verdana" w:cs="Verdana"/>
          <w:sz w:val="20"/>
          <w:szCs w:val="20"/>
        </w:rPr>
        <w:t>c</w:t>
      </w:r>
      <w:r w:rsidR="00D530E3" w:rsidRPr="00D16FE2">
        <w:rPr>
          <w:rFonts w:ascii="Verdana" w:hAnsi="Verdana" w:cs="Verdana"/>
          <w:sz w:val="20"/>
          <w:szCs w:val="20"/>
        </w:rPr>
        <w:t>ontestación del Estado. E</w:t>
      </w:r>
      <w:r w:rsidRPr="00D16FE2">
        <w:rPr>
          <w:rFonts w:ascii="Verdana" w:hAnsi="Verdana" w:cs="Verdana"/>
          <w:sz w:val="20"/>
          <w:szCs w:val="20"/>
        </w:rPr>
        <w:t>n el presente caso, a juicio de esta Presidencia</w:t>
      </w:r>
      <w:r w:rsidR="006903B1" w:rsidRPr="00D16FE2">
        <w:rPr>
          <w:rFonts w:ascii="Verdana" w:hAnsi="Verdana" w:cs="Verdana"/>
          <w:sz w:val="20"/>
          <w:szCs w:val="20"/>
        </w:rPr>
        <w:t>,</w:t>
      </w:r>
      <w:r w:rsidRPr="00D16FE2">
        <w:rPr>
          <w:rFonts w:ascii="Verdana" w:hAnsi="Verdana" w:cs="Verdana"/>
          <w:sz w:val="20"/>
          <w:szCs w:val="20"/>
        </w:rPr>
        <w:t xml:space="preserve"> resulta pertinente y necesario recibir </w:t>
      </w:r>
      <w:r w:rsidR="00D530E3" w:rsidRPr="00D16FE2">
        <w:rPr>
          <w:rFonts w:ascii="Verdana" w:hAnsi="Verdana" w:cs="Verdana"/>
          <w:sz w:val="20"/>
          <w:szCs w:val="20"/>
        </w:rPr>
        <w:t>de oficio</w:t>
      </w:r>
      <w:r w:rsidR="006903B1" w:rsidRPr="00D16FE2">
        <w:rPr>
          <w:rFonts w:ascii="Verdana" w:hAnsi="Verdana" w:cs="Verdana"/>
          <w:sz w:val="20"/>
          <w:szCs w:val="20"/>
        </w:rPr>
        <w:t>, como prueba para mejor resolver,</w:t>
      </w:r>
      <w:r w:rsidR="00D530E3" w:rsidRPr="00D16FE2">
        <w:rPr>
          <w:rFonts w:ascii="Verdana" w:hAnsi="Verdana" w:cs="Verdana"/>
          <w:sz w:val="20"/>
          <w:szCs w:val="20"/>
        </w:rPr>
        <w:t xml:space="preserve"> </w:t>
      </w:r>
      <w:r w:rsidRPr="00D16FE2">
        <w:rPr>
          <w:rFonts w:ascii="Verdana" w:hAnsi="Verdana" w:cs="Verdana"/>
          <w:sz w:val="20"/>
          <w:szCs w:val="20"/>
        </w:rPr>
        <w:t xml:space="preserve">las declaraciones de las </w:t>
      </w:r>
      <w:r w:rsidR="00D6363F" w:rsidRPr="00D16FE2">
        <w:rPr>
          <w:rFonts w:ascii="Verdana" w:hAnsi="Verdana" w:cs="Verdana"/>
          <w:sz w:val="20"/>
          <w:szCs w:val="20"/>
        </w:rPr>
        <w:t>presuntas víctimas</w:t>
      </w:r>
      <w:r w:rsidRPr="00D16FE2">
        <w:rPr>
          <w:rFonts w:ascii="Verdana" w:hAnsi="Verdana" w:cs="Verdana"/>
          <w:sz w:val="20"/>
          <w:szCs w:val="20"/>
        </w:rPr>
        <w:t xml:space="preserve"> </w:t>
      </w:r>
      <w:r w:rsidR="006903B1" w:rsidRPr="00D16FE2">
        <w:rPr>
          <w:rFonts w:ascii="Verdana" w:hAnsi="Verdana" w:cs="Verdana"/>
          <w:sz w:val="20"/>
          <w:szCs w:val="20"/>
        </w:rPr>
        <w:t>que figuran como declarantes propuestas</w:t>
      </w:r>
      <w:r w:rsidR="00D530E3" w:rsidRPr="00D16FE2">
        <w:rPr>
          <w:rFonts w:ascii="Verdana" w:hAnsi="Verdana" w:cs="Verdana"/>
          <w:sz w:val="20"/>
          <w:szCs w:val="20"/>
        </w:rPr>
        <w:t xml:space="preserve"> en el escrito de solicitudes, argumentos y prueba</w:t>
      </w:r>
      <w:r w:rsidR="00C570FB">
        <w:rPr>
          <w:rFonts w:ascii="Verdana" w:hAnsi="Verdana" w:cs="Verdana"/>
          <w:sz w:val="20"/>
          <w:szCs w:val="20"/>
        </w:rPr>
        <w:t>s</w:t>
      </w:r>
      <w:r w:rsidR="00D530E3" w:rsidRPr="00D16FE2">
        <w:rPr>
          <w:rFonts w:ascii="Verdana" w:hAnsi="Verdana" w:cs="Verdana"/>
          <w:sz w:val="20"/>
          <w:szCs w:val="20"/>
        </w:rPr>
        <w:t xml:space="preserve"> </w:t>
      </w:r>
      <w:r w:rsidR="00D530E3" w:rsidRPr="00D530E3">
        <w:rPr>
          <w:rFonts w:ascii="Verdana" w:hAnsi="Verdana" w:cs="Verdana"/>
          <w:sz w:val="20"/>
          <w:szCs w:val="20"/>
        </w:rPr>
        <w:t>presentado por el representante</w:t>
      </w:r>
      <w:r w:rsidRPr="00D530E3">
        <w:rPr>
          <w:rFonts w:ascii="Verdana" w:hAnsi="Verdana" w:cs="Verdana"/>
          <w:sz w:val="20"/>
          <w:szCs w:val="20"/>
        </w:rPr>
        <w:t xml:space="preserve">. En efecto, esta Corte ha subrayado la utilidad de las declaraciones de las presuntas víctimas, en la medida en que pueden proporcionar </w:t>
      </w:r>
      <w:proofErr w:type="gramStart"/>
      <w:r w:rsidRPr="00D530E3">
        <w:rPr>
          <w:rFonts w:ascii="Verdana" w:hAnsi="Verdana" w:cs="Verdana"/>
          <w:sz w:val="20"/>
          <w:szCs w:val="20"/>
        </w:rPr>
        <w:t>mayor información</w:t>
      </w:r>
      <w:proofErr w:type="gramEnd"/>
      <w:r w:rsidRPr="00D530E3">
        <w:rPr>
          <w:rFonts w:ascii="Verdana" w:hAnsi="Verdana" w:cs="Verdana"/>
          <w:sz w:val="20"/>
          <w:szCs w:val="20"/>
        </w:rPr>
        <w:t xml:space="preserve"> sobre las alegadas violaciones y sus consecuencias</w:t>
      </w:r>
      <w:r w:rsidR="009A3157">
        <w:rPr>
          <w:rStyle w:val="Refdenotaalpie"/>
          <w:rFonts w:ascii="Verdana" w:hAnsi="Verdana" w:cs="Verdana"/>
          <w:sz w:val="20"/>
          <w:szCs w:val="20"/>
        </w:rPr>
        <w:footnoteReference w:id="11"/>
      </w:r>
      <w:r w:rsidRPr="00D530E3">
        <w:rPr>
          <w:rFonts w:ascii="Verdana" w:hAnsi="Verdana" w:cs="Verdana"/>
          <w:sz w:val="20"/>
          <w:szCs w:val="20"/>
        </w:rPr>
        <w:t>. Además, el Tribunal ha resaltado que las presuntas víctimas pueden ilustrar a la Corte respecto de las medidas de reparación que, eventualmente, podría adoptar</w:t>
      </w:r>
      <w:r w:rsidR="009A3157">
        <w:rPr>
          <w:rStyle w:val="Refdenotaalpie"/>
          <w:rFonts w:ascii="Verdana" w:hAnsi="Verdana" w:cs="Verdana"/>
          <w:sz w:val="20"/>
          <w:szCs w:val="20"/>
        </w:rPr>
        <w:footnoteReference w:id="12"/>
      </w:r>
      <w:r w:rsidRPr="00D530E3">
        <w:rPr>
          <w:rFonts w:ascii="Verdana" w:hAnsi="Verdana" w:cs="Verdana"/>
          <w:sz w:val="20"/>
          <w:szCs w:val="20"/>
        </w:rPr>
        <w:t>. De esta forma, se procederá a recabar las declaraciones de</w:t>
      </w:r>
      <w:r w:rsidR="00E61D29" w:rsidRPr="00D530E3">
        <w:rPr>
          <w:rFonts w:ascii="Verdana" w:hAnsi="Verdana" w:cs="Verdana"/>
          <w:sz w:val="20"/>
          <w:szCs w:val="20"/>
        </w:rPr>
        <w:t xml:space="preserve"> </w:t>
      </w:r>
      <w:r w:rsidR="00187E82" w:rsidRPr="00D530E3">
        <w:rPr>
          <w:rFonts w:ascii="Verdana" w:hAnsi="Verdana" w:cs="Verdana"/>
          <w:sz w:val="20"/>
          <w:szCs w:val="20"/>
        </w:rPr>
        <w:t>Ana Gladys Pérez de Castro</w:t>
      </w:r>
      <w:r w:rsidR="00E61D29" w:rsidRPr="00D530E3">
        <w:rPr>
          <w:rFonts w:ascii="Verdana" w:hAnsi="Verdana" w:cs="Verdana"/>
          <w:sz w:val="20"/>
          <w:szCs w:val="20"/>
        </w:rPr>
        <w:t xml:space="preserve"> </w:t>
      </w:r>
      <w:r w:rsidR="00187E82" w:rsidRPr="00D530E3">
        <w:rPr>
          <w:rFonts w:ascii="Verdana" w:hAnsi="Verdana" w:cs="Verdana"/>
          <w:sz w:val="20"/>
          <w:szCs w:val="20"/>
        </w:rPr>
        <w:t xml:space="preserve">y </w:t>
      </w:r>
      <w:r w:rsidR="00584A4E" w:rsidRPr="00D530E3">
        <w:rPr>
          <w:rFonts w:ascii="Verdana" w:hAnsi="Verdana" w:cs="Verdana"/>
          <w:sz w:val="20"/>
          <w:szCs w:val="20"/>
        </w:rPr>
        <w:t xml:space="preserve">Francisco Alfredo Álvarez Solís </w:t>
      </w:r>
      <w:r w:rsidR="00187E82" w:rsidRPr="00D530E3">
        <w:rPr>
          <w:rFonts w:ascii="Verdana" w:hAnsi="Verdana" w:cs="Verdana"/>
          <w:sz w:val="20"/>
          <w:szCs w:val="20"/>
        </w:rPr>
        <w:t xml:space="preserve">en audiencia pública y de </w:t>
      </w:r>
      <w:r w:rsidR="00584A4E" w:rsidRPr="00D530E3">
        <w:rPr>
          <w:rFonts w:ascii="Verdana" w:hAnsi="Verdana" w:cs="Verdana"/>
          <w:sz w:val="20"/>
          <w:szCs w:val="20"/>
        </w:rPr>
        <w:t xml:space="preserve">Ana Gabriela Álvarez Cuéllar </w:t>
      </w:r>
      <w:r w:rsidR="00E61D29" w:rsidRPr="00D530E3">
        <w:rPr>
          <w:rFonts w:ascii="Verdana" w:hAnsi="Verdana" w:cs="Verdana"/>
          <w:sz w:val="20"/>
          <w:szCs w:val="20"/>
        </w:rPr>
        <w:t>y</w:t>
      </w:r>
      <w:r w:rsidR="00D421DA" w:rsidRPr="00D530E3">
        <w:rPr>
          <w:rFonts w:ascii="Verdana" w:hAnsi="Verdana" w:cs="Verdana"/>
          <w:sz w:val="20"/>
          <w:szCs w:val="20"/>
        </w:rPr>
        <w:t xml:space="preserve"> </w:t>
      </w:r>
      <w:r w:rsidR="00584A4E" w:rsidRPr="00D530E3">
        <w:rPr>
          <w:rFonts w:ascii="Verdana" w:hAnsi="Verdana" w:cs="Verdana"/>
          <w:sz w:val="20"/>
          <w:szCs w:val="20"/>
        </w:rPr>
        <w:t xml:space="preserve">Javier Ernesto Álvarez Cuéllar </w:t>
      </w:r>
      <w:r w:rsidR="00187E82" w:rsidRPr="00D530E3">
        <w:rPr>
          <w:rFonts w:ascii="Verdana" w:hAnsi="Verdana" w:cs="Verdana"/>
          <w:sz w:val="20"/>
          <w:szCs w:val="20"/>
        </w:rPr>
        <w:t xml:space="preserve">ante fedatario </w:t>
      </w:r>
      <w:r w:rsidR="00187E82" w:rsidRPr="00AC1B89">
        <w:rPr>
          <w:rFonts w:ascii="Verdana" w:hAnsi="Verdana" w:cs="Verdana"/>
          <w:sz w:val="20"/>
          <w:szCs w:val="20"/>
        </w:rPr>
        <w:t>público</w:t>
      </w:r>
      <w:r w:rsidR="00E77C5B" w:rsidRPr="00AC1B89">
        <w:rPr>
          <w:rFonts w:ascii="Verdana" w:hAnsi="Verdana" w:cs="Verdana"/>
          <w:sz w:val="20"/>
          <w:szCs w:val="20"/>
        </w:rPr>
        <w:t xml:space="preserve"> (</w:t>
      </w:r>
      <w:r w:rsidR="00E77C5B" w:rsidRPr="00AC1B89">
        <w:rPr>
          <w:rFonts w:ascii="Verdana" w:hAnsi="Verdana" w:cs="Verdana"/>
          <w:i/>
          <w:iCs/>
          <w:sz w:val="20"/>
          <w:szCs w:val="20"/>
        </w:rPr>
        <w:t>affidávit</w:t>
      </w:r>
      <w:r w:rsidR="00E77C5B" w:rsidRPr="00AC1B89">
        <w:rPr>
          <w:rFonts w:ascii="Verdana" w:hAnsi="Verdana" w:cs="Verdana"/>
          <w:sz w:val="20"/>
          <w:szCs w:val="20"/>
        </w:rPr>
        <w:t>)</w:t>
      </w:r>
      <w:r w:rsidR="00187E82" w:rsidRPr="00AC1B89">
        <w:rPr>
          <w:rFonts w:ascii="Verdana" w:hAnsi="Verdana" w:cs="Verdana"/>
          <w:sz w:val="20"/>
          <w:szCs w:val="20"/>
        </w:rPr>
        <w:t>,</w:t>
      </w:r>
      <w:r w:rsidRPr="00AC1B89">
        <w:rPr>
          <w:rFonts w:ascii="Verdana" w:hAnsi="Verdana" w:cs="Verdana"/>
          <w:sz w:val="20"/>
          <w:szCs w:val="20"/>
        </w:rPr>
        <w:t xml:space="preserve"> según el objeto delimitado en la parte resolutiva (</w:t>
      </w:r>
      <w:r w:rsidRPr="00AC1B89">
        <w:rPr>
          <w:rFonts w:ascii="Verdana" w:hAnsi="Verdana" w:cs="Verdana"/>
          <w:i/>
          <w:iCs/>
          <w:sz w:val="20"/>
          <w:szCs w:val="20"/>
        </w:rPr>
        <w:t>infra</w:t>
      </w:r>
      <w:r w:rsidRPr="00AC1B89">
        <w:rPr>
          <w:rFonts w:ascii="Verdana" w:hAnsi="Verdana" w:cs="Verdana"/>
          <w:sz w:val="20"/>
          <w:szCs w:val="20"/>
        </w:rPr>
        <w:t xml:space="preserve"> punto</w:t>
      </w:r>
      <w:r w:rsidR="00187E82" w:rsidRPr="00AC1B89">
        <w:rPr>
          <w:rFonts w:ascii="Verdana" w:hAnsi="Verdana" w:cs="Verdana"/>
          <w:sz w:val="20"/>
          <w:szCs w:val="20"/>
        </w:rPr>
        <w:t>s</w:t>
      </w:r>
      <w:r w:rsidRPr="00AC1B89">
        <w:rPr>
          <w:rFonts w:ascii="Verdana" w:hAnsi="Verdana" w:cs="Verdana"/>
          <w:sz w:val="20"/>
          <w:szCs w:val="20"/>
        </w:rPr>
        <w:t xml:space="preserve"> resolutivo</w:t>
      </w:r>
      <w:r w:rsidR="00187E82" w:rsidRPr="00AC1B89">
        <w:rPr>
          <w:rFonts w:ascii="Verdana" w:hAnsi="Verdana" w:cs="Verdana"/>
          <w:sz w:val="20"/>
          <w:szCs w:val="20"/>
        </w:rPr>
        <w:t>s</w:t>
      </w:r>
      <w:r w:rsidRPr="00AC1B89">
        <w:rPr>
          <w:rFonts w:ascii="Verdana" w:hAnsi="Verdana" w:cs="Verdana"/>
          <w:sz w:val="20"/>
          <w:szCs w:val="20"/>
        </w:rPr>
        <w:t xml:space="preserve"> 1</w:t>
      </w:r>
      <w:r w:rsidR="00187E82" w:rsidRPr="00AC1B89">
        <w:rPr>
          <w:rFonts w:ascii="Verdana" w:hAnsi="Verdana" w:cs="Verdana"/>
          <w:sz w:val="20"/>
          <w:szCs w:val="20"/>
        </w:rPr>
        <w:t xml:space="preserve"> y 2</w:t>
      </w:r>
      <w:r w:rsidRPr="00AC1B89">
        <w:rPr>
          <w:rFonts w:ascii="Verdana" w:hAnsi="Verdana" w:cs="Verdana"/>
          <w:sz w:val="20"/>
          <w:szCs w:val="20"/>
        </w:rPr>
        <w:t>).</w:t>
      </w:r>
    </w:p>
    <w:p w14:paraId="6961AC9D" w14:textId="2CCCADE9" w:rsidR="00651376" w:rsidRPr="000E736A" w:rsidRDefault="00651376" w:rsidP="00651376">
      <w:pPr>
        <w:widowControl/>
        <w:autoSpaceDE w:val="0"/>
        <w:autoSpaceDN w:val="0"/>
        <w:spacing w:line="240" w:lineRule="auto"/>
        <w:rPr>
          <w:rFonts w:eastAsiaTheme="minorHAnsi" w:cs="Verdana"/>
          <w:lang w:eastAsia="en-US"/>
        </w:rPr>
      </w:pPr>
    </w:p>
    <w:p w14:paraId="02EFA556" w14:textId="4DE90E7F" w:rsidR="00117BB8" w:rsidRPr="000E736A" w:rsidRDefault="00117BB8" w:rsidP="00117BB8">
      <w:pPr>
        <w:widowControl/>
        <w:autoSpaceDE w:val="0"/>
        <w:autoSpaceDN w:val="0"/>
        <w:spacing w:line="240" w:lineRule="auto"/>
        <w:jc w:val="left"/>
        <w:rPr>
          <w:rFonts w:eastAsiaTheme="minorHAnsi" w:cs="Verdana-Bold"/>
          <w:b/>
          <w:bCs/>
          <w:lang w:eastAsia="en-US"/>
        </w:rPr>
      </w:pPr>
      <w:r w:rsidRPr="000E736A">
        <w:rPr>
          <w:rFonts w:eastAsiaTheme="minorHAnsi" w:cs="Verdana-Bold"/>
          <w:b/>
          <w:bCs/>
          <w:lang w:eastAsia="en-US"/>
        </w:rPr>
        <w:t>POR TANTO:</w:t>
      </w:r>
    </w:p>
    <w:p w14:paraId="00DDEE8A" w14:textId="77777777" w:rsidR="00117BB8" w:rsidRPr="000E736A" w:rsidRDefault="00117BB8" w:rsidP="00117BB8">
      <w:pPr>
        <w:widowControl/>
        <w:autoSpaceDE w:val="0"/>
        <w:autoSpaceDN w:val="0"/>
        <w:spacing w:line="240" w:lineRule="auto"/>
        <w:jc w:val="left"/>
        <w:rPr>
          <w:rFonts w:eastAsiaTheme="minorHAnsi" w:cs="Verdana-Bold"/>
          <w:b/>
          <w:bCs/>
          <w:lang w:eastAsia="en-US"/>
        </w:rPr>
      </w:pPr>
    </w:p>
    <w:p w14:paraId="3EA68193" w14:textId="30681FE7" w:rsidR="00117BB8" w:rsidRPr="000E736A" w:rsidRDefault="00117BB8" w:rsidP="00117BB8">
      <w:pPr>
        <w:widowControl/>
        <w:autoSpaceDE w:val="0"/>
        <w:autoSpaceDN w:val="0"/>
        <w:spacing w:line="240" w:lineRule="auto"/>
        <w:jc w:val="left"/>
        <w:rPr>
          <w:rFonts w:eastAsiaTheme="minorHAnsi" w:cs="Verdana-Bold"/>
          <w:b/>
          <w:bCs/>
          <w:lang w:eastAsia="en-US"/>
        </w:rPr>
      </w:pPr>
      <w:r w:rsidRPr="000E736A">
        <w:rPr>
          <w:rFonts w:eastAsiaTheme="minorHAnsi" w:cs="Verdana-Bold"/>
          <w:b/>
          <w:bCs/>
          <w:lang w:eastAsia="en-US"/>
        </w:rPr>
        <w:t>EL PRESIDENTE DE LA CORTE INTERAMERICANA DE DERECHOS</w:t>
      </w:r>
    </w:p>
    <w:p w14:paraId="14C5BA20" w14:textId="77777777" w:rsidR="00117BB8" w:rsidRPr="000E736A" w:rsidRDefault="00117BB8" w:rsidP="00117BB8">
      <w:pPr>
        <w:widowControl/>
        <w:autoSpaceDE w:val="0"/>
        <w:autoSpaceDN w:val="0"/>
        <w:spacing w:line="240" w:lineRule="auto"/>
        <w:jc w:val="left"/>
        <w:rPr>
          <w:rFonts w:eastAsiaTheme="minorHAnsi" w:cs="Verdana-Bold"/>
          <w:b/>
          <w:bCs/>
          <w:lang w:eastAsia="en-US"/>
        </w:rPr>
      </w:pPr>
      <w:r w:rsidRPr="000E736A">
        <w:rPr>
          <w:rFonts w:eastAsiaTheme="minorHAnsi" w:cs="Verdana-Bold"/>
          <w:b/>
          <w:bCs/>
          <w:lang w:eastAsia="en-US"/>
        </w:rPr>
        <w:t>HUMANOS,</w:t>
      </w:r>
    </w:p>
    <w:p w14:paraId="3FD7D83A" w14:textId="77777777" w:rsidR="002816EB" w:rsidRPr="000E736A" w:rsidRDefault="002816EB" w:rsidP="00117BB8">
      <w:pPr>
        <w:widowControl/>
        <w:autoSpaceDE w:val="0"/>
        <w:autoSpaceDN w:val="0"/>
        <w:spacing w:line="240" w:lineRule="auto"/>
        <w:rPr>
          <w:rFonts w:eastAsiaTheme="minorHAnsi" w:cs="Verdana"/>
          <w:lang w:eastAsia="en-US"/>
        </w:rPr>
      </w:pPr>
    </w:p>
    <w:p w14:paraId="1B1E69DE" w14:textId="0F4F6507" w:rsidR="00117BB8" w:rsidRPr="000E736A" w:rsidRDefault="00117BB8" w:rsidP="00117BB8">
      <w:pPr>
        <w:widowControl/>
        <w:autoSpaceDE w:val="0"/>
        <w:autoSpaceDN w:val="0"/>
        <w:spacing w:line="240" w:lineRule="auto"/>
        <w:rPr>
          <w:rFonts w:eastAsiaTheme="minorHAnsi" w:cs="Verdana"/>
          <w:lang w:eastAsia="en-US"/>
        </w:rPr>
      </w:pPr>
      <w:r w:rsidRPr="000E736A">
        <w:rPr>
          <w:rFonts w:eastAsiaTheme="minorHAnsi" w:cs="Verdana"/>
          <w:lang w:eastAsia="en-US"/>
        </w:rPr>
        <w:t>de conformidad con los artículos 24.1 y 25.2 del Estatuto de la Corte y con los artículos 4, 15</w:t>
      </w:r>
      <w:r w:rsidR="00903056">
        <w:rPr>
          <w:rFonts w:eastAsiaTheme="minorHAnsi" w:cs="Verdana"/>
          <w:lang w:eastAsia="en-US"/>
        </w:rPr>
        <w:t>.1</w:t>
      </w:r>
      <w:r w:rsidRPr="000E736A">
        <w:rPr>
          <w:rFonts w:eastAsiaTheme="minorHAnsi" w:cs="Verdana"/>
          <w:lang w:eastAsia="en-US"/>
        </w:rPr>
        <w:t>, 26.1, 31.2, 35.1, 40.2, 41.1, 45, 46, 50 a 56 y 60 del Reglamento de la Corte,</w:t>
      </w:r>
    </w:p>
    <w:p w14:paraId="6B2283F7" w14:textId="77777777" w:rsidR="00117BB8" w:rsidRPr="000E736A" w:rsidRDefault="00117BB8" w:rsidP="00117BB8">
      <w:pPr>
        <w:widowControl/>
        <w:autoSpaceDE w:val="0"/>
        <w:autoSpaceDN w:val="0"/>
        <w:spacing w:line="240" w:lineRule="auto"/>
        <w:rPr>
          <w:rFonts w:eastAsiaTheme="minorHAnsi" w:cs="Verdana"/>
          <w:lang w:eastAsia="en-US"/>
        </w:rPr>
      </w:pPr>
    </w:p>
    <w:p w14:paraId="78D02417" w14:textId="035C22E2" w:rsidR="00117BB8" w:rsidRPr="000E736A" w:rsidRDefault="00117BB8" w:rsidP="00117BB8">
      <w:pPr>
        <w:widowControl/>
        <w:autoSpaceDE w:val="0"/>
        <w:autoSpaceDN w:val="0"/>
        <w:spacing w:line="240" w:lineRule="auto"/>
        <w:jc w:val="left"/>
        <w:rPr>
          <w:rFonts w:eastAsiaTheme="minorHAnsi" w:cs="Verdana-Bold"/>
          <w:b/>
          <w:bCs/>
          <w:lang w:eastAsia="en-US"/>
        </w:rPr>
      </w:pPr>
      <w:r w:rsidRPr="000E736A">
        <w:rPr>
          <w:rFonts w:eastAsiaTheme="minorHAnsi" w:cs="Verdana-Bold"/>
          <w:b/>
          <w:bCs/>
          <w:lang w:eastAsia="en-US"/>
        </w:rPr>
        <w:t>RESUELVE:</w:t>
      </w:r>
    </w:p>
    <w:p w14:paraId="00B2FADE" w14:textId="77777777" w:rsidR="00117BB8" w:rsidRPr="000E736A" w:rsidRDefault="00117BB8" w:rsidP="00117BB8">
      <w:pPr>
        <w:widowControl/>
        <w:autoSpaceDE w:val="0"/>
        <w:autoSpaceDN w:val="0"/>
        <w:spacing w:line="240" w:lineRule="auto"/>
        <w:jc w:val="left"/>
        <w:rPr>
          <w:rFonts w:eastAsiaTheme="minorHAnsi" w:cs="Verdana-Bold"/>
          <w:b/>
          <w:bCs/>
          <w:lang w:eastAsia="en-US"/>
        </w:rPr>
      </w:pPr>
    </w:p>
    <w:p w14:paraId="1B362E85" w14:textId="5280C67B" w:rsidR="00E563BC" w:rsidRPr="00DA603C" w:rsidRDefault="00E563BC" w:rsidP="00E563BC">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A603C">
        <w:rPr>
          <w:rFonts w:ascii="Verdana" w:hAnsi="Verdana" w:cs="Verdana"/>
          <w:sz w:val="20"/>
          <w:szCs w:val="20"/>
        </w:rPr>
        <w:t xml:space="preserve">Convocar </w:t>
      </w:r>
      <w:r w:rsidR="00C570FB">
        <w:rPr>
          <w:rFonts w:ascii="Verdana" w:hAnsi="Verdana" w:cs="Verdana"/>
          <w:sz w:val="20"/>
          <w:szCs w:val="20"/>
        </w:rPr>
        <w:t xml:space="preserve">a </w:t>
      </w:r>
      <w:r w:rsidR="00DA603C" w:rsidRPr="00DA603C">
        <w:rPr>
          <w:rFonts w:ascii="Verdana" w:hAnsi="Verdana" w:cs="Verdana"/>
          <w:sz w:val="20"/>
          <w:szCs w:val="20"/>
        </w:rPr>
        <w:t>la</w:t>
      </w:r>
      <w:r w:rsidRPr="00DA603C">
        <w:rPr>
          <w:rFonts w:ascii="Verdana" w:hAnsi="Verdana" w:cs="Verdana"/>
          <w:sz w:val="20"/>
          <w:szCs w:val="20"/>
        </w:rPr>
        <w:t xml:space="preserve"> </w:t>
      </w:r>
      <w:r w:rsidR="00DA603C" w:rsidRPr="00DA603C">
        <w:rPr>
          <w:rFonts w:ascii="Verdana" w:hAnsi="Verdana" w:cs="Verdana"/>
          <w:sz w:val="20"/>
          <w:szCs w:val="20"/>
        </w:rPr>
        <w:t>República</w:t>
      </w:r>
      <w:r w:rsidRPr="00DA603C">
        <w:rPr>
          <w:rFonts w:ascii="Verdana" w:hAnsi="Verdana" w:cs="Verdana"/>
          <w:sz w:val="20"/>
          <w:szCs w:val="20"/>
        </w:rPr>
        <w:t xml:space="preserve"> de </w:t>
      </w:r>
      <w:r w:rsidR="00DA603C" w:rsidRPr="00DA603C">
        <w:rPr>
          <w:rFonts w:ascii="Verdana" w:hAnsi="Verdana" w:cs="Verdana"/>
          <w:sz w:val="20"/>
          <w:szCs w:val="20"/>
        </w:rPr>
        <w:t>El Salvador</w:t>
      </w:r>
      <w:r w:rsidRPr="00DA603C">
        <w:rPr>
          <w:rFonts w:ascii="Verdana" w:hAnsi="Verdana" w:cs="Verdana"/>
          <w:sz w:val="20"/>
          <w:szCs w:val="20"/>
        </w:rPr>
        <w:t xml:space="preserve">, </w:t>
      </w:r>
      <w:r w:rsidR="00DA603C" w:rsidRPr="00DA603C">
        <w:rPr>
          <w:rFonts w:ascii="Verdana" w:hAnsi="Verdana" w:cs="Verdana"/>
          <w:sz w:val="20"/>
          <w:szCs w:val="20"/>
        </w:rPr>
        <w:t xml:space="preserve">al representante </w:t>
      </w:r>
      <w:r w:rsidRPr="00DA603C">
        <w:rPr>
          <w:rFonts w:ascii="Verdana" w:hAnsi="Verdana" w:cs="Verdana"/>
          <w:sz w:val="20"/>
          <w:szCs w:val="20"/>
        </w:rPr>
        <w:t>y a la Comisión Interamericana de Derechos Humanos a una audiencia pública que se celebrará</w:t>
      </w:r>
      <w:r w:rsidR="005F72E6" w:rsidRPr="00DA603C">
        <w:rPr>
          <w:rFonts w:ascii="Verdana" w:hAnsi="Verdana" w:cs="Verdana"/>
          <w:sz w:val="20"/>
          <w:szCs w:val="20"/>
        </w:rPr>
        <w:t xml:space="preserve"> de forma presencial</w:t>
      </w:r>
      <w:r w:rsidRPr="00DA603C">
        <w:rPr>
          <w:rFonts w:ascii="Verdana" w:hAnsi="Verdana" w:cs="Verdana"/>
          <w:sz w:val="20"/>
          <w:szCs w:val="20"/>
        </w:rPr>
        <w:t xml:space="preserve"> el día 2</w:t>
      </w:r>
      <w:r w:rsidR="00DA603C" w:rsidRPr="00DA603C">
        <w:rPr>
          <w:rFonts w:ascii="Verdana" w:hAnsi="Verdana" w:cs="Verdana"/>
          <w:sz w:val="20"/>
          <w:szCs w:val="20"/>
        </w:rPr>
        <w:t>2</w:t>
      </w:r>
      <w:r w:rsidRPr="00DA603C">
        <w:rPr>
          <w:rFonts w:ascii="Verdana" w:hAnsi="Verdana" w:cs="Verdana"/>
          <w:sz w:val="20"/>
          <w:szCs w:val="20"/>
        </w:rPr>
        <w:t xml:space="preserve"> de </w:t>
      </w:r>
      <w:r w:rsidR="00DA603C" w:rsidRPr="00DA603C">
        <w:rPr>
          <w:rFonts w:ascii="Verdana" w:hAnsi="Verdana" w:cs="Verdana"/>
          <w:sz w:val="20"/>
          <w:szCs w:val="20"/>
        </w:rPr>
        <w:t>noviembre</w:t>
      </w:r>
      <w:r w:rsidRPr="00DA603C">
        <w:rPr>
          <w:rFonts w:ascii="Verdana" w:hAnsi="Verdana" w:cs="Verdana"/>
          <w:sz w:val="20"/>
          <w:szCs w:val="20"/>
        </w:rPr>
        <w:t xml:space="preserve"> de 2023 a partir de las 9:00 horas, durante el 16</w:t>
      </w:r>
      <w:r w:rsidR="00DA603C" w:rsidRPr="00DA603C">
        <w:rPr>
          <w:rFonts w:ascii="Verdana" w:hAnsi="Verdana" w:cs="Verdana"/>
          <w:sz w:val="20"/>
          <w:szCs w:val="20"/>
        </w:rPr>
        <w:t>3</w:t>
      </w:r>
      <w:r w:rsidRPr="00DA603C">
        <w:rPr>
          <w:rFonts w:ascii="Verdana" w:hAnsi="Verdana" w:cs="Verdana"/>
          <w:sz w:val="20"/>
          <w:szCs w:val="20"/>
        </w:rPr>
        <w:t>° Período Ordinario de Sesiones que se llevará a cabo en San José, Costa Rica, para recibir sus alegatos y observaciones finales orales, respectivamente, sobre</w:t>
      </w:r>
      <w:r w:rsidR="00DA603C" w:rsidRPr="00DA603C">
        <w:rPr>
          <w:rFonts w:ascii="Verdana" w:hAnsi="Verdana" w:cs="Verdana"/>
          <w:sz w:val="20"/>
          <w:szCs w:val="20"/>
        </w:rPr>
        <w:t xml:space="preserve"> el</w:t>
      </w:r>
      <w:r w:rsidRPr="00DA603C">
        <w:rPr>
          <w:rFonts w:ascii="Verdana" w:hAnsi="Verdana" w:cs="Verdana"/>
          <w:sz w:val="20"/>
          <w:szCs w:val="20"/>
        </w:rPr>
        <w:t xml:space="preserve"> fondo,</w:t>
      </w:r>
      <w:r w:rsidR="00DA603C" w:rsidRPr="00DA603C">
        <w:rPr>
          <w:rFonts w:ascii="Verdana" w:hAnsi="Verdana" w:cs="Verdana"/>
          <w:sz w:val="20"/>
          <w:szCs w:val="20"/>
        </w:rPr>
        <w:t xml:space="preserve"> y eventuales</w:t>
      </w:r>
      <w:r w:rsidRPr="00DA603C">
        <w:rPr>
          <w:rFonts w:ascii="Verdana" w:hAnsi="Verdana" w:cs="Verdana"/>
          <w:sz w:val="20"/>
          <w:szCs w:val="20"/>
        </w:rPr>
        <w:t xml:space="preserve"> reparaciones y costas, así como las declaraciones de las siguientes personas:</w:t>
      </w:r>
    </w:p>
    <w:p w14:paraId="23ED4B73" w14:textId="2018AD2F" w:rsidR="00EA36F7" w:rsidRPr="009A3157" w:rsidRDefault="00EA36F7" w:rsidP="00EA36F7">
      <w:pPr>
        <w:widowControl/>
        <w:autoSpaceDE w:val="0"/>
        <w:autoSpaceDN w:val="0"/>
        <w:spacing w:line="240" w:lineRule="auto"/>
        <w:rPr>
          <w:rFonts w:eastAsiaTheme="minorHAnsi" w:cs="Verdana"/>
          <w:highlight w:val="yellow"/>
          <w:lang w:eastAsia="en-US"/>
        </w:rPr>
      </w:pPr>
    </w:p>
    <w:p w14:paraId="13DC3258" w14:textId="79FB462C" w:rsidR="00C5415E" w:rsidRPr="000F203D" w:rsidRDefault="00C5415E" w:rsidP="00C5415E">
      <w:pPr>
        <w:widowControl/>
        <w:autoSpaceDE w:val="0"/>
        <w:autoSpaceDN w:val="0"/>
        <w:spacing w:line="240" w:lineRule="auto"/>
        <w:ind w:firstLine="708"/>
        <w:jc w:val="left"/>
        <w:rPr>
          <w:rFonts w:eastAsiaTheme="minorHAnsi" w:cs="Verdana-Bold"/>
          <w:b/>
          <w:bCs/>
          <w:lang w:eastAsia="en-US"/>
        </w:rPr>
      </w:pPr>
      <w:r w:rsidRPr="000F203D">
        <w:rPr>
          <w:rFonts w:eastAsiaTheme="minorHAnsi" w:cs="Verdana-Bold"/>
          <w:b/>
          <w:bCs/>
          <w:lang w:eastAsia="en-US"/>
        </w:rPr>
        <w:t>A) Presunta</w:t>
      </w:r>
      <w:r w:rsidR="000F203D" w:rsidRPr="000F203D">
        <w:rPr>
          <w:rFonts w:eastAsiaTheme="minorHAnsi" w:cs="Verdana-Bold"/>
          <w:b/>
          <w:bCs/>
          <w:lang w:eastAsia="en-US"/>
        </w:rPr>
        <w:t>s</w:t>
      </w:r>
      <w:r w:rsidRPr="000F203D">
        <w:rPr>
          <w:rFonts w:eastAsiaTheme="minorHAnsi" w:cs="Verdana-Bold"/>
          <w:b/>
          <w:bCs/>
          <w:lang w:eastAsia="en-US"/>
        </w:rPr>
        <w:t xml:space="preserve"> víctima</w:t>
      </w:r>
      <w:r w:rsidR="000F203D" w:rsidRPr="000F203D">
        <w:rPr>
          <w:rFonts w:eastAsiaTheme="minorHAnsi" w:cs="Verdana-Bold"/>
          <w:b/>
          <w:bCs/>
          <w:lang w:eastAsia="en-US"/>
        </w:rPr>
        <w:t>s</w:t>
      </w:r>
    </w:p>
    <w:p w14:paraId="046109EF" w14:textId="73F101E4" w:rsidR="00C5415E" w:rsidRPr="000F203D" w:rsidRDefault="00C5415E" w:rsidP="000F203D">
      <w:pPr>
        <w:widowControl/>
        <w:autoSpaceDE w:val="0"/>
        <w:autoSpaceDN w:val="0"/>
        <w:spacing w:line="240" w:lineRule="auto"/>
        <w:rPr>
          <w:rFonts w:eastAsiaTheme="minorHAnsi" w:cs="Verdana-Italic"/>
          <w:lang w:eastAsia="en-US"/>
        </w:rPr>
      </w:pPr>
    </w:p>
    <w:p w14:paraId="7FE27213" w14:textId="4BD36FD8" w:rsidR="00C5415E" w:rsidRPr="000F203D" w:rsidRDefault="002B2306" w:rsidP="002B2306">
      <w:pPr>
        <w:pStyle w:val="Prrafodelista"/>
        <w:widowControl/>
        <w:numPr>
          <w:ilvl w:val="0"/>
          <w:numId w:val="36"/>
        </w:numPr>
        <w:autoSpaceDE w:val="0"/>
        <w:autoSpaceDN w:val="0"/>
        <w:spacing w:line="240" w:lineRule="auto"/>
      </w:pPr>
      <w:r w:rsidRPr="000F203D">
        <w:rPr>
          <w:i/>
          <w:iCs/>
        </w:rPr>
        <w:t>Ana Gladys Pérez de Castro</w:t>
      </w:r>
      <w:r w:rsidR="0075299B" w:rsidRPr="000F203D">
        <w:rPr>
          <w:i/>
          <w:iCs/>
        </w:rPr>
        <w:t>,</w:t>
      </w:r>
      <w:r w:rsidR="00E61D29">
        <w:rPr>
          <w:i/>
          <w:iCs/>
        </w:rPr>
        <w:t xml:space="preserve"> </w:t>
      </w:r>
      <w:r w:rsidR="0075299B" w:rsidRPr="000F203D">
        <w:t xml:space="preserve">quien declarará sobre: </w:t>
      </w:r>
      <w:r w:rsidR="001366D8" w:rsidRPr="000F203D">
        <w:t xml:space="preserve">(i) </w:t>
      </w:r>
      <w:r w:rsidR="008A6588" w:rsidRPr="000F203D">
        <w:t>los hechos del presente caso</w:t>
      </w:r>
      <w:r w:rsidR="001A2CF7" w:rsidRPr="000F203D">
        <w:t xml:space="preserve"> y,</w:t>
      </w:r>
      <w:r w:rsidR="008A6588" w:rsidRPr="000F203D">
        <w:t xml:space="preserve"> particularmente</w:t>
      </w:r>
      <w:r w:rsidR="001A2CF7" w:rsidRPr="000F203D">
        <w:t>,</w:t>
      </w:r>
      <w:r w:rsidR="008A6588" w:rsidRPr="000F203D">
        <w:t xml:space="preserve"> sobre</w:t>
      </w:r>
      <w:r w:rsidR="001366D8" w:rsidRPr="000F203D">
        <w:t xml:space="preserve"> </w:t>
      </w:r>
      <w:r w:rsidRPr="000F203D">
        <w:t>la alegada desaparición forzada de su madre, Julia Orbelina Pérez;</w:t>
      </w:r>
      <w:r w:rsidR="001366D8" w:rsidRPr="000F203D">
        <w:t xml:space="preserve"> (ii) </w:t>
      </w:r>
      <w:r w:rsidR="001A2CF7" w:rsidRPr="000F203D">
        <w:t xml:space="preserve">el impacto que las alegadas violaciones de derechos humanos sufridas habrían tenido en el ámbito personal y </w:t>
      </w:r>
      <w:r w:rsidRPr="000F203D">
        <w:t>económico</w:t>
      </w:r>
      <w:r w:rsidR="001A2CF7" w:rsidRPr="000F203D">
        <w:t xml:space="preserve">, y </w:t>
      </w:r>
      <w:r w:rsidRPr="000F203D">
        <w:t>(iii</w:t>
      </w:r>
      <w:r w:rsidR="001A2CF7" w:rsidRPr="000F203D">
        <w:t xml:space="preserve">) las medidas que el Estado </w:t>
      </w:r>
      <w:r w:rsidRPr="000F203D">
        <w:t>salvadoreño</w:t>
      </w:r>
      <w:r w:rsidR="001A2CF7" w:rsidRPr="000F203D">
        <w:t xml:space="preserve"> debería adoptar para reparar el daño causado.</w:t>
      </w:r>
    </w:p>
    <w:p w14:paraId="655EA18E" w14:textId="77777777" w:rsidR="002B2306" w:rsidRPr="000F203D" w:rsidRDefault="002B2306" w:rsidP="002B2306">
      <w:pPr>
        <w:pStyle w:val="Prrafodelista"/>
        <w:widowControl/>
        <w:autoSpaceDE w:val="0"/>
        <w:autoSpaceDN w:val="0"/>
        <w:spacing w:line="240" w:lineRule="auto"/>
        <w:ind w:left="1068"/>
      </w:pPr>
    </w:p>
    <w:p w14:paraId="000D452C" w14:textId="77777777" w:rsidR="00D530E3" w:rsidRPr="00D16FE2" w:rsidRDefault="00D530E3" w:rsidP="00D530E3">
      <w:pPr>
        <w:pStyle w:val="Prrafodelista"/>
        <w:widowControl/>
        <w:numPr>
          <w:ilvl w:val="0"/>
          <w:numId w:val="36"/>
        </w:numPr>
        <w:autoSpaceDE w:val="0"/>
        <w:autoSpaceDN w:val="0"/>
        <w:spacing w:line="240" w:lineRule="auto"/>
      </w:pPr>
      <w:r>
        <w:rPr>
          <w:i/>
          <w:iCs/>
        </w:rPr>
        <w:t>Francisco Alfredo Álvarez Solís</w:t>
      </w:r>
      <w:r w:rsidRPr="000F203D">
        <w:rPr>
          <w:i/>
          <w:iCs/>
        </w:rPr>
        <w:t xml:space="preserve">, </w:t>
      </w:r>
      <w:r w:rsidRPr="000F203D">
        <w:t xml:space="preserve">quien declarará sobre: (i) los hechos del presente caso y, particularmente, sobre la alegada desaparición forzada de </w:t>
      </w:r>
      <w:r w:rsidRPr="000F203D">
        <w:lastRenderedPageBreak/>
        <w:t xml:space="preserve">su </w:t>
      </w:r>
      <w:r>
        <w:t>exesposa</w:t>
      </w:r>
      <w:r w:rsidRPr="000F203D">
        <w:t>, Patricia Emilie Cuéllar Sandoval; (ii) el impacto que las alegadas violaciones de derechos humanos sufridas habrían tenido en el ámbito personal y económico, y (iii</w:t>
      </w:r>
      <w:r w:rsidRPr="00D16FE2">
        <w:t>) las medidas que el Estado salvadoreño debería adoptar para reparar el daño causado.</w:t>
      </w:r>
    </w:p>
    <w:p w14:paraId="528D18B8" w14:textId="77777777" w:rsidR="005009D0" w:rsidRPr="00D16FE2" w:rsidRDefault="005009D0" w:rsidP="000A6B0B">
      <w:pPr>
        <w:pStyle w:val="Prrafodelista"/>
      </w:pPr>
    </w:p>
    <w:p w14:paraId="4B560D88" w14:textId="77777777" w:rsidR="005009D0" w:rsidRPr="00D16FE2" w:rsidRDefault="005009D0" w:rsidP="005009D0">
      <w:pPr>
        <w:widowControl/>
        <w:autoSpaceDE w:val="0"/>
        <w:autoSpaceDN w:val="0"/>
        <w:spacing w:line="240" w:lineRule="auto"/>
        <w:ind w:firstLine="708"/>
        <w:jc w:val="left"/>
        <w:rPr>
          <w:rFonts w:eastAsiaTheme="minorHAnsi" w:cs="Verdana-Bold"/>
          <w:b/>
          <w:bCs/>
          <w:lang w:eastAsia="en-US"/>
        </w:rPr>
      </w:pPr>
      <w:r w:rsidRPr="00D16FE2">
        <w:rPr>
          <w:rFonts w:eastAsiaTheme="minorHAnsi" w:cs="Verdana-Bold"/>
          <w:b/>
          <w:bCs/>
          <w:lang w:eastAsia="en-US"/>
        </w:rPr>
        <w:t>B) Testigo</w:t>
      </w:r>
    </w:p>
    <w:p w14:paraId="3F51FA8A" w14:textId="77777777" w:rsidR="005009D0" w:rsidRPr="00D16FE2" w:rsidRDefault="005009D0" w:rsidP="005009D0">
      <w:pPr>
        <w:widowControl/>
        <w:autoSpaceDE w:val="0"/>
        <w:autoSpaceDN w:val="0"/>
        <w:spacing w:line="240" w:lineRule="auto"/>
        <w:ind w:left="708"/>
      </w:pPr>
    </w:p>
    <w:p w14:paraId="47055BB2" w14:textId="77777777" w:rsidR="005009D0" w:rsidRPr="00D16FE2" w:rsidRDefault="005009D0" w:rsidP="005009D0">
      <w:pPr>
        <w:widowControl/>
        <w:autoSpaceDE w:val="0"/>
        <w:autoSpaceDN w:val="0"/>
        <w:spacing w:line="240" w:lineRule="auto"/>
        <w:ind w:left="708"/>
        <w:rPr>
          <w:rFonts w:eastAsiaTheme="minorHAnsi" w:cs="Verdana-Italic"/>
          <w:i/>
          <w:iCs/>
          <w:lang w:eastAsia="en-US"/>
        </w:rPr>
      </w:pPr>
      <w:r w:rsidRPr="00D16FE2">
        <w:rPr>
          <w:rFonts w:eastAsiaTheme="minorHAnsi" w:cs="Verdana-Italic"/>
          <w:i/>
          <w:iCs/>
          <w:lang w:eastAsia="en-US"/>
        </w:rPr>
        <w:t xml:space="preserve">    (Propuesto por el Estado)</w:t>
      </w:r>
    </w:p>
    <w:p w14:paraId="339B9428" w14:textId="77777777" w:rsidR="005009D0" w:rsidRPr="00D16FE2" w:rsidRDefault="005009D0" w:rsidP="005009D0">
      <w:pPr>
        <w:widowControl/>
        <w:autoSpaceDE w:val="0"/>
        <w:autoSpaceDN w:val="0"/>
        <w:spacing w:line="240" w:lineRule="auto"/>
        <w:ind w:left="708"/>
      </w:pPr>
    </w:p>
    <w:p w14:paraId="31D1A3FE" w14:textId="19622C51" w:rsidR="005009D0" w:rsidRPr="00D16FE2" w:rsidRDefault="005009D0" w:rsidP="00BF5D0C">
      <w:pPr>
        <w:pStyle w:val="Prrafodelista"/>
        <w:widowControl/>
        <w:numPr>
          <w:ilvl w:val="0"/>
          <w:numId w:val="36"/>
        </w:numPr>
        <w:autoSpaceDE w:val="0"/>
        <w:autoSpaceDN w:val="0"/>
        <w:spacing w:line="240" w:lineRule="auto"/>
      </w:pPr>
      <w:r w:rsidRPr="00D16FE2">
        <w:rPr>
          <w:i/>
          <w:iCs/>
        </w:rPr>
        <w:t xml:space="preserve">Elsy Lourdes Flores Sosa, </w:t>
      </w:r>
      <w:r w:rsidRPr="00D16FE2">
        <w:t>Coordinadora de las Comisiones Nacionales de Búsqueda de El Salvador</w:t>
      </w:r>
      <w:r w:rsidRPr="00D16FE2">
        <w:rPr>
          <w:i/>
          <w:iCs/>
        </w:rPr>
        <w:t xml:space="preserve">, </w:t>
      </w:r>
      <w:r w:rsidRPr="00D16FE2">
        <w:t>quien rendirá testimonio sobre: la creación y funcionamiento de los mecanismos administrativos de búsqueda de personas desaparecidas forzadamente en El Salvador. La declarante podrá referirse a las alegadas acciones desarrolladas para la investigación de los hechos que dieron origen al presente caso.</w:t>
      </w:r>
    </w:p>
    <w:p w14:paraId="746F364C" w14:textId="6AC7F766" w:rsidR="001655DC" w:rsidRPr="00D16FE2" w:rsidRDefault="001655DC" w:rsidP="00117BB8">
      <w:pPr>
        <w:widowControl/>
        <w:autoSpaceDE w:val="0"/>
        <w:autoSpaceDN w:val="0"/>
        <w:spacing w:line="240" w:lineRule="auto"/>
        <w:rPr>
          <w:rFonts w:eastAsiaTheme="minorHAnsi" w:cs="Verdana"/>
          <w:lang w:eastAsia="en-US"/>
        </w:rPr>
      </w:pPr>
    </w:p>
    <w:p w14:paraId="72B59DDC" w14:textId="11FEFD81" w:rsidR="00A0266D" w:rsidRPr="00D16FE2" w:rsidRDefault="00BF6707" w:rsidP="00D530E3">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16FE2">
        <w:rPr>
          <w:rFonts w:cs="Verdana"/>
        </w:rPr>
        <w:tab/>
      </w:r>
      <w:r w:rsidR="00A0266D" w:rsidRPr="00D16FE2">
        <w:rPr>
          <w:rFonts w:ascii="Verdana" w:hAnsi="Verdana" w:cs="Verdana"/>
          <w:sz w:val="20"/>
          <w:szCs w:val="20"/>
        </w:rPr>
        <w:t>Requerir, de conformidad con el principio de economía procesal y de la facultad que le otorga el artículo 50.1 del Reglamento de la Corte, que las siguientes personas presten su declaración</w:t>
      </w:r>
      <w:r w:rsidR="00351F03">
        <w:rPr>
          <w:rFonts w:ascii="Verdana" w:hAnsi="Verdana" w:cs="Verdana"/>
          <w:sz w:val="20"/>
          <w:szCs w:val="20"/>
        </w:rPr>
        <w:t xml:space="preserve"> </w:t>
      </w:r>
      <w:r w:rsidR="00A0266D" w:rsidRPr="00D16FE2">
        <w:rPr>
          <w:rFonts w:ascii="Verdana" w:hAnsi="Verdana" w:cs="Verdana"/>
          <w:sz w:val="20"/>
          <w:szCs w:val="20"/>
        </w:rPr>
        <w:t>ante fedatario público:</w:t>
      </w:r>
    </w:p>
    <w:p w14:paraId="490D3924" w14:textId="5A5CD46D" w:rsidR="00D47F61" w:rsidRPr="00D16FE2" w:rsidRDefault="007676FD" w:rsidP="00E563BC">
      <w:pPr>
        <w:widowControl/>
        <w:autoSpaceDE w:val="0"/>
        <w:autoSpaceDN w:val="0"/>
        <w:spacing w:line="240" w:lineRule="auto"/>
        <w:rPr>
          <w:rFonts w:eastAsiaTheme="minorHAnsi" w:cs="Verdana"/>
          <w:lang w:eastAsia="en-US"/>
        </w:rPr>
      </w:pPr>
      <w:r w:rsidRPr="00D16FE2">
        <w:rPr>
          <w:rFonts w:eastAsiaTheme="minorHAnsi" w:cs="Verdana"/>
          <w:lang w:eastAsia="en-US"/>
        </w:rPr>
        <w:tab/>
      </w:r>
    </w:p>
    <w:p w14:paraId="6C138C09" w14:textId="21E166AD" w:rsidR="005F72E6" w:rsidRPr="00D16FE2" w:rsidRDefault="005F72E6" w:rsidP="005F72E6">
      <w:pPr>
        <w:widowControl/>
        <w:autoSpaceDE w:val="0"/>
        <w:autoSpaceDN w:val="0"/>
        <w:spacing w:line="240" w:lineRule="auto"/>
        <w:jc w:val="left"/>
        <w:rPr>
          <w:rFonts w:eastAsiaTheme="minorHAnsi" w:cs="Verdana-Bold"/>
          <w:b/>
          <w:bCs/>
          <w:lang w:eastAsia="en-US"/>
        </w:rPr>
      </w:pPr>
      <w:r w:rsidRPr="00D16FE2">
        <w:rPr>
          <w:rFonts w:eastAsiaTheme="minorHAnsi" w:cs="Verdana"/>
          <w:lang w:eastAsia="en-US"/>
        </w:rPr>
        <w:tab/>
      </w:r>
      <w:r w:rsidRPr="00D16FE2">
        <w:rPr>
          <w:rFonts w:eastAsiaTheme="minorHAnsi" w:cs="Verdana-Bold"/>
          <w:b/>
          <w:bCs/>
          <w:lang w:eastAsia="en-US"/>
        </w:rPr>
        <w:t xml:space="preserve">A) </w:t>
      </w:r>
      <w:r w:rsidR="000F203D" w:rsidRPr="00D16FE2">
        <w:rPr>
          <w:rFonts w:eastAsiaTheme="minorHAnsi" w:cs="Verdana-Bold"/>
          <w:b/>
          <w:bCs/>
          <w:lang w:eastAsia="en-US"/>
        </w:rPr>
        <w:t>Presunta</w:t>
      </w:r>
      <w:r w:rsidR="00E61D29" w:rsidRPr="00D16FE2">
        <w:rPr>
          <w:rFonts w:eastAsiaTheme="minorHAnsi" w:cs="Verdana-Bold"/>
          <w:b/>
          <w:bCs/>
          <w:lang w:eastAsia="en-US"/>
        </w:rPr>
        <w:t>s</w:t>
      </w:r>
      <w:r w:rsidR="000F203D" w:rsidRPr="00D16FE2">
        <w:rPr>
          <w:rFonts w:eastAsiaTheme="minorHAnsi" w:cs="Verdana-Bold"/>
          <w:b/>
          <w:bCs/>
          <w:lang w:eastAsia="en-US"/>
        </w:rPr>
        <w:t xml:space="preserve"> Víctima</w:t>
      </w:r>
      <w:r w:rsidR="00E61D29" w:rsidRPr="00D16FE2">
        <w:rPr>
          <w:rFonts w:eastAsiaTheme="minorHAnsi" w:cs="Verdana-Bold"/>
          <w:b/>
          <w:bCs/>
          <w:lang w:eastAsia="en-US"/>
        </w:rPr>
        <w:t>s</w:t>
      </w:r>
    </w:p>
    <w:p w14:paraId="23435B76" w14:textId="77777777" w:rsidR="00D47F61" w:rsidRPr="00D16FE2" w:rsidRDefault="00D47F61" w:rsidP="000F203D">
      <w:pPr>
        <w:widowControl/>
        <w:autoSpaceDE w:val="0"/>
        <w:autoSpaceDN w:val="0"/>
        <w:spacing w:line="240" w:lineRule="auto"/>
        <w:rPr>
          <w:rFonts w:eastAsiaTheme="minorHAnsi" w:cs="Verdana"/>
          <w:i/>
          <w:iCs/>
          <w:lang w:eastAsia="en-US"/>
        </w:rPr>
      </w:pPr>
    </w:p>
    <w:p w14:paraId="4564C7C4" w14:textId="77777777" w:rsidR="00584A4E" w:rsidRPr="00D16FE2" w:rsidRDefault="00584A4E" w:rsidP="00BF5D0C">
      <w:pPr>
        <w:pStyle w:val="Prrafodelista"/>
        <w:widowControl/>
        <w:numPr>
          <w:ilvl w:val="0"/>
          <w:numId w:val="36"/>
        </w:numPr>
        <w:autoSpaceDE w:val="0"/>
        <w:autoSpaceDN w:val="0"/>
        <w:spacing w:line="240" w:lineRule="auto"/>
      </w:pPr>
      <w:r w:rsidRPr="00D16FE2">
        <w:rPr>
          <w:i/>
          <w:iCs/>
        </w:rPr>
        <w:t xml:space="preserve">Ana Gabriela Álvarez Cuéllar, </w:t>
      </w:r>
      <w:r w:rsidRPr="00D16FE2">
        <w:t>quien declarará sobre: (i) los hechos del presente caso y, particularmente, sobre la alegada desaparición forzada de su madre, Patricia Emilie Cuéllar Sandoval; (ii) el impacto que las alegadas violaciones de derechos humanos sufridas habrían tenido en el ámbito personal y económico, y (iii) las medidas que el Estado salvadoreño debería adoptar para reparar el daño causado.</w:t>
      </w:r>
    </w:p>
    <w:p w14:paraId="1CA98BDB" w14:textId="77777777" w:rsidR="00584A4E" w:rsidRPr="00D16FE2" w:rsidRDefault="00584A4E" w:rsidP="00584A4E">
      <w:pPr>
        <w:pStyle w:val="Prrafodelista"/>
        <w:widowControl/>
        <w:autoSpaceDE w:val="0"/>
        <w:autoSpaceDN w:val="0"/>
        <w:spacing w:line="240" w:lineRule="auto"/>
        <w:ind w:left="1068"/>
      </w:pPr>
    </w:p>
    <w:p w14:paraId="6A015254" w14:textId="0A4221AD" w:rsidR="000F203D" w:rsidRPr="00D16FE2" w:rsidRDefault="000F203D" w:rsidP="00BF5D0C">
      <w:pPr>
        <w:pStyle w:val="Prrafodelista"/>
        <w:widowControl/>
        <w:numPr>
          <w:ilvl w:val="0"/>
          <w:numId w:val="36"/>
        </w:numPr>
        <w:autoSpaceDE w:val="0"/>
        <w:autoSpaceDN w:val="0"/>
        <w:spacing w:line="240" w:lineRule="auto"/>
      </w:pPr>
      <w:r w:rsidRPr="00D16FE2">
        <w:rPr>
          <w:i/>
          <w:iCs/>
        </w:rPr>
        <w:t xml:space="preserve">Javier Ernesto Álvarez Cuéllar, </w:t>
      </w:r>
      <w:r w:rsidRPr="00D16FE2">
        <w:t>quien declarará sobre: (i) los hechos del presente caso y, particularmente, sobre la alegada desaparición forzada de su madre, Patricia Emilie Cuéllar Sandoval; (ii) el impacto que las alegadas violaciones de derechos humanos sufridas habrían tenido en el ámbito personal y económico, y (iii) las medidas que el Estado salvadoreño debería adoptar para reparar el daño causado.</w:t>
      </w:r>
    </w:p>
    <w:p w14:paraId="27EE828B" w14:textId="77777777" w:rsidR="00E61D29" w:rsidRPr="00D16FE2" w:rsidRDefault="00E61D29" w:rsidP="00E61D29">
      <w:pPr>
        <w:pStyle w:val="Prrafodelista"/>
        <w:widowControl/>
        <w:autoSpaceDE w:val="0"/>
        <w:autoSpaceDN w:val="0"/>
        <w:spacing w:line="240" w:lineRule="auto"/>
        <w:ind w:left="1068"/>
      </w:pPr>
    </w:p>
    <w:p w14:paraId="3732C039" w14:textId="4FC052EE" w:rsidR="00760724" w:rsidRPr="00D16FE2" w:rsidRDefault="00760724" w:rsidP="000F203D">
      <w:pPr>
        <w:widowControl/>
        <w:autoSpaceDE w:val="0"/>
        <w:autoSpaceDN w:val="0"/>
        <w:spacing w:line="240" w:lineRule="auto"/>
        <w:ind w:left="708"/>
      </w:pPr>
    </w:p>
    <w:p w14:paraId="4AB6D1F0" w14:textId="26129BBE" w:rsidR="00726A65" w:rsidRPr="00D16FE2" w:rsidRDefault="00726A65" w:rsidP="00E563BC">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16FE2">
        <w:rPr>
          <w:rFonts w:ascii="Verdana" w:hAnsi="Verdana" w:cs="Verdana"/>
          <w:sz w:val="20"/>
          <w:szCs w:val="20"/>
        </w:rPr>
        <w:t>Requerir a las partes y a la Comisión que notifiquen la presente Resolución a los</w:t>
      </w:r>
      <w:r w:rsidR="00DA0FC7" w:rsidRPr="00D16FE2">
        <w:rPr>
          <w:rFonts w:ascii="Verdana" w:hAnsi="Verdana" w:cs="Verdana"/>
          <w:sz w:val="20"/>
          <w:szCs w:val="20"/>
        </w:rPr>
        <w:t xml:space="preserve"> </w:t>
      </w:r>
      <w:r w:rsidRPr="00D16FE2">
        <w:rPr>
          <w:rFonts w:ascii="Verdana" w:hAnsi="Verdana" w:cs="Verdana"/>
          <w:sz w:val="20"/>
          <w:szCs w:val="20"/>
        </w:rPr>
        <w:t>declarantes propuestos por ellos, de conformidad con lo dispuesto en los artículos 50.2 y 50.4</w:t>
      </w:r>
      <w:r w:rsidR="00DA0FC7" w:rsidRPr="00D16FE2">
        <w:rPr>
          <w:rFonts w:ascii="Verdana" w:hAnsi="Verdana" w:cs="Verdana"/>
          <w:sz w:val="20"/>
          <w:szCs w:val="20"/>
        </w:rPr>
        <w:t xml:space="preserve"> </w:t>
      </w:r>
      <w:r w:rsidRPr="00D16FE2">
        <w:rPr>
          <w:rFonts w:ascii="Verdana" w:hAnsi="Verdana" w:cs="Verdana"/>
          <w:sz w:val="20"/>
          <w:szCs w:val="20"/>
        </w:rPr>
        <w:t xml:space="preserve">del Reglamento. </w:t>
      </w:r>
    </w:p>
    <w:p w14:paraId="21BC9B4E" w14:textId="77777777" w:rsidR="00DA0FC7" w:rsidRPr="00D16FE2" w:rsidRDefault="00DA0FC7" w:rsidP="00DA0FC7">
      <w:pPr>
        <w:widowControl/>
        <w:autoSpaceDE w:val="0"/>
        <w:autoSpaceDN w:val="0"/>
        <w:spacing w:line="240" w:lineRule="auto"/>
        <w:rPr>
          <w:rFonts w:eastAsiaTheme="minorHAnsi" w:cs="Verdana"/>
          <w:lang w:eastAsia="en-US"/>
        </w:rPr>
      </w:pPr>
    </w:p>
    <w:p w14:paraId="5E89DA61" w14:textId="20BBA8DE" w:rsidR="00726A65" w:rsidRPr="00D16FE2" w:rsidRDefault="00726A65" w:rsidP="00E563BC">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16FE2">
        <w:rPr>
          <w:rFonts w:ascii="Verdana" w:hAnsi="Verdana" w:cs="Verdana"/>
          <w:sz w:val="20"/>
          <w:szCs w:val="20"/>
        </w:rPr>
        <w:t xml:space="preserve">Requerir </w:t>
      </w:r>
      <w:r w:rsidR="0078420F" w:rsidRPr="00D16FE2">
        <w:rPr>
          <w:rFonts w:ascii="Verdana" w:hAnsi="Verdana" w:cs="Verdana"/>
          <w:sz w:val="20"/>
          <w:szCs w:val="20"/>
        </w:rPr>
        <w:t xml:space="preserve">al </w:t>
      </w:r>
      <w:r w:rsidR="0021496E" w:rsidRPr="00D16FE2">
        <w:rPr>
          <w:rFonts w:ascii="Verdana" w:hAnsi="Verdana" w:cs="Verdana"/>
          <w:sz w:val="20"/>
          <w:szCs w:val="20"/>
        </w:rPr>
        <w:t xml:space="preserve">Estado </w:t>
      </w:r>
      <w:r w:rsidRPr="00D16FE2">
        <w:rPr>
          <w:rFonts w:ascii="Verdana" w:hAnsi="Verdana" w:cs="Verdana"/>
          <w:sz w:val="20"/>
          <w:szCs w:val="20"/>
        </w:rPr>
        <w:t>para que remita, en los términos del artículo 50.5 del Reglamento,</w:t>
      </w:r>
      <w:r w:rsidR="00DA0FC7" w:rsidRPr="00D16FE2">
        <w:rPr>
          <w:rFonts w:ascii="Verdana" w:hAnsi="Verdana" w:cs="Verdana"/>
          <w:sz w:val="20"/>
          <w:szCs w:val="20"/>
        </w:rPr>
        <w:t xml:space="preserve"> </w:t>
      </w:r>
      <w:r w:rsidRPr="00D16FE2">
        <w:rPr>
          <w:rFonts w:ascii="Verdana" w:hAnsi="Verdana" w:cs="Verdana"/>
          <w:sz w:val="20"/>
          <w:szCs w:val="20"/>
        </w:rPr>
        <w:t xml:space="preserve">de considerarlo pertinente y en el plazo improrrogable que vence el </w:t>
      </w:r>
      <w:r w:rsidR="00280D71">
        <w:rPr>
          <w:rFonts w:ascii="Verdana" w:hAnsi="Verdana" w:cs="Verdana"/>
          <w:sz w:val="20"/>
          <w:szCs w:val="20"/>
        </w:rPr>
        <w:t>27</w:t>
      </w:r>
      <w:r w:rsidRPr="00D16FE2">
        <w:rPr>
          <w:rFonts w:ascii="Verdana" w:hAnsi="Verdana" w:cs="Verdana"/>
          <w:sz w:val="20"/>
          <w:szCs w:val="20"/>
        </w:rPr>
        <w:t xml:space="preserve"> de </w:t>
      </w:r>
      <w:r w:rsidR="000F203D" w:rsidRPr="00D16FE2">
        <w:rPr>
          <w:rFonts w:ascii="Verdana" w:hAnsi="Verdana" w:cs="Verdana"/>
          <w:sz w:val="20"/>
          <w:szCs w:val="20"/>
        </w:rPr>
        <w:t>octubre</w:t>
      </w:r>
      <w:r w:rsidRPr="00D16FE2">
        <w:rPr>
          <w:rFonts w:ascii="Verdana" w:hAnsi="Verdana" w:cs="Verdana"/>
          <w:sz w:val="20"/>
          <w:szCs w:val="20"/>
        </w:rPr>
        <w:t xml:space="preserve"> de </w:t>
      </w:r>
      <w:r w:rsidR="0021496E" w:rsidRPr="00D16FE2">
        <w:rPr>
          <w:rFonts w:ascii="Verdana" w:hAnsi="Verdana" w:cs="Verdana"/>
          <w:sz w:val="20"/>
          <w:szCs w:val="20"/>
        </w:rPr>
        <w:t>2023</w:t>
      </w:r>
      <w:r w:rsidRPr="00D16FE2">
        <w:rPr>
          <w:rFonts w:ascii="Verdana" w:hAnsi="Verdana" w:cs="Verdana"/>
          <w:sz w:val="20"/>
          <w:szCs w:val="20"/>
        </w:rPr>
        <w:t>, las</w:t>
      </w:r>
      <w:r w:rsidR="00DA0FC7" w:rsidRPr="00D16FE2">
        <w:rPr>
          <w:rFonts w:ascii="Verdana" w:hAnsi="Verdana" w:cs="Verdana"/>
          <w:sz w:val="20"/>
          <w:szCs w:val="20"/>
        </w:rPr>
        <w:t xml:space="preserve"> </w:t>
      </w:r>
      <w:r w:rsidRPr="00D16FE2">
        <w:rPr>
          <w:rFonts w:ascii="Verdana" w:hAnsi="Verdana" w:cs="Verdana"/>
          <w:sz w:val="20"/>
          <w:szCs w:val="20"/>
        </w:rPr>
        <w:t>preguntas que estime</w:t>
      </w:r>
      <w:r w:rsidR="00BE193D" w:rsidRPr="00D16FE2">
        <w:rPr>
          <w:rFonts w:ascii="Verdana" w:hAnsi="Verdana" w:cs="Verdana"/>
          <w:sz w:val="20"/>
          <w:szCs w:val="20"/>
        </w:rPr>
        <w:t>n</w:t>
      </w:r>
      <w:r w:rsidRPr="00D16FE2">
        <w:rPr>
          <w:rFonts w:ascii="Verdana" w:hAnsi="Verdana" w:cs="Verdana"/>
          <w:sz w:val="20"/>
          <w:szCs w:val="20"/>
        </w:rPr>
        <w:t xml:space="preserve"> pertinente formular, a través de la Corte Interamericana, a</w:t>
      </w:r>
      <w:r w:rsidR="00CB1A14" w:rsidRPr="00D16FE2">
        <w:rPr>
          <w:rFonts w:ascii="Verdana" w:hAnsi="Verdana" w:cs="Verdana"/>
          <w:sz w:val="20"/>
          <w:szCs w:val="20"/>
        </w:rPr>
        <w:t xml:space="preserve"> </w:t>
      </w:r>
      <w:r w:rsidR="000F203D" w:rsidRPr="00D16FE2">
        <w:rPr>
          <w:rFonts w:ascii="Verdana" w:hAnsi="Verdana" w:cs="Verdana"/>
          <w:sz w:val="20"/>
          <w:szCs w:val="20"/>
        </w:rPr>
        <w:t>l</w:t>
      </w:r>
      <w:r w:rsidR="00CB1A14" w:rsidRPr="00D16FE2">
        <w:rPr>
          <w:rFonts w:ascii="Verdana" w:hAnsi="Verdana" w:cs="Verdana"/>
          <w:sz w:val="20"/>
          <w:szCs w:val="20"/>
        </w:rPr>
        <w:t>os</w:t>
      </w:r>
      <w:r w:rsidR="00DA0FC7" w:rsidRPr="00D16FE2">
        <w:rPr>
          <w:rFonts w:ascii="Verdana" w:hAnsi="Verdana" w:cs="Verdana"/>
          <w:sz w:val="20"/>
          <w:szCs w:val="20"/>
        </w:rPr>
        <w:t xml:space="preserve"> </w:t>
      </w:r>
      <w:r w:rsidRPr="00D16FE2">
        <w:rPr>
          <w:rFonts w:ascii="Verdana" w:hAnsi="Verdana" w:cs="Verdana"/>
          <w:sz w:val="20"/>
          <w:szCs w:val="20"/>
        </w:rPr>
        <w:t>declarante</w:t>
      </w:r>
      <w:r w:rsidR="00CB1A14" w:rsidRPr="00D16FE2">
        <w:rPr>
          <w:rFonts w:ascii="Verdana" w:hAnsi="Verdana" w:cs="Verdana"/>
          <w:sz w:val="20"/>
          <w:szCs w:val="20"/>
        </w:rPr>
        <w:t>s</w:t>
      </w:r>
      <w:r w:rsidRPr="00D16FE2">
        <w:rPr>
          <w:rFonts w:ascii="Verdana" w:hAnsi="Verdana" w:cs="Verdana"/>
          <w:sz w:val="20"/>
          <w:szCs w:val="20"/>
        </w:rPr>
        <w:t xml:space="preserve"> indicado</w:t>
      </w:r>
      <w:r w:rsidR="00BE193D" w:rsidRPr="00D16FE2">
        <w:rPr>
          <w:rFonts w:ascii="Verdana" w:hAnsi="Verdana" w:cs="Verdana"/>
          <w:sz w:val="20"/>
          <w:szCs w:val="20"/>
        </w:rPr>
        <w:t>s</w:t>
      </w:r>
      <w:r w:rsidRPr="00D16FE2">
        <w:rPr>
          <w:rFonts w:ascii="Verdana" w:hAnsi="Verdana" w:cs="Verdana"/>
          <w:sz w:val="20"/>
          <w:szCs w:val="20"/>
        </w:rPr>
        <w:t xml:space="preserve"> en el punto resolutivo </w:t>
      </w:r>
      <w:r w:rsidR="00F83795" w:rsidRPr="00D16FE2">
        <w:rPr>
          <w:rFonts w:ascii="Verdana" w:hAnsi="Verdana" w:cs="Verdana"/>
          <w:sz w:val="20"/>
          <w:szCs w:val="20"/>
        </w:rPr>
        <w:t>2</w:t>
      </w:r>
      <w:r w:rsidRPr="00D16FE2">
        <w:rPr>
          <w:rFonts w:ascii="Verdana" w:hAnsi="Verdana" w:cs="Verdana"/>
          <w:sz w:val="20"/>
          <w:szCs w:val="20"/>
        </w:rPr>
        <w:t xml:space="preserve"> de la presente Resolución</w:t>
      </w:r>
      <w:r w:rsidR="0078420F" w:rsidRPr="00D16FE2">
        <w:rPr>
          <w:rFonts w:ascii="Verdana" w:hAnsi="Verdana" w:cs="Verdana"/>
          <w:sz w:val="20"/>
          <w:szCs w:val="20"/>
        </w:rPr>
        <w:t>, según corresponda</w:t>
      </w:r>
      <w:r w:rsidRPr="00D16FE2">
        <w:rPr>
          <w:rFonts w:ascii="Verdana" w:hAnsi="Verdana" w:cs="Verdana"/>
          <w:sz w:val="20"/>
          <w:szCs w:val="20"/>
        </w:rPr>
        <w:t>.</w:t>
      </w:r>
    </w:p>
    <w:p w14:paraId="6AA4AE24" w14:textId="77777777" w:rsidR="00DA0FC7" w:rsidRPr="00D16FE2" w:rsidRDefault="00DA0FC7" w:rsidP="00DA0FC7">
      <w:pPr>
        <w:widowControl/>
        <w:autoSpaceDE w:val="0"/>
        <w:autoSpaceDN w:val="0"/>
        <w:spacing w:line="240" w:lineRule="auto"/>
        <w:rPr>
          <w:rFonts w:eastAsiaTheme="minorHAnsi" w:cs="Verdana"/>
          <w:lang w:eastAsia="en-US"/>
        </w:rPr>
      </w:pPr>
    </w:p>
    <w:p w14:paraId="49306B85" w14:textId="789B25F6" w:rsidR="00397944" w:rsidRPr="00D16FE2" w:rsidRDefault="00726A65" w:rsidP="00E563BC">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16FE2">
        <w:rPr>
          <w:rFonts w:ascii="Verdana" w:hAnsi="Verdana" w:cs="Verdana"/>
          <w:sz w:val="20"/>
          <w:szCs w:val="20"/>
        </w:rPr>
        <w:t xml:space="preserve">Requerir </w:t>
      </w:r>
      <w:r w:rsidR="0078420F" w:rsidRPr="00D16FE2">
        <w:rPr>
          <w:rFonts w:ascii="Verdana" w:hAnsi="Verdana" w:cs="Verdana"/>
          <w:sz w:val="20"/>
          <w:szCs w:val="20"/>
        </w:rPr>
        <w:t xml:space="preserve">al representante </w:t>
      </w:r>
      <w:r w:rsidRPr="00D16FE2">
        <w:rPr>
          <w:rFonts w:ascii="Verdana" w:hAnsi="Verdana" w:cs="Verdana"/>
          <w:sz w:val="20"/>
          <w:szCs w:val="20"/>
        </w:rPr>
        <w:t>que coordine y realice las diligencias necesarias para que, una</w:t>
      </w:r>
      <w:r w:rsidR="00EA36F7" w:rsidRPr="00D16FE2">
        <w:rPr>
          <w:rFonts w:ascii="Verdana" w:hAnsi="Verdana" w:cs="Verdana"/>
          <w:sz w:val="20"/>
          <w:szCs w:val="20"/>
        </w:rPr>
        <w:t xml:space="preserve"> </w:t>
      </w:r>
      <w:r w:rsidRPr="00D16FE2">
        <w:rPr>
          <w:rFonts w:ascii="Verdana" w:hAnsi="Verdana" w:cs="Verdana"/>
          <w:sz w:val="20"/>
          <w:szCs w:val="20"/>
        </w:rPr>
        <w:t xml:space="preserve">vez recibidas las preguntas, si las hubiere, </w:t>
      </w:r>
      <w:r w:rsidR="00CB1A14" w:rsidRPr="00D16FE2">
        <w:rPr>
          <w:rFonts w:ascii="Verdana" w:hAnsi="Verdana" w:cs="Verdana"/>
          <w:sz w:val="20"/>
          <w:szCs w:val="20"/>
        </w:rPr>
        <w:t>los</w:t>
      </w:r>
      <w:r w:rsidR="000F203D" w:rsidRPr="00D16FE2">
        <w:rPr>
          <w:rFonts w:ascii="Verdana" w:hAnsi="Verdana" w:cs="Verdana"/>
          <w:sz w:val="20"/>
          <w:szCs w:val="20"/>
        </w:rPr>
        <w:t xml:space="preserve"> declarante</w:t>
      </w:r>
      <w:r w:rsidR="00CB1A14" w:rsidRPr="00D16FE2">
        <w:rPr>
          <w:rFonts w:ascii="Verdana" w:hAnsi="Verdana" w:cs="Verdana"/>
          <w:sz w:val="20"/>
          <w:szCs w:val="20"/>
        </w:rPr>
        <w:t>s</w:t>
      </w:r>
      <w:r w:rsidRPr="00D16FE2">
        <w:rPr>
          <w:rFonts w:ascii="Verdana" w:hAnsi="Verdana" w:cs="Verdana"/>
          <w:sz w:val="20"/>
          <w:szCs w:val="20"/>
        </w:rPr>
        <w:t xml:space="preserve"> incluya</w:t>
      </w:r>
      <w:r w:rsidR="00CB1A14" w:rsidRPr="00D16FE2">
        <w:rPr>
          <w:rFonts w:ascii="Verdana" w:hAnsi="Verdana" w:cs="Verdana"/>
          <w:sz w:val="20"/>
          <w:szCs w:val="20"/>
        </w:rPr>
        <w:t>n</w:t>
      </w:r>
      <w:r w:rsidRPr="00D16FE2">
        <w:rPr>
          <w:rFonts w:ascii="Verdana" w:hAnsi="Verdana" w:cs="Verdana"/>
          <w:sz w:val="20"/>
          <w:szCs w:val="20"/>
        </w:rPr>
        <w:t xml:space="preserve"> las respuestas en su</w:t>
      </w:r>
      <w:r w:rsidR="00DA0FC7" w:rsidRPr="00D16FE2">
        <w:rPr>
          <w:rFonts w:ascii="Verdana" w:hAnsi="Verdana" w:cs="Verdana"/>
          <w:sz w:val="20"/>
          <w:szCs w:val="20"/>
        </w:rPr>
        <w:t xml:space="preserve"> </w:t>
      </w:r>
      <w:r w:rsidRPr="00D16FE2">
        <w:rPr>
          <w:rFonts w:ascii="Verdana" w:hAnsi="Verdana" w:cs="Verdana"/>
          <w:sz w:val="20"/>
          <w:szCs w:val="20"/>
        </w:rPr>
        <w:t>respectiva declaraci</w:t>
      </w:r>
      <w:r w:rsidR="000F203D" w:rsidRPr="00D16FE2">
        <w:rPr>
          <w:rFonts w:ascii="Verdana" w:hAnsi="Verdana" w:cs="Verdana"/>
          <w:sz w:val="20"/>
          <w:szCs w:val="20"/>
        </w:rPr>
        <w:t>ón</w:t>
      </w:r>
      <w:r w:rsidRPr="00D16FE2">
        <w:rPr>
          <w:rFonts w:ascii="Verdana" w:hAnsi="Verdana" w:cs="Verdana"/>
          <w:sz w:val="20"/>
          <w:szCs w:val="20"/>
        </w:rPr>
        <w:t xml:space="preserve"> rendidas ante fedatario público, salvo que esta Presidencia disponga</w:t>
      </w:r>
      <w:r w:rsidR="00DA0FC7" w:rsidRPr="00D16FE2">
        <w:rPr>
          <w:rFonts w:ascii="Verdana" w:hAnsi="Verdana" w:cs="Verdana"/>
          <w:sz w:val="20"/>
          <w:szCs w:val="20"/>
        </w:rPr>
        <w:t xml:space="preserve"> </w:t>
      </w:r>
      <w:r w:rsidRPr="00D16FE2">
        <w:rPr>
          <w:rFonts w:ascii="Verdana" w:hAnsi="Verdana" w:cs="Verdana"/>
          <w:sz w:val="20"/>
          <w:szCs w:val="20"/>
        </w:rPr>
        <w:t>lo contrario, cuando la Secretaría las transmita. Las declaraciones requeridas deberán ser</w:t>
      </w:r>
      <w:r w:rsidR="00DA0FC7" w:rsidRPr="00D16FE2">
        <w:rPr>
          <w:rFonts w:ascii="Verdana" w:hAnsi="Verdana" w:cs="Verdana"/>
          <w:sz w:val="20"/>
          <w:szCs w:val="20"/>
        </w:rPr>
        <w:t xml:space="preserve"> </w:t>
      </w:r>
      <w:r w:rsidRPr="00D16FE2">
        <w:rPr>
          <w:rFonts w:ascii="Verdana" w:hAnsi="Verdana" w:cs="Verdana"/>
          <w:sz w:val="20"/>
          <w:szCs w:val="20"/>
        </w:rPr>
        <w:t xml:space="preserve">presentadas al Tribunal a más tardar el </w:t>
      </w:r>
      <w:r w:rsidR="0078420F" w:rsidRPr="00D16FE2">
        <w:rPr>
          <w:rFonts w:ascii="Verdana" w:hAnsi="Verdana" w:cs="Verdana"/>
          <w:sz w:val="20"/>
          <w:szCs w:val="20"/>
        </w:rPr>
        <w:t>10</w:t>
      </w:r>
      <w:r w:rsidRPr="00D16FE2">
        <w:rPr>
          <w:rFonts w:ascii="Verdana" w:hAnsi="Verdana" w:cs="Verdana"/>
          <w:sz w:val="20"/>
          <w:szCs w:val="20"/>
        </w:rPr>
        <w:t xml:space="preserve"> de </w:t>
      </w:r>
      <w:r w:rsidR="0078420F" w:rsidRPr="00D16FE2">
        <w:rPr>
          <w:rFonts w:ascii="Verdana" w:hAnsi="Verdana" w:cs="Verdana"/>
          <w:sz w:val="20"/>
          <w:szCs w:val="20"/>
        </w:rPr>
        <w:t>noviembre</w:t>
      </w:r>
      <w:r w:rsidRPr="00D16FE2">
        <w:rPr>
          <w:rFonts w:ascii="Verdana" w:hAnsi="Verdana" w:cs="Verdana"/>
          <w:sz w:val="20"/>
          <w:szCs w:val="20"/>
        </w:rPr>
        <w:t xml:space="preserve"> de </w:t>
      </w:r>
      <w:r w:rsidR="0021496E" w:rsidRPr="00D16FE2">
        <w:rPr>
          <w:rFonts w:ascii="Verdana" w:hAnsi="Verdana" w:cs="Verdana"/>
          <w:sz w:val="20"/>
          <w:szCs w:val="20"/>
        </w:rPr>
        <w:t>2023</w:t>
      </w:r>
      <w:r w:rsidRPr="00D16FE2">
        <w:rPr>
          <w:rFonts w:ascii="Verdana" w:hAnsi="Verdana" w:cs="Verdana"/>
          <w:sz w:val="20"/>
          <w:szCs w:val="20"/>
        </w:rPr>
        <w:t>.</w:t>
      </w:r>
    </w:p>
    <w:p w14:paraId="6AFA3B31" w14:textId="77777777" w:rsidR="00DA0FC7" w:rsidRPr="00D16FE2" w:rsidRDefault="00DA0FC7" w:rsidP="00DA0FC7">
      <w:pPr>
        <w:widowControl/>
        <w:autoSpaceDE w:val="0"/>
        <w:autoSpaceDN w:val="0"/>
        <w:spacing w:line="240" w:lineRule="auto"/>
        <w:rPr>
          <w:rFonts w:eastAsiaTheme="minorHAnsi" w:cs="Verdana"/>
          <w:lang w:eastAsia="en-US"/>
        </w:rPr>
      </w:pPr>
    </w:p>
    <w:p w14:paraId="752EDA9E" w14:textId="5ABE9131" w:rsidR="00DA0FC7" w:rsidRPr="00D16FE2" w:rsidRDefault="00DA0FC7" w:rsidP="00E563BC">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16FE2">
        <w:rPr>
          <w:rFonts w:ascii="Verdana" w:hAnsi="Verdana" w:cs="Verdana"/>
          <w:sz w:val="20"/>
          <w:szCs w:val="20"/>
        </w:rPr>
        <w:t xml:space="preserve">Disponer, conforme al artículo 50.6 del Reglamento, que, una vez recibida </w:t>
      </w:r>
      <w:r w:rsidR="0078420F" w:rsidRPr="00D16FE2">
        <w:rPr>
          <w:rFonts w:ascii="Verdana" w:hAnsi="Verdana" w:cs="Verdana"/>
          <w:sz w:val="20"/>
          <w:szCs w:val="20"/>
        </w:rPr>
        <w:t>las declaraciones</w:t>
      </w:r>
      <w:r w:rsidRPr="00D16FE2">
        <w:rPr>
          <w:rFonts w:ascii="Verdana" w:hAnsi="Verdana" w:cs="Verdana"/>
          <w:sz w:val="20"/>
          <w:szCs w:val="20"/>
        </w:rPr>
        <w:t>, la Secretaría la</w:t>
      </w:r>
      <w:r w:rsidR="0078420F" w:rsidRPr="00D16FE2">
        <w:rPr>
          <w:rFonts w:ascii="Verdana" w:hAnsi="Verdana" w:cs="Verdana"/>
          <w:sz w:val="20"/>
          <w:szCs w:val="20"/>
        </w:rPr>
        <w:t>s</w:t>
      </w:r>
      <w:r w:rsidRPr="00D16FE2">
        <w:rPr>
          <w:rFonts w:ascii="Verdana" w:hAnsi="Verdana" w:cs="Verdana"/>
          <w:sz w:val="20"/>
          <w:szCs w:val="20"/>
        </w:rPr>
        <w:t xml:space="preserve"> transmita </w:t>
      </w:r>
      <w:r w:rsidR="0078420F" w:rsidRPr="00D16FE2">
        <w:rPr>
          <w:rFonts w:ascii="Verdana" w:hAnsi="Verdana" w:cs="Verdana"/>
          <w:sz w:val="20"/>
          <w:szCs w:val="20"/>
        </w:rPr>
        <w:t>a las partes</w:t>
      </w:r>
      <w:r w:rsidRPr="00D16FE2">
        <w:rPr>
          <w:rFonts w:ascii="Verdana" w:hAnsi="Verdana" w:cs="Verdana"/>
          <w:sz w:val="20"/>
          <w:szCs w:val="20"/>
        </w:rPr>
        <w:t xml:space="preserve"> y a la Comisión para que, si lo estiman necesario y en lo que les corresponda, presenten sus observaciones a más tardar con sus alegatos u observaciones finales escritas, respectivamente.</w:t>
      </w:r>
    </w:p>
    <w:p w14:paraId="1CF3037A" w14:textId="77777777" w:rsidR="00DA0FC7" w:rsidRPr="00D16FE2" w:rsidRDefault="00DA0FC7" w:rsidP="00DA0FC7">
      <w:pPr>
        <w:widowControl/>
        <w:autoSpaceDE w:val="0"/>
        <w:autoSpaceDN w:val="0"/>
        <w:spacing w:line="240" w:lineRule="auto"/>
        <w:rPr>
          <w:rFonts w:eastAsiaTheme="minorHAnsi" w:cs="Verdana"/>
          <w:lang w:eastAsia="en-US"/>
        </w:rPr>
      </w:pPr>
    </w:p>
    <w:p w14:paraId="5827E0AA" w14:textId="6C35F051" w:rsidR="00DA0FC7" w:rsidRPr="00D16FE2" w:rsidRDefault="00DA0FC7" w:rsidP="00DA0FC7">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16FE2">
        <w:rPr>
          <w:rFonts w:ascii="Verdana" w:hAnsi="Verdana" w:cs="Verdana"/>
          <w:sz w:val="20"/>
          <w:szCs w:val="20"/>
        </w:rPr>
        <w:t>Informar a las partes que deben cubrir los gastos que ocasione la aportación de la prueba propuesta por ellos, de conformidad con lo dispuesto en el artículo 60 del Reglamento</w:t>
      </w:r>
      <w:r w:rsidR="00A75788" w:rsidRPr="00D16FE2">
        <w:rPr>
          <w:rFonts w:ascii="Verdana" w:hAnsi="Verdana" w:cs="Verdana"/>
          <w:sz w:val="20"/>
          <w:szCs w:val="20"/>
        </w:rPr>
        <w:t>.</w:t>
      </w:r>
    </w:p>
    <w:p w14:paraId="04F9D0B9" w14:textId="77777777" w:rsidR="00A75788" w:rsidRPr="00D16FE2" w:rsidRDefault="00A75788" w:rsidP="00A75788">
      <w:pPr>
        <w:pStyle w:val="Sinespaciado"/>
        <w:tabs>
          <w:tab w:val="left" w:pos="0"/>
          <w:tab w:val="left" w:pos="567"/>
        </w:tabs>
        <w:autoSpaceDE w:val="0"/>
        <w:autoSpaceDN w:val="0"/>
        <w:adjustRightInd w:val="0"/>
        <w:ind w:right="22"/>
        <w:contextualSpacing/>
        <w:jc w:val="both"/>
        <w:rPr>
          <w:rFonts w:ascii="Verdana" w:hAnsi="Verdana" w:cs="Verdana"/>
          <w:sz w:val="20"/>
          <w:szCs w:val="20"/>
        </w:rPr>
      </w:pPr>
    </w:p>
    <w:p w14:paraId="341111E7" w14:textId="7E67A4B1" w:rsidR="00DA0FC7" w:rsidRPr="00D16FE2" w:rsidRDefault="00DA0FC7" w:rsidP="00E563BC">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16FE2">
        <w:rPr>
          <w:rFonts w:ascii="Verdana" w:hAnsi="Verdana" w:cs="Verdana"/>
          <w:sz w:val="20"/>
          <w:szCs w:val="20"/>
        </w:rPr>
        <w:t>Requerir a las partes que informen a las personas convocadas por la</w:t>
      </w:r>
      <w:r w:rsidR="00EA36F7" w:rsidRPr="00D16FE2">
        <w:rPr>
          <w:rFonts w:ascii="Verdana" w:hAnsi="Verdana" w:cs="Verdana"/>
          <w:sz w:val="20"/>
          <w:szCs w:val="20"/>
        </w:rPr>
        <w:t xml:space="preserve"> </w:t>
      </w:r>
      <w:r w:rsidRPr="00D16FE2">
        <w:rPr>
          <w:rFonts w:ascii="Verdana" w:hAnsi="Verdana" w:cs="Verdana"/>
          <w:sz w:val="20"/>
          <w:szCs w:val="20"/>
        </w:rPr>
        <w:t>Corte para declarar que, según lo dispuesto en el artículo 54 del Reglamento, el Tribunal</w:t>
      </w:r>
      <w:r w:rsidR="00EA36F7" w:rsidRPr="00D16FE2">
        <w:rPr>
          <w:rFonts w:ascii="Verdana" w:hAnsi="Verdana" w:cs="Verdana"/>
          <w:sz w:val="20"/>
          <w:szCs w:val="20"/>
        </w:rPr>
        <w:t xml:space="preserve"> </w:t>
      </w:r>
      <w:r w:rsidRPr="00D16FE2">
        <w:rPr>
          <w:rFonts w:ascii="Verdana" w:hAnsi="Verdana" w:cs="Verdana"/>
          <w:sz w:val="20"/>
          <w:szCs w:val="20"/>
        </w:rPr>
        <w:t>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4F7542C3" w14:textId="77777777" w:rsidR="00A25043" w:rsidRPr="00D16FE2" w:rsidRDefault="00A25043" w:rsidP="00DA0FC7">
      <w:pPr>
        <w:widowControl/>
        <w:autoSpaceDE w:val="0"/>
        <w:autoSpaceDN w:val="0"/>
        <w:spacing w:line="240" w:lineRule="auto"/>
        <w:rPr>
          <w:rFonts w:eastAsiaTheme="minorHAnsi" w:cs="Verdana"/>
          <w:lang w:eastAsia="en-US"/>
        </w:rPr>
      </w:pPr>
    </w:p>
    <w:p w14:paraId="2E230351" w14:textId="6AD980E1" w:rsidR="00DA0FC7" w:rsidRPr="00D16FE2" w:rsidRDefault="00DA0FC7" w:rsidP="00E563BC">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16FE2">
        <w:rPr>
          <w:rFonts w:ascii="Verdana" w:hAnsi="Verdana" w:cs="Verdana"/>
          <w:sz w:val="20"/>
          <w:szCs w:val="20"/>
        </w:rPr>
        <w:t xml:space="preserve">Informar a las partes y a la Comisión que, al término de las declaraciones rendidas en la audiencia pública, podrán presentar ante el Tribunal sus alegatos finales orales y observaciones finales orales, respectivamente, sobre </w:t>
      </w:r>
      <w:r w:rsidR="00A75788" w:rsidRPr="00D16FE2">
        <w:rPr>
          <w:rFonts w:ascii="Verdana" w:hAnsi="Verdana" w:cs="Verdana"/>
          <w:sz w:val="20"/>
          <w:szCs w:val="20"/>
        </w:rPr>
        <w:t xml:space="preserve">el </w:t>
      </w:r>
      <w:r w:rsidRPr="00D16FE2">
        <w:rPr>
          <w:rFonts w:ascii="Verdana" w:hAnsi="Verdana" w:cs="Verdana"/>
          <w:sz w:val="20"/>
          <w:szCs w:val="20"/>
        </w:rPr>
        <w:t xml:space="preserve">fondo, </w:t>
      </w:r>
      <w:r w:rsidR="00A75788" w:rsidRPr="00D16FE2">
        <w:rPr>
          <w:rFonts w:ascii="Verdana" w:hAnsi="Verdana" w:cs="Verdana"/>
          <w:sz w:val="20"/>
          <w:szCs w:val="20"/>
        </w:rPr>
        <w:t xml:space="preserve">y eventuales </w:t>
      </w:r>
      <w:r w:rsidRPr="00D16FE2">
        <w:rPr>
          <w:rFonts w:ascii="Verdana" w:hAnsi="Verdana" w:cs="Verdana"/>
          <w:sz w:val="20"/>
          <w:szCs w:val="20"/>
        </w:rPr>
        <w:t>reparaciones y costas en el presente caso.</w:t>
      </w:r>
    </w:p>
    <w:p w14:paraId="6F6B8058" w14:textId="77777777" w:rsidR="00DA0FC7" w:rsidRPr="00D16FE2" w:rsidRDefault="00DA0FC7" w:rsidP="00DA0FC7">
      <w:pPr>
        <w:widowControl/>
        <w:autoSpaceDE w:val="0"/>
        <w:autoSpaceDN w:val="0"/>
        <w:spacing w:line="240" w:lineRule="auto"/>
        <w:rPr>
          <w:rFonts w:eastAsiaTheme="minorHAnsi" w:cs="Verdana"/>
          <w:lang w:eastAsia="en-US"/>
        </w:rPr>
      </w:pPr>
    </w:p>
    <w:p w14:paraId="14841BB2" w14:textId="16AA0840" w:rsidR="00DA0FC7" w:rsidRPr="00D16FE2" w:rsidRDefault="00DA0FC7" w:rsidP="00E563BC">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16FE2">
        <w:rPr>
          <w:rFonts w:ascii="Verdana" w:hAnsi="Verdana" w:cs="Verdana"/>
          <w:sz w:val="20"/>
          <w:szCs w:val="20"/>
        </w:rPr>
        <w:t>Disponer que la Secretaría de la Corte, de conformidad con lo dispuesto en el artícul</w:t>
      </w:r>
      <w:r w:rsidR="00EA36F7" w:rsidRPr="00D16FE2">
        <w:rPr>
          <w:rFonts w:ascii="Verdana" w:hAnsi="Verdana" w:cs="Verdana"/>
          <w:sz w:val="20"/>
          <w:szCs w:val="20"/>
        </w:rPr>
        <w:t xml:space="preserve">o </w:t>
      </w:r>
      <w:r w:rsidRPr="00D16FE2">
        <w:rPr>
          <w:rFonts w:ascii="Verdana" w:hAnsi="Verdana" w:cs="Verdana"/>
          <w:sz w:val="20"/>
          <w:szCs w:val="20"/>
        </w:rPr>
        <w:t>55.3 del Reglamento, indique a las partes y a la Comisión el enlace donde se encontrará</w:t>
      </w:r>
      <w:r w:rsidR="00EA36F7" w:rsidRPr="00D16FE2">
        <w:rPr>
          <w:rFonts w:ascii="Verdana" w:hAnsi="Verdana" w:cs="Verdana"/>
          <w:sz w:val="20"/>
          <w:szCs w:val="20"/>
        </w:rPr>
        <w:t xml:space="preserve"> </w:t>
      </w:r>
      <w:r w:rsidRPr="00D16FE2">
        <w:rPr>
          <w:rFonts w:ascii="Verdana" w:hAnsi="Verdana" w:cs="Verdana"/>
          <w:sz w:val="20"/>
          <w:szCs w:val="20"/>
        </w:rPr>
        <w:t xml:space="preserve">disponible la grabación de la audiencia pública sobre </w:t>
      </w:r>
      <w:r w:rsidR="00A741A4" w:rsidRPr="00D16FE2">
        <w:rPr>
          <w:rFonts w:ascii="Verdana" w:hAnsi="Verdana" w:cs="Verdana"/>
          <w:sz w:val="20"/>
          <w:szCs w:val="20"/>
        </w:rPr>
        <w:t xml:space="preserve">el </w:t>
      </w:r>
      <w:r w:rsidR="005F72E6" w:rsidRPr="00D16FE2">
        <w:rPr>
          <w:rFonts w:ascii="Verdana" w:hAnsi="Verdana" w:cs="Verdana"/>
          <w:sz w:val="20"/>
          <w:szCs w:val="20"/>
        </w:rPr>
        <w:t xml:space="preserve">fondo, </w:t>
      </w:r>
      <w:r w:rsidR="00A741A4" w:rsidRPr="00D16FE2">
        <w:rPr>
          <w:rFonts w:ascii="Verdana" w:hAnsi="Verdana" w:cs="Verdana"/>
          <w:sz w:val="20"/>
          <w:szCs w:val="20"/>
        </w:rPr>
        <w:t xml:space="preserve">y eventuales </w:t>
      </w:r>
      <w:r w:rsidR="005F72E6" w:rsidRPr="00D16FE2">
        <w:rPr>
          <w:rFonts w:ascii="Verdana" w:hAnsi="Verdana" w:cs="Verdana"/>
          <w:sz w:val="20"/>
          <w:szCs w:val="20"/>
        </w:rPr>
        <w:t>reparaciones y costas</w:t>
      </w:r>
      <w:r w:rsidRPr="00D16FE2">
        <w:rPr>
          <w:rFonts w:ascii="Verdana" w:hAnsi="Verdana" w:cs="Verdana"/>
          <w:sz w:val="20"/>
          <w:szCs w:val="20"/>
        </w:rPr>
        <w:t>, a la brevedad posible luego de la celebración de la referida audiencia.</w:t>
      </w:r>
    </w:p>
    <w:p w14:paraId="1D6E1972" w14:textId="77777777" w:rsidR="00DA0FC7" w:rsidRPr="00D16FE2" w:rsidRDefault="00DA0FC7" w:rsidP="00DA0FC7">
      <w:pPr>
        <w:widowControl/>
        <w:autoSpaceDE w:val="0"/>
        <w:autoSpaceDN w:val="0"/>
        <w:spacing w:line="240" w:lineRule="auto"/>
        <w:rPr>
          <w:rFonts w:eastAsiaTheme="minorHAnsi" w:cs="Verdana"/>
          <w:lang w:eastAsia="en-US"/>
        </w:rPr>
      </w:pPr>
    </w:p>
    <w:p w14:paraId="4E98FB4C" w14:textId="0C3BD588" w:rsidR="00DA0FC7" w:rsidRPr="00A75788" w:rsidRDefault="00DA0FC7" w:rsidP="00E563BC">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D16FE2">
        <w:rPr>
          <w:rFonts w:ascii="Verdana" w:hAnsi="Verdana" w:cs="Verdana"/>
          <w:sz w:val="20"/>
          <w:szCs w:val="20"/>
        </w:rPr>
        <w:t xml:space="preserve">Informar a las partes y a la Comisión que, en los términos del artículo 56 del Reglamento, cuentan con plazo hasta el </w:t>
      </w:r>
      <w:r w:rsidR="00D16FE2" w:rsidRPr="00D16FE2">
        <w:rPr>
          <w:rFonts w:ascii="Verdana" w:hAnsi="Verdana" w:cs="Verdana"/>
          <w:sz w:val="20"/>
          <w:szCs w:val="20"/>
        </w:rPr>
        <w:t>8</w:t>
      </w:r>
      <w:r w:rsidRPr="00D16FE2">
        <w:rPr>
          <w:rFonts w:ascii="Verdana" w:hAnsi="Verdana" w:cs="Verdana"/>
          <w:sz w:val="20"/>
          <w:szCs w:val="20"/>
        </w:rPr>
        <w:t xml:space="preserve"> de </w:t>
      </w:r>
      <w:r w:rsidR="00E1146C" w:rsidRPr="00D16FE2">
        <w:rPr>
          <w:rFonts w:ascii="Verdana" w:hAnsi="Verdana" w:cs="Verdana"/>
          <w:sz w:val="20"/>
          <w:szCs w:val="20"/>
        </w:rPr>
        <w:t>enero</w:t>
      </w:r>
      <w:r w:rsidRPr="00D16FE2">
        <w:rPr>
          <w:rFonts w:ascii="Verdana" w:hAnsi="Verdana" w:cs="Verdana"/>
          <w:sz w:val="20"/>
          <w:szCs w:val="20"/>
        </w:rPr>
        <w:t xml:space="preserve"> de </w:t>
      </w:r>
      <w:r w:rsidR="0021496E" w:rsidRPr="00D16FE2">
        <w:rPr>
          <w:rFonts w:ascii="Verdana" w:hAnsi="Verdana" w:cs="Verdana"/>
          <w:sz w:val="20"/>
          <w:szCs w:val="20"/>
        </w:rPr>
        <w:t>202</w:t>
      </w:r>
      <w:r w:rsidR="00A75788" w:rsidRPr="00D16FE2">
        <w:rPr>
          <w:rFonts w:ascii="Verdana" w:hAnsi="Verdana" w:cs="Verdana"/>
          <w:sz w:val="20"/>
          <w:szCs w:val="20"/>
        </w:rPr>
        <w:t>4</w:t>
      </w:r>
      <w:r w:rsidRPr="00D16FE2">
        <w:rPr>
          <w:rFonts w:ascii="Verdana" w:hAnsi="Verdana" w:cs="Verdana"/>
          <w:sz w:val="20"/>
          <w:szCs w:val="20"/>
        </w:rPr>
        <w:t>, para presentar sus alegatos finales escritos y observaciones finales escritas, respectivamente</w:t>
      </w:r>
      <w:r w:rsidRPr="00A75788">
        <w:rPr>
          <w:rFonts w:ascii="Verdana" w:hAnsi="Verdana" w:cs="Verdana"/>
          <w:sz w:val="20"/>
          <w:szCs w:val="20"/>
        </w:rPr>
        <w:t xml:space="preserve">, en relación con </w:t>
      </w:r>
      <w:r w:rsidR="00A75788">
        <w:rPr>
          <w:rFonts w:ascii="Verdana" w:hAnsi="Verdana" w:cs="Verdana"/>
          <w:sz w:val="20"/>
          <w:szCs w:val="20"/>
        </w:rPr>
        <w:t xml:space="preserve">el </w:t>
      </w:r>
      <w:r w:rsidRPr="00A75788">
        <w:rPr>
          <w:rFonts w:ascii="Verdana" w:hAnsi="Verdana" w:cs="Verdana"/>
          <w:sz w:val="20"/>
          <w:szCs w:val="20"/>
        </w:rPr>
        <w:t>fondo</w:t>
      </w:r>
      <w:r w:rsidR="00A75788">
        <w:rPr>
          <w:rFonts w:ascii="Verdana" w:hAnsi="Verdana" w:cs="Verdana"/>
          <w:sz w:val="20"/>
          <w:szCs w:val="20"/>
        </w:rPr>
        <w:t xml:space="preserve"> y eventuales</w:t>
      </w:r>
      <w:r w:rsidRPr="00A75788">
        <w:rPr>
          <w:rFonts w:ascii="Verdana" w:hAnsi="Verdana" w:cs="Verdana"/>
          <w:sz w:val="20"/>
          <w:szCs w:val="20"/>
        </w:rPr>
        <w:t xml:space="preserve"> reparaciones y costas en el presente caso. Este plazo es improrrogable.</w:t>
      </w:r>
    </w:p>
    <w:p w14:paraId="1B7DB7E6" w14:textId="77777777" w:rsidR="00DA0FC7" w:rsidRPr="00A75788" w:rsidRDefault="00DA0FC7" w:rsidP="00DA0FC7">
      <w:pPr>
        <w:widowControl/>
        <w:autoSpaceDE w:val="0"/>
        <w:autoSpaceDN w:val="0"/>
        <w:spacing w:line="240" w:lineRule="auto"/>
        <w:rPr>
          <w:rFonts w:eastAsiaTheme="minorHAnsi" w:cs="Verdana"/>
          <w:lang w:eastAsia="en-US"/>
        </w:rPr>
      </w:pPr>
    </w:p>
    <w:p w14:paraId="3BE00C07" w14:textId="3D3866B7" w:rsidR="00DA0FC7" w:rsidRPr="00A75788" w:rsidRDefault="00DA0FC7" w:rsidP="00E563BC">
      <w:pPr>
        <w:pStyle w:val="Sinespaciado"/>
        <w:numPr>
          <w:ilvl w:val="0"/>
          <w:numId w:val="30"/>
        </w:numPr>
        <w:tabs>
          <w:tab w:val="left" w:pos="0"/>
          <w:tab w:val="left" w:pos="567"/>
        </w:tabs>
        <w:autoSpaceDE w:val="0"/>
        <w:autoSpaceDN w:val="0"/>
        <w:adjustRightInd w:val="0"/>
        <w:ind w:left="0" w:right="22" w:firstLine="0"/>
        <w:contextualSpacing/>
        <w:jc w:val="both"/>
        <w:rPr>
          <w:rFonts w:ascii="Verdana" w:hAnsi="Verdana" w:cs="Verdana"/>
          <w:sz w:val="20"/>
          <w:szCs w:val="20"/>
        </w:rPr>
      </w:pPr>
      <w:r w:rsidRPr="00A75788">
        <w:rPr>
          <w:rFonts w:ascii="Verdana" w:hAnsi="Verdana" w:cs="Verdana"/>
          <w:sz w:val="20"/>
          <w:szCs w:val="20"/>
        </w:rPr>
        <w:t>Disponer que la Secretaría de la Corte Interamericana notifique la presente Resolución</w:t>
      </w:r>
      <w:r w:rsidR="00426A03" w:rsidRPr="00A75788">
        <w:rPr>
          <w:rFonts w:ascii="Verdana" w:hAnsi="Verdana" w:cs="Verdana"/>
          <w:sz w:val="20"/>
          <w:szCs w:val="20"/>
        </w:rPr>
        <w:t xml:space="preserve"> </w:t>
      </w:r>
      <w:r w:rsidRPr="00A75788">
        <w:rPr>
          <w:rFonts w:ascii="Verdana" w:hAnsi="Verdana" w:cs="Verdana"/>
          <w:sz w:val="20"/>
          <w:szCs w:val="20"/>
        </w:rPr>
        <w:t>a la Comisión Interamericana de Derechos Humanos, a</w:t>
      </w:r>
      <w:r w:rsidR="00A75788" w:rsidRPr="00A75788">
        <w:rPr>
          <w:rFonts w:ascii="Verdana" w:hAnsi="Verdana" w:cs="Verdana"/>
          <w:sz w:val="20"/>
          <w:szCs w:val="20"/>
        </w:rPr>
        <w:t xml:space="preserve">l representante </w:t>
      </w:r>
      <w:r w:rsidRPr="00A75788">
        <w:rPr>
          <w:rFonts w:ascii="Verdana" w:hAnsi="Verdana" w:cs="Verdana"/>
          <w:sz w:val="20"/>
          <w:szCs w:val="20"/>
        </w:rPr>
        <w:t xml:space="preserve">y al Estado de </w:t>
      </w:r>
      <w:r w:rsidR="00AB6802" w:rsidRPr="00A75788">
        <w:rPr>
          <w:rFonts w:ascii="Verdana" w:hAnsi="Verdana" w:cs="Verdana"/>
          <w:sz w:val="20"/>
          <w:szCs w:val="20"/>
        </w:rPr>
        <w:t xml:space="preserve">la República de </w:t>
      </w:r>
      <w:r w:rsidR="00A75788" w:rsidRPr="00A75788">
        <w:rPr>
          <w:rFonts w:ascii="Verdana" w:hAnsi="Verdana" w:cs="Verdana"/>
          <w:sz w:val="20"/>
          <w:szCs w:val="20"/>
        </w:rPr>
        <w:t>El Salvador</w:t>
      </w:r>
      <w:r w:rsidRPr="00A75788">
        <w:rPr>
          <w:rFonts w:ascii="Verdana" w:hAnsi="Verdana" w:cs="Verdana"/>
          <w:sz w:val="20"/>
          <w:szCs w:val="20"/>
        </w:rPr>
        <w:t>.</w:t>
      </w:r>
    </w:p>
    <w:p w14:paraId="5264CCDB" w14:textId="60A1AA37" w:rsidR="00DA0FC7" w:rsidRDefault="00DA0FC7" w:rsidP="00DA0FC7">
      <w:pPr>
        <w:widowControl/>
        <w:autoSpaceDE w:val="0"/>
        <w:autoSpaceDN w:val="0"/>
        <w:spacing w:line="240" w:lineRule="auto"/>
        <w:rPr>
          <w:rFonts w:eastAsiaTheme="minorHAnsi" w:cs="Verdana"/>
          <w:lang w:eastAsia="en-US"/>
        </w:rPr>
      </w:pPr>
    </w:p>
    <w:p w14:paraId="25940100" w14:textId="77777777" w:rsidR="00C40399" w:rsidRDefault="00C40399" w:rsidP="00DA0FC7">
      <w:pPr>
        <w:widowControl/>
        <w:autoSpaceDE w:val="0"/>
        <w:autoSpaceDN w:val="0"/>
        <w:spacing w:line="240" w:lineRule="auto"/>
        <w:rPr>
          <w:rFonts w:eastAsiaTheme="minorHAnsi" w:cs="Verdana"/>
          <w:lang w:eastAsia="en-US"/>
        </w:rPr>
      </w:pPr>
    </w:p>
    <w:p w14:paraId="5D054E00" w14:textId="77777777" w:rsidR="00A51670" w:rsidRDefault="00A51670" w:rsidP="00DA0FC7">
      <w:pPr>
        <w:widowControl/>
        <w:autoSpaceDE w:val="0"/>
        <w:autoSpaceDN w:val="0"/>
        <w:spacing w:line="240" w:lineRule="auto"/>
        <w:rPr>
          <w:rFonts w:eastAsiaTheme="minorHAnsi" w:cs="Verdana"/>
          <w:lang w:eastAsia="en-US"/>
        </w:rPr>
      </w:pPr>
    </w:p>
    <w:p w14:paraId="000CD768" w14:textId="77777777" w:rsidR="00A51670" w:rsidRDefault="00A51670" w:rsidP="00DA0FC7">
      <w:pPr>
        <w:widowControl/>
        <w:autoSpaceDE w:val="0"/>
        <w:autoSpaceDN w:val="0"/>
        <w:spacing w:line="240" w:lineRule="auto"/>
        <w:rPr>
          <w:rFonts w:eastAsiaTheme="minorHAnsi" w:cs="Verdana"/>
          <w:lang w:eastAsia="en-US"/>
        </w:rPr>
      </w:pPr>
    </w:p>
    <w:p w14:paraId="14AFAD67" w14:textId="77777777" w:rsidR="00A51670" w:rsidRDefault="00A51670" w:rsidP="00DA0FC7">
      <w:pPr>
        <w:widowControl/>
        <w:autoSpaceDE w:val="0"/>
        <w:autoSpaceDN w:val="0"/>
        <w:spacing w:line="240" w:lineRule="auto"/>
        <w:rPr>
          <w:rFonts w:eastAsiaTheme="minorHAnsi" w:cs="Verdana"/>
          <w:lang w:eastAsia="en-US"/>
        </w:rPr>
      </w:pPr>
    </w:p>
    <w:p w14:paraId="27BF8B71" w14:textId="77777777" w:rsidR="00A51670" w:rsidRDefault="00A51670" w:rsidP="00DA0FC7">
      <w:pPr>
        <w:widowControl/>
        <w:autoSpaceDE w:val="0"/>
        <w:autoSpaceDN w:val="0"/>
        <w:spacing w:line="240" w:lineRule="auto"/>
        <w:rPr>
          <w:rFonts w:eastAsiaTheme="minorHAnsi" w:cs="Verdana"/>
          <w:lang w:eastAsia="en-US"/>
        </w:rPr>
      </w:pPr>
    </w:p>
    <w:p w14:paraId="31A30ACF" w14:textId="77777777" w:rsidR="00A51670" w:rsidRDefault="00A51670" w:rsidP="00DA0FC7">
      <w:pPr>
        <w:widowControl/>
        <w:autoSpaceDE w:val="0"/>
        <w:autoSpaceDN w:val="0"/>
        <w:spacing w:line="240" w:lineRule="auto"/>
        <w:rPr>
          <w:rFonts w:eastAsiaTheme="minorHAnsi" w:cs="Verdana"/>
          <w:lang w:eastAsia="en-US"/>
        </w:rPr>
      </w:pPr>
    </w:p>
    <w:p w14:paraId="468F1B92" w14:textId="77777777" w:rsidR="00A51670" w:rsidRDefault="00A51670" w:rsidP="00DA0FC7">
      <w:pPr>
        <w:widowControl/>
        <w:autoSpaceDE w:val="0"/>
        <w:autoSpaceDN w:val="0"/>
        <w:spacing w:line="240" w:lineRule="auto"/>
        <w:rPr>
          <w:rFonts w:eastAsiaTheme="minorHAnsi" w:cs="Verdana"/>
          <w:lang w:eastAsia="en-US"/>
        </w:rPr>
      </w:pPr>
    </w:p>
    <w:p w14:paraId="4E51E9D4" w14:textId="77777777" w:rsidR="00A51670" w:rsidRDefault="00A51670" w:rsidP="00DA0FC7">
      <w:pPr>
        <w:widowControl/>
        <w:autoSpaceDE w:val="0"/>
        <w:autoSpaceDN w:val="0"/>
        <w:spacing w:line="240" w:lineRule="auto"/>
        <w:rPr>
          <w:rFonts w:eastAsiaTheme="minorHAnsi" w:cs="Verdana"/>
          <w:lang w:eastAsia="en-US"/>
        </w:rPr>
      </w:pPr>
    </w:p>
    <w:p w14:paraId="66D309BF" w14:textId="77777777" w:rsidR="00A51670" w:rsidRDefault="00A51670" w:rsidP="00DA0FC7">
      <w:pPr>
        <w:widowControl/>
        <w:autoSpaceDE w:val="0"/>
        <w:autoSpaceDN w:val="0"/>
        <w:spacing w:line="240" w:lineRule="auto"/>
        <w:rPr>
          <w:rFonts w:eastAsiaTheme="minorHAnsi" w:cs="Verdana"/>
          <w:lang w:eastAsia="en-US"/>
        </w:rPr>
      </w:pPr>
    </w:p>
    <w:p w14:paraId="66810E8B" w14:textId="77777777" w:rsidR="00A51670" w:rsidRDefault="00A51670" w:rsidP="00DA0FC7">
      <w:pPr>
        <w:widowControl/>
        <w:autoSpaceDE w:val="0"/>
        <w:autoSpaceDN w:val="0"/>
        <w:spacing w:line="240" w:lineRule="auto"/>
        <w:rPr>
          <w:rFonts w:eastAsiaTheme="minorHAnsi" w:cs="Verdana"/>
          <w:lang w:eastAsia="en-US"/>
        </w:rPr>
      </w:pPr>
    </w:p>
    <w:p w14:paraId="2E8E3DFB" w14:textId="77777777" w:rsidR="00A51670" w:rsidRDefault="00A51670" w:rsidP="00DA0FC7">
      <w:pPr>
        <w:widowControl/>
        <w:autoSpaceDE w:val="0"/>
        <w:autoSpaceDN w:val="0"/>
        <w:spacing w:line="240" w:lineRule="auto"/>
        <w:rPr>
          <w:rFonts w:eastAsiaTheme="minorHAnsi" w:cs="Verdana"/>
          <w:lang w:eastAsia="en-US"/>
        </w:rPr>
      </w:pPr>
    </w:p>
    <w:p w14:paraId="09E1523D" w14:textId="77777777" w:rsidR="00A51670" w:rsidRDefault="00A51670" w:rsidP="00DA0FC7">
      <w:pPr>
        <w:widowControl/>
        <w:autoSpaceDE w:val="0"/>
        <w:autoSpaceDN w:val="0"/>
        <w:spacing w:line="240" w:lineRule="auto"/>
        <w:rPr>
          <w:rFonts w:eastAsiaTheme="minorHAnsi" w:cs="Verdana"/>
          <w:lang w:eastAsia="en-US"/>
        </w:rPr>
      </w:pPr>
    </w:p>
    <w:p w14:paraId="7AADEDA8" w14:textId="77777777" w:rsidR="00A51670" w:rsidRDefault="00A51670" w:rsidP="00DA0FC7">
      <w:pPr>
        <w:widowControl/>
        <w:autoSpaceDE w:val="0"/>
        <w:autoSpaceDN w:val="0"/>
        <w:spacing w:line="240" w:lineRule="auto"/>
        <w:rPr>
          <w:rFonts w:eastAsiaTheme="minorHAnsi" w:cs="Verdana"/>
          <w:lang w:eastAsia="en-US"/>
        </w:rPr>
      </w:pPr>
    </w:p>
    <w:p w14:paraId="3127322A" w14:textId="77777777" w:rsidR="00A51670" w:rsidRDefault="00A51670" w:rsidP="00DA0FC7">
      <w:pPr>
        <w:widowControl/>
        <w:autoSpaceDE w:val="0"/>
        <w:autoSpaceDN w:val="0"/>
        <w:spacing w:line="240" w:lineRule="auto"/>
        <w:rPr>
          <w:rFonts w:eastAsiaTheme="minorHAnsi" w:cs="Verdana"/>
          <w:lang w:eastAsia="en-US"/>
        </w:rPr>
      </w:pPr>
    </w:p>
    <w:p w14:paraId="0A33A332" w14:textId="0A2CF8A0" w:rsidR="00DA0FC7" w:rsidRDefault="00DA0FC7">
      <w:pPr>
        <w:widowControl/>
        <w:autoSpaceDE w:val="0"/>
        <w:autoSpaceDN w:val="0"/>
        <w:spacing w:line="240" w:lineRule="auto"/>
        <w:rPr>
          <w:rFonts w:eastAsiaTheme="minorHAnsi" w:cs="Verdana"/>
          <w:lang w:eastAsia="en-US"/>
        </w:rPr>
      </w:pPr>
      <w:r w:rsidRPr="00A75788">
        <w:rPr>
          <w:rFonts w:eastAsiaTheme="minorHAnsi" w:cs="Verdana"/>
          <w:lang w:eastAsia="en-US"/>
        </w:rPr>
        <w:lastRenderedPageBreak/>
        <w:t xml:space="preserve">Corte IDH. </w:t>
      </w:r>
      <w:r w:rsidRPr="00A75788">
        <w:rPr>
          <w:rFonts w:eastAsiaTheme="minorHAnsi" w:cs="Verdana-Italic"/>
          <w:i/>
          <w:iCs/>
          <w:lang w:eastAsia="en-US"/>
        </w:rPr>
        <w:t xml:space="preserve">Caso </w:t>
      </w:r>
      <w:r w:rsidR="00A75788" w:rsidRPr="00A75788">
        <w:rPr>
          <w:rFonts w:eastAsiaTheme="minorHAnsi" w:cs="Verdana-Italic"/>
          <w:i/>
          <w:iCs/>
          <w:lang w:eastAsia="en-US"/>
        </w:rPr>
        <w:t>Cuéllar Sandoval y otros</w:t>
      </w:r>
      <w:r w:rsidR="005F72E6" w:rsidRPr="00A75788">
        <w:rPr>
          <w:rFonts w:eastAsiaTheme="minorHAnsi" w:cs="Verdana-Italic"/>
          <w:i/>
          <w:iCs/>
          <w:lang w:eastAsia="en-US"/>
        </w:rPr>
        <w:t xml:space="preserve"> </w:t>
      </w:r>
      <w:r w:rsidR="00426A03" w:rsidRPr="00A75788">
        <w:rPr>
          <w:rFonts w:eastAsiaTheme="minorHAnsi" w:cs="Verdana-Italic"/>
          <w:i/>
          <w:iCs/>
          <w:lang w:eastAsia="en-US"/>
        </w:rPr>
        <w:t xml:space="preserve">Vs. </w:t>
      </w:r>
      <w:r w:rsidR="00A75788" w:rsidRPr="00A75788">
        <w:rPr>
          <w:rFonts w:eastAsiaTheme="minorHAnsi" w:cs="Verdana-Italic"/>
          <w:i/>
          <w:iCs/>
          <w:lang w:eastAsia="en-US"/>
        </w:rPr>
        <w:t>El Salvador</w:t>
      </w:r>
      <w:r w:rsidRPr="00A75788">
        <w:rPr>
          <w:rFonts w:eastAsiaTheme="minorHAnsi" w:cs="Verdana"/>
          <w:lang w:eastAsia="en-US"/>
        </w:rPr>
        <w:t xml:space="preserve">. Resolución del </w:t>
      </w:r>
      <w:proofErr w:type="gramStart"/>
      <w:r w:rsidRPr="00A75788">
        <w:rPr>
          <w:rFonts w:eastAsiaTheme="minorHAnsi" w:cs="Verdana"/>
          <w:lang w:eastAsia="en-US"/>
        </w:rPr>
        <w:t>Presidente</w:t>
      </w:r>
      <w:proofErr w:type="gramEnd"/>
      <w:r w:rsidRPr="00A75788">
        <w:rPr>
          <w:rFonts w:eastAsiaTheme="minorHAnsi" w:cs="Verdana"/>
          <w:lang w:eastAsia="en-US"/>
        </w:rPr>
        <w:t xml:space="preserve"> de la Corte Interamericana de Derechos </w:t>
      </w:r>
      <w:r w:rsidRPr="00C97B79">
        <w:rPr>
          <w:rFonts w:eastAsiaTheme="minorHAnsi" w:cs="Verdana"/>
          <w:lang w:eastAsia="en-US"/>
        </w:rPr>
        <w:t xml:space="preserve">Humanos </w:t>
      </w:r>
      <w:r w:rsidRPr="00661DBC">
        <w:rPr>
          <w:rFonts w:eastAsiaTheme="minorHAnsi" w:cs="Verdana"/>
          <w:lang w:eastAsia="en-US"/>
        </w:rPr>
        <w:t xml:space="preserve">de </w:t>
      </w:r>
      <w:r w:rsidR="00C97B79" w:rsidRPr="00661DBC">
        <w:rPr>
          <w:rFonts w:eastAsiaTheme="minorHAnsi" w:cs="Verdana"/>
          <w:lang w:eastAsia="en-US"/>
        </w:rPr>
        <w:t>10</w:t>
      </w:r>
      <w:r w:rsidR="00084856" w:rsidRPr="00661DBC">
        <w:rPr>
          <w:rFonts w:eastAsiaTheme="minorHAnsi" w:cs="Verdana"/>
          <w:lang w:eastAsia="en-US"/>
        </w:rPr>
        <w:t xml:space="preserve"> </w:t>
      </w:r>
      <w:r w:rsidRPr="00661DBC">
        <w:rPr>
          <w:rFonts w:eastAsiaTheme="minorHAnsi" w:cs="Verdana"/>
          <w:lang w:eastAsia="en-US"/>
        </w:rPr>
        <w:t xml:space="preserve">de </w:t>
      </w:r>
      <w:r w:rsidR="00C97B79" w:rsidRPr="00661DBC">
        <w:rPr>
          <w:rFonts w:eastAsiaTheme="minorHAnsi" w:cs="Verdana"/>
          <w:lang w:eastAsia="en-US"/>
        </w:rPr>
        <w:t xml:space="preserve">octubre </w:t>
      </w:r>
      <w:r w:rsidRPr="00661DBC">
        <w:rPr>
          <w:rFonts w:eastAsiaTheme="minorHAnsi" w:cs="Verdana"/>
          <w:lang w:eastAsia="en-US"/>
        </w:rPr>
        <w:t xml:space="preserve">de </w:t>
      </w:r>
      <w:r w:rsidR="00EA36F7" w:rsidRPr="00661DBC">
        <w:rPr>
          <w:rFonts w:eastAsiaTheme="minorHAnsi" w:cs="Verdana"/>
          <w:lang w:eastAsia="en-US"/>
        </w:rPr>
        <w:t>2023</w:t>
      </w:r>
      <w:r w:rsidRPr="00661DBC">
        <w:rPr>
          <w:rFonts w:eastAsiaTheme="minorHAnsi" w:cs="Verdana"/>
          <w:lang w:eastAsia="en-US"/>
        </w:rPr>
        <w:t>.</w:t>
      </w:r>
    </w:p>
    <w:p w14:paraId="3538B729" w14:textId="77777777" w:rsidR="00A51670" w:rsidRDefault="00A51670">
      <w:pPr>
        <w:widowControl/>
        <w:autoSpaceDE w:val="0"/>
        <w:autoSpaceDN w:val="0"/>
        <w:spacing w:line="240" w:lineRule="auto"/>
        <w:rPr>
          <w:rFonts w:eastAsiaTheme="minorHAnsi" w:cs="Verdana"/>
          <w:lang w:eastAsia="en-US"/>
        </w:rPr>
      </w:pPr>
    </w:p>
    <w:p w14:paraId="720D2DFF" w14:textId="77777777" w:rsidR="00A51670" w:rsidRDefault="00A51670">
      <w:pPr>
        <w:widowControl/>
        <w:autoSpaceDE w:val="0"/>
        <w:autoSpaceDN w:val="0"/>
        <w:spacing w:line="240" w:lineRule="auto"/>
        <w:rPr>
          <w:rFonts w:eastAsiaTheme="minorHAnsi" w:cs="Verdana"/>
          <w:lang w:eastAsia="en-US"/>
        </w:rPr>
      </w:pPr>
    </w:p>
    <w:p w14:paraId="6D2401E4" w14:textId="1C3A5A80" w:rsidR="00A51670" w:rsidRDefault="00A51670">
      <w:pPr>
        <w:widowControl/>
        <w:autoSpaceDE w:val="0"/>
        <w:autoSpaceDN w:val="0"/>
        <w:spacing w:line="240" w:lineRule="auto"/>
        <w:rPr>
          <w:rFonts w:eastAsiaTheme="minorHAnsi" w:cs="Verdana"/>
          <w:lang w:eastAsia="en-US"/>
        </w:rPr>
      </w:pPr>
    </w:p>
    <w:p w14:paraId="7F8BF88C" w14:textId="3DFEBF77" w:rsidR="00A51670" w:rsidRDefault="00A51670">
      <w:pPr>
        <w:widowControl/>
        <w:autoSpaceDE w:val="0"/>
        <w:autoSpaceDN w:val="0"/>
        <w:spacing w:line="240" w:lineRule="auto"/>
        <w:rPr>
          <w:rFonts w:eastAsiaTheme="minorHAnsi" w:cs="Verdana"/>
          <w:lang w:eastAsia="en-US"/>
        </w:rPr>
      </w:pPr>
    </w:p>
    <w:p w14:paraId="3FD2642B" w14:textId="567A7E97" w:rsidR="00A51670" w:rsidRDefault="00A51670">
      <w:pPr>
        <w:widowControl/>
        <w:autoSpaceDE w:val="0"/>
        <w:autoSpaceDN w:val="0"/>
        <w:spacing w:line="240" w:lineRule="auto"/>
        <w:rPr>
          <w:rFonts w:eastAsiaTheme="minorHAnsi" w:cs="Verdana"/>
          <w:lang w:eastAsia="en-US"/>
        </w:rPr>
      </w:pPr>
    </w:p>
    <w:p w14:paraId="5B471807" w14:textId="7144F589" w:rsidR="00A51670" w:rsidRDefault="00A51670">
      <w:pPr>
        <w:widowControl/>
        <w:autoSpaceDE w:val="0"/>
        <w:autoSpaceDN w:val="0"/>
        <w:spacing w:line="240" w:lineRule="auto"/>
        <w:rPr>
          <w:rFonts w:eastAsiaTheme="minorHAnsi" w:cs="Verdana"/>
          <w:lang w:eastAsia="en-US"/>
        </w:rPr>
      </w:pPr>
    </w:p>
    <w:p w14:paraId="114B6AF4" w14:textId="3ED165CF" w:rsidR="00A51670" w:rsidRDefault="00A51670">
      <w:pPr>
        <w:widowControl/>
        <w:autoSpaceDE w:val="0"/>
        <w:autoSpaceDN w:val="0"/>
        <w:spacing w:line="240" w:lineRule="auto"/>
        <w:rPr>
          <w:rFonts w:eastAsiaTheme="minorHAnsi" w:cs="Verdana"/>
          <w:lang w:eastAsia="en-US"/>
        </w:rPr>
      </w:pPr>
    </w:p>
    <w:p w14:paraId="04F4BB25" w14:textId="433ED955" w:rsidR="00A51670" w:rsidRDefault="00A51670">
      <w:pPr>
        <w:widowControl/>
        <w:autoSpaceDE w:val="0"/>
        <w:autoSpaceDN w:val="0"/>
        <w:spacing w:line="240" w:lineRule="auto"/>
        <w:rPr>
          <w:rFonts w:eastAsiaTheme="minorHAnsi" w:cs="Verdana"/>
          <w:lang w:eastAsia="en-US"/>
        </w:rPr>
      </w:pPr>
    </w:p>
    <w:p w14:paraId="753FA431" w14:textId="5EAB0EB3" w:rsidR="00A51670" w:rsidRPr="00A31E9E" w:rsidRDefault="00A51670" w:rsidP="00A51670">
      <w:pPr>
        <w:spacing w:line="240" w:lineRule="auto"/>
        <w:ind w:left="5760"/>
      </w:pPr>
      <w:r w:rsidRPr="00A31E9E">
        <w:t>Ricardo C. Pérez Manrique</w:t>
      </w:r>
    </w:p>
    <w:p w14:paraId="258AD5C0" w14:textId="68CD6B6E" w:rsidR="00A51670" w:rsidRPr="00A31E9E" w:rsidRDefault="00A51670" w:rsidP="00A51670">
      <w:pPr>
        <w:spacing w:line="240" w:lineRule="auto"/>
        <w:ind w:left="5052" w:right="616" w:firstLine="708"/>
      </w:pPr>
      <w:r>
        <w:t xml:space="preserve">        </w:t>
      </w:r>
      <w:r w:rsidRPr="00A31E9E">
        <w:t>Presidente</w:t>
      </w:r>
    </w:p>
    <w:p w14:paraId="5A36FA98" w14:textId="5FF65C1E" w:rsidR="00A51670" w:rsidRPr="00A31E9E" w:rsidRDefault="00A51670" w:rsidP="00A51670">
      <w:pPr>
        <w:spacing w:line="240" w:lineRule="auto"/>
      </w:pPr>
    </w:p>
    <w:p w14:paraId="0A387CE1" w14:textId="7C30F88A" w:rsidR="00A51670" w:rsidRPr="00A31E9E" w:rsidRDefault="00A51670" w:rsidP="00A51670"/>
    <w:p w14:paraId="341B672E" w14:textId="77777777" w:rsidR="00A51670" w:rsidRPr="00A31E9E" w:rsidRDefault="00A51670" w:rsidP="00A51670"/>
    <w:p w14:paraId="64637C48" w14:textId="77777777" w:rsidR="00A51670" w:rsidRPr="00A31E9E" w:rsidRDefault="00A51670" w:rsidP="001D5FE3">
      <w:pPr>
        <w:tabs>
          <w:tab w:val="left" w:pos="8460"/>
          <w:tab w:val="left" w:pos="8640"/>
        </w:tabs>
        <w:spacing w:line="240" w:lineRule="auto"/>
      </w:pPr>
      <w:r w:rsidRPr="00A31E9E">
        <w:t>Pablo Saavedra Alessandri</w:t>
      </w:r>
    </w:p>
    <w:p w14:paraId="57A3BAA2" w14:textId="77777777" w:rsidR="00A51670" w:rsidRPr="00A31E9E" w:rsidRDefault="00A51670" w:rsidP="001D5FE3">
      <w:pPr>
        <w:spacing w:line="240" w:lineRule="auto"/>
        <w:ind w:firstLine="708"/>
      </w:pPr>
      <w:r w:rsidRPr="00A31E9E">
        <w:t xml:space="preserve"> Secretario</w:t>
      </w:r>
    </w:p>
    <w:p w14:paraId="3F3BC8F2" w14:textId="77777777" w:rsidR="00A51670" w:rsidRPr="00A31E9E" w:rsidRDefault="00A51670" w:rsidP="001D5FE3">
      <w:pPr>
        <w:spacing w:line="240" w:lineRule="auto"/>
      </w:pPr>
    </w:p>
    <w:p w14:paraId="7398BB8F" w14:textId="77777777" w:rsidR="00A51670" w:rsidRPr="00A31E9E" w:rsidRDefault="00A51670" w:rsidP="00A51670"/>
    <w:p w14:paraId="45606060" w14:textId="77777777" w:rsidR="00A51670" w:rsidRPr="00A31E9E" w:rsidRDefault="00A51670" w:rsidP="00A51670"/>
    <w:p w14:paraId="1D5E0D6E" w14:textId="796C2648" w:rsidR="00A51670" w:rsidRPr="00A31E9E" w:rsidRDefault="00A51670" w:rsidP="00A51670">
      <w:pPr>
        <w:tabs>
          <w:tab w:val="left" w:pos="8460"/>
          <w:tab w:val="left" w:pos="8640"/>
        </w:tabs>
      </w:pPr>
      <w:r w:rsidRPr="00A31E9E">
        <w:t>Comuníquese y ejecútese,</w:t>
      </w:r>
    </w:p>
    <w:p w14:paraId="3C360489" w14:textId="71040B9F" w:rsidR="00A51670" w:rsidRPr="00A31E9E" w:rsidRDefault="00A51670" w:rsidP="00A51670"/>
    <w:p w14:paraId="7F58D1DC" w14:textId="60311F43" w:rsidR="00A51670" w:rsidRDefault="00A51670" w:rsidP="00A51670"/>
    <w:p w14:paraId="0D77D9D0" w14:textId="2CE4166D" w:rsidR="00A51670" w:rsidRPr="00A31E9E" w:rsidRDefault="00A51670" w:rsidP="00A51670"/>
    <w:p w14:paraId="49EBC1D3" w14:textId="77777777" w:rsidR="00A51670" w:rsidRPr="00A31E9E" w:rsidRDefault="00A51670" w:rsidP="00A51670">
      <w:pPr>
        <w:jc w:val="center"/>
      </w:pPr>
    </w:p>
    <w:p w14:paraId="74779D81" w14:textId="77777777" w:rsidR="00A51670" w:rsidRPr="00A31E9E" w:rsidRDefault="00A51670" w:rsidP="001D5FE3">
      <w:pPr>
        <w:spacing w:line="240" w:lineRule="auto"/>
        <w:jc w:val="right"/>
      </w:pPr>
      <w:r w:rsidRPr="00A31E9E">
        <w:t>Ricardo C. Pérez Manrique</w:t>
      </w:r>
    </w:p>
    <w:p w14:paraId="2BE2669C" w14:textId="77777777" w:rsidR="00A51670" w:rsidRPr="00A31E9E" w:rsidRDefault="00A51670" w:rsidP="001D5FE3">
      <w:pPr>
        <w:spacing w:line="240" w:lineRule="auto"/>
        <w:ind w:right="616"/>
        <w:jc w:val="right"/>
      </w:pPr>
      <w:r w:rsidRPr="00A31E9E">
        <w:t>Presidente</w:t>
      </w:r>
    </w:p>
    <w:p w14:paraId="2787352E" w14:textId="5D247468" w:rsidR="00A51670" w:rsidRPr="00A31E9E" w:rsidRDefault="00A51670" w:rsidP="001D5FE3">
      <w:pPr>
        <w:tabs>
          <w:tab w:val="left" w:pos="8460"/>
          <w:tab w:val="left" w:pos="8640"/>
        </w:tabs>
        <w:spacing w:line="240" w:lineRule="auto"/>
      </w:pPr>
    </w:p>
    <w:p w14:paraId="090FFCA2" w14:textId="2ED29E7C" w:rsidR="00A51670" w:rsidRPr="00A31E9E" w:rsidRDefault="00A51670" w:rsidP="00A51670">
      <w:pPr>
        <w:tabs>
          <w:tab w:val="left" w:pos="8460"/>
          <w:tab w:val="left" w:pos="8640"/>
        </w:tabs>
      </w:pPr>
    </w:p>
    <w:p w14:paraId="455B7AF0" w14:textId="0489120B" w:rsidR="00A51670" w:rsidRPr="00A31E9E" w:rsidRDefault="00A51670" w:rsidP="00A51670">
      <w:pPr>
        <w:tabs>
          <w:tab w:val="left" w:pos="8460"/>
          <w:tab w:val="left" w:pos="8640"/>
        </w:tabs>
      </w:pPr>
    </w:p>
    <w:p w14:paraId="618829D8" w14:textId="2D334007" w:rsidR="00A51670" w:rsidRPr="00A31E9E" w:rsidRDefault="00A51670" w:rsidP="00A51670">
      <w:pPr>
        <w:tabs>
          <w:tab w:val="left" w:pos="8460"/>
          <w:tab w:val="left" w:pos="8640"/>
        </w:tabs>
      </w:pPr>
    </w:p>
    <w:p w14:paraId="3FBA2972" w14:textId="77777777" w:rsidR="00A51670" w:rsidRPr="00A31E9E" w:rsidRDefault="00A51670" w:rsidP="00A51670">
      <w:pPr>
        <w:tabs>
          <w:tab w:val="left" w:pos="8460"/>
          <w:tab w:val="left" w:pos="8640"/>
        </w:tabs>
      </w:pPr>
    </w:p>
    <w:p w14:paraId="63D4DC6B" w14:textId="77777777" w:rsidR="00A51670" w:rsidRPr="00A31E9E" w:rsidRDefault="00A51670" w:rsidP="001D5FE3">
      <w:pPr>
        <w:tabs>
          <w:tab w:val="left" w:pos="8460"/>
          <w:tab w:val="left" w:pos="8640"/>
        </w:tabs>
        <w:spacing w:line="240" w:lineRule="auto"/>
      </w:pPr>
      <w:r w:rsidRPr="00A31E9E">
        <w:t>Pablo Saavedra Alessandri</w:t>
      </w:r>
    </w:p>
    <w:p w14:paraId="7818E52F" w14:textId="77777777" w:rsidR="00A51670" w:rsidRPr="00A31E9E" w:rsidRDefault="00A51670" w:rsidP="001D5FE3">
      <w:pPr>
        <w:spacing w:line="240" w:lineRule="auto"/>
        <w:ind w:firstLine="720"/>
      </w:pPr>
      <w:r w:rsidRPr="00A31E9E">
        <w:t xml:space="preserve"> Secretario</w:t>
      </w:r>
    </w:p>
    <w:p w14:paraId="6E1D46FD" w14:textId="77777777" w:rsidR="00A51670" w:rsidRPr="00A31E9E" w:rsidRDefault="00A51670" w:rsidP="00A51670">
      <w:pPr>
        <w:tabs>
          <w:tab w:val="left" w:pos="426"/>
          <w:tab w:val="left" w:pos="567"/>
        </w:tabs>
      </w:pPr>
    </w:p>
    <w:p w14:paraId="74394F1E" w14:textId="77777777" w:rsidR="00A51670" w:rsidRPr="00CF7B29" w:rsidRDefault="00A51670" w:rsidP="00A51670">
      <w:pPr>
        <w:tabs>
          <w:tab w:val="left" w:pos="567"/>
        </w:tabs>
        <w:spacing w:line="240" w:lineRule="auto"/>
      </w:pPr>
    </w:p>
    <w:p w14:paraId="337A4897" w14:textId="77777777" w:rsidR="00A51670" w:rsidRDefault="00A51670">
      <w:pPr>
        <w:widowControl/>
        <w:autoSpaceDE w:val="0"/>
        <w:autoSpaceDN w:val="0"/>
        <w:spacing w:line="240" w:lineRule="auto"/>
        <w:rPr>
          <w:rFonts w:eastAsiaTheme="minorHAnsi" w:cs="Verdana"/>
          <w:lang w:eastAsia="en-US"/>
        </w:rPr>
      </w:pPr>
    </w:p>
    <w:p w14:paraId="275DB484" w14:textId="77777777" w:rsidR="00C40399" w:rsidRDefault="00C40399">
      <w:pPr>
        <w:widowControl/>
        <w:autoSpaceDE w:val="0"/>
        <w:autoSpaceDN w:val="0"/>
        <w:spacing w:line="240" w:lineRule="auto"/>
        <w:rPr>
          <w:rFonts w:eastAsiaTheme="minorHAnsi" w:cs="Verdana"/>
          <w:lang w:eastAsia="en-US"/>
        </w:rPr>
      </w:pPr>
    </w:p>
    <w:p w14:paraId="7251BE05" w14:textId="77777777" w:rsidR="00C40399" w:rsidRPr="00732A4B" w:rsidRDefault="00C40399" w:rsidP="00661DBC"/>
    <w:sectPr w:rsidR="00C40399" w:rsidRPr="00732A4B" w:rsidSect="00E563BC">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ABC25" w14:textId="77777777" w:rsidR="008D1FFD" w:rsidRDefault="008D1FFD" w:rsidP="000725B2">
      <w:pPr>
        <w:spacing w:line="240" w:lineRule="auto"/>
      </w:pPr>
      <w:r>
        <w:separator/>
      </w:r>
    </w:p>
  </w:endnote>
  <w:endnote w:type="continuationSeparator" w:id="0">
    <w:p w14:paraId="5A649B2D" w14:textId="77777777" w:rsidR="008D1FFD" w:rsidRDefault="008D1FFD" w:rsidP="000725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Italic">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Palatino-Italic">
    <w:altName w:val="Palatino Linotype"/>
    <w:charset w:val="00"/>
    <w:family w:val="auto"/>
    <w:pitch w:val="variable"/>
    <w:sig w:usb0="A00002FF" w:usb1="7800205A" w:usb2="14600000" w:usb3="00000000" w:csb0="0000019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E9F44" w14:textId="77777777" w:rsidR="008D1FFD" w:rsidRDefault="008D1FFD" w:rsidP="000725B2">
      <w:pPr>
        <w:spacing w:line="240" w:lineRule="auto"/>
      </w:pPr>
      <w:r>
        <w:separator/>
      </w:r>
    </w:p>
  </w:footnote>
  <w:footnote w:type="continuationSeparator" w:id="0">
    <w:p w14:paraId="632EAA3C" w14:textId="77777777" w:rsidR="008D1FFD" w:rsidRDefault="008D1FFD" w:rsidP="000725B2">
      <w:pPr>
        <w:spacing w:line="240" w:lineRule="auto"/>
      </w:pPr>
      <w:r>
        <w:continuationSeparator/>
      </w:r>
    </w:p>
  </w:footnote>
  <w:footnote w:id="1">
    <w:p w14:paraId="65E804E7" w14:textId="0FF31D7B" w:rsidR="004E4525" w:rsidRPr="009E774B" w:rsidRDefault="004E4525" w:rsidP="009E774B">
      <w:pPr>
        <w:pStyle w:val="Textonotapie"/>
        <w:spacing w:before="40" w:after="40"/>
        <w:rPr>
          <w:b/>
          <w:bCs/>
          <w:sz w:val="16"/>
          <w:szCs w:val="16"/>
          <w:lang w:val="es-ES"/>
        </w:rPr>
      </w:pPr>
      <w:r w:rsidRPr="009E774B">
        <w:rPr>
          <w:rStyle w:val="Refdenotaalpie"/>
          <w:sz w:val="16"/>
          <w:szCs w:val="16"/>
        </w:rPr>
        <w:footnoteRef/>
      </w:r>
      <w:r w:rsidRPr="009E774B">
        <w:rPr>
          <w:sz w:val="16"/>
          <w:szCs w:val="16"/>
        </w:rPr>
        <w:t xml:space="preserve"> </w:t>
      </w:r>
      <w:r w:rsidRPr="009E774B">
        <w:rPr>
          <w:sz w:val="16"/>
          <w:szCs w:val="16"/>
        </w:rPr>
        <w:tab/>
        <w:t>La representación de las presuntas víctimas es ejercida por</w:t>
      </w:r>
      <w:r w:rsidR="006C6303" w:rsidRPr="009E774B">
        <w:rPr>
          <w:sz w:val="16"/>
          <w:szCs w:val="16"/>
        </w:rPr>
        <w:t xml:space="preserve"> José Benjamín Cuéllar Martínez, integrante del Laboratorio de Investigación y Acción Social contra la impunidad (LIASCI)</w:t>
      </w:r>
      <w:r w:rsidRPr="009E774B">
        <w:rPr>
          <w:sz w:val="16"/>
          <w:szCs w:val="16"/>
          <w:lang w:val="es-ES"/>
        </w:rPr>
        <w:t>.</w:t>
      </w:r>
      <w:r w:rsidR="006C6303" w:rsidRPr="009E774B">
        <w:rPr>
          <w:sz w:val="16"/>
          <w:szCs w:val="16"/>
          <w:lang w:val="es-ES"/>
        </w:rPr>
        <w:t xml:space="preserve"> </w:t>
      </w:r>
    </w:p>
  </w:footnote>
  <w:footnote w:id="2">
    <w:p w14:paraId="134D0F69" w14:textId="56F73923" w:rsidR="00E1146C" w:rsidRPr="009E774B" w:rsidRDefault="00E1146C" w:rsidP="009E774B">
      <w:pPr>
        <w:pStyle w:val="Textonotapie"/>
        <w:spacing w:before="40" w:after="40"/>
        <w:rPr>
          <w:sz w:val="16"/>
          <w:szCs w:val="16"/>
        </w:rPr>
      </w:pPr>
      <w:r w:rsidRPr="009E774B">
        <w:rPr>
          <w:rStyle w:val="Refdenotaalpie"/>
          <w:sz w:val="16"/>
          <w:szCs w:val="16"/>
        </w:rPr>
        <w:footnoteRef/>
      </w:r>
      <w:r w:rsidRPr="009E774B">
        <w:rPr>
          <w:sz w:val="16"/>
          <w:szCs w:val="16"/>
        </w:rPr>
        <w:t xml:space="preserve"> </w:t>
      </w:r>
      <w:r w:rsidRPr="009E774B">
        <w:rPr>
          <w:sz w:val="16"/>
          <w:szCs w:val="16"/>
        </w:rPr>
        <w:tab/>
        <w:t>El Estado reconoció y aceptó que “dentro del patrón de desapariciones forzadas que fue perpetrado durante el conflicto armado interno salvadoreño, se produjo la desaparición de Patricia Emilie Cuéllar Sandoval, Mauricio Cuéllar Sandoval y Julia Orbelina Pérez”. Asimismo, reconoció que “por años existió una inactividad en los procesos de investigación sobre los hechos del caso al haber sido archivados por decisión de las autoridades competentes, sin que se registraran avances efectivos en materia de protección judicial y búsqueda del paradero de las personas afectadas en el caso”. En vista de lo anterior, el Estado reconoció y aceptó responsabilidad internacional</w:t>
      </w:r>
      <w:r w:rsidR="00C570FB">
        <w:rPr>
          <w:sz w:val="16"/>
          <w:szCs w:val="16"/>
        </w:rPr>
        <w:t xml:space="preserve"> </w:t>
      </w:r>
      <w:r w:rsidRPr="009E774B">
        <w:rPr>
          <w:sz w:val="16"/>
          <w:szCs w:val="16"/>
        </w:rPr>
        <w:t xml:space="preserve">“por la violación de los derechos a la personalidad jurídica, a la vida, a la integridad personal, a la libertad personal, a las garantías judiciales y a la protección judicial (establecidos en los artículos 3, 4, 5, 7, 8 y 25) en relación con el artículo 1.1 de la Convención Americana, en perjuicio de Patricia Emilie </w:t>
      </w:r>
      <w:r w:rsidR="00661DBC" w:rsidRPr="009E774B">
        <w:rPr>
          <w:sz w:val="16"/>
          <w:szCs w:val="16"/>
        </w:rPr>
        <w:t>Cu</w:t>
      </w:r>
      <w:r w:rsidR="00661DBC">
        <w:rPr>
          <w:sz w:val="16"/>
          <w:szCs w:val="16"/>
        </w:rPr>
        <w:t>é</w:t>
      </w:r>
      <w:r w:rsidR="00661DBC" w:rsidRPr="009E774B">
        <w:rPr>
          <w:sz w:val="16"/>
          <w:szCs w:val="16"/>
        </w:rPr>
        <w:t xml:space="preserve">llar </w:t>
      </w:r>
      <w:r w:rsidRPr="009E774B">
        <w:rPr>
          <w:sz w:val="16"/>
          <w:szCs w:val="16"/>
        </w:rPr>
        <w:t>Sandoval, Mauricio Cu</w:t>
      </w:r>
      <w:r w:rsidR="00661DBC">
        <w:rPr>
          <w:sz w:val="16"/>
          <w:szCs w:val="16"/>
        </w:rPr>
        <w:t>é</w:t>
      </w:r>
      <w:r w:rsidRPr="009E774B">
        <w:rPr>
          <w:sz w:val="16"/>
          <w:szCs w:val="16"/>
        </w:rPr>
        <w:t xml:space="preserve">llar </w:t>
      </w:r>
      <w:proofErr w:type="spellStart"/>
      <w:r w:rsidRPr="009E774B">
        <w:rPr>
          <w:sz w:val="16"/>
          <w:szCs w:val="16"/>
        </w:rPr>
        <w:t>Cu</w:t>
      </w:r>
      <w:r w:rsidR="00661DBC">
        <w:rPr>
          <w:sz w:val="16"/>
          <w:szCs w:val="16"/>
        </w:rPr>
        <w:t>é</w:t>
      </w:r>
      <w:r w:rsidRPr="009E774B">
        <w:rPr>
          <w:sz w:val="16"/>
          <w:szCs w:val="16"/>
        </w:rPr>
        <w:t>llar</w:t>
      </w:r>
      <w:proofErr w:type="spellEnd"/>
      <w:r w:rsidRPr="009E774B">
        <w:rPr>
          <w:sz w:val="16"/>
          <w:szCs w:val="16"/>
        </w:rPr>
        <w:t xml:space="preserve"> y Julia </w:t>
      </w:r>
      <w:proofErr w:type="spellStart"/>
      <w:r w:rsidRPr="009E774B">
        <w:rPr>
          <w:sz w:val="16"/>
          <w:szCs w:val="16"/>
        </w:rPr>
        <w:t>Orbelina</w:t>
      </w:r>
      <w:proofErr w:type="spellEnd"/>
      <w:r w:rsidRPr="009E774B">
        <w:rPr>
          <w:sz w:val="16"/>
          <w:szCs w:val="16"/>
        </w:rPr>
        <w:t xml:space="preserve"> Pérez</w:t>
      </w:r>
      <w:r w:rsidR="009100A8">
        <w:rPr>
          <w:sz w:val="16"/>
          <w:szCs w:val="16"/>
        </w:rPr>
        <w:t>”</w:t>
      </w:r>
      <w:r w:rsidRPr="009E774B">
        <w:rPr>
          <w:sz w:val="16"/>
          <w:szCs w:val="16"/>
        </w:rPr>
        <w:t>.</w:t>
      </w:r>
    </w:p>
  </w:footnote>
  <w:footnote w:id="3">
    <w:p w14:paraId="4C7FECC9" w14:textId="11F866DF" w:rsidR="007B35CF" w:rsidRPr="009E774B" w:rsidRDefault="007B35CF" w:rsidP="009E774B">
      <w:pPr>
        <w:pStyle w:val="Textonotapie"/>
        <w:spacing w:before="40" w:after="40"/>
        <w:rPr>
          <w:b/>
          <w:bCs/>
          <w:sz w:val="16"/>
          <w:szCs w:val="16"/>
        </w:rPr>
      </w:pPr>
      <w:r w:rsidRPr="009E774B">
        <w:rPr>
          <w:rStyle w:val="Refdenotaalpie"/>
          <w:sz w:val="16"/>
          <w:szCs w:val="16"/>
        </w:rPr>
        <w:footnoteRef/>
      </w:r>
      <w:r w:rsidRPr="009E774B">
        <w:rPr>
          <w:sz w:val="16"/>
          <w:szCs w:val="16"/>
        </w:rPr>
        <w:t xml:space="preserve"> </w:t>
      </w:r>
      <w:r w:rsidRPr="009E774B">
        <w:rPr>
          <w:sz w:val="16"/>
          <w:szCs w:val="16"/>
        </w:rPr>
        <w:tab/>
        <w:t xml:space="preserve">Mediante comunicación de 25 de agosto de 2023 el representante señaló no tener observaciones respecto de las </w:t>
      </w:r>
      <w:r w:rsidR="00111976" w:rsidRPr="009E774B">
        <w:rPr>
          <w:sz w:val="16"/>
          <w:szCs w:val="16"/>
        </w:rPr>
        <w:t>declaraciones</w:t>
      </w:r>
      <w:r w:rsidRPr="009E774B">
        <w:rPr>
          <w:sz w:val="16"/>
          <w:szCs w:val="16"/>
        </w:rPr>
        <w:t xml:space="preserve"> ofrecidas por el Estado. </w:t>
      </w:r>
      <w:proofErr w:type="gramStart"/>
      <w:r w:rsidRPr="009E774B">
        <w:rPr>
          <w:sz w:val="16"/>
          <w:szCs w:val="16"/>
        </w:rPr>
        <w:t>Asimismo</w:t>
      </w:r>
      <w:proofErr w:type="gramEnd"/>
      <w:r w:rsidRPr="009E774B">
        <w:rPr>
          <w:sz w:val="16"/>
          <w:szCs w:val="16"/>
        </w:rPr>
        <w:t xml:space="preserve"> indicó que “por un error involuntario no se le envió [a la Corte la] lista definitiva de declarantes”, por lo que solicitó que se </w:t>
      </w:r>
      <w:r w:rsidR="003951AC" w:rsidRPr="009E774B">
        <w:rPr>
          <w:sz w:val="16"/>
          <w:szCs w:val="16"/>
        </w:rPr>
        <w:t>estableciera</w:t>
      </w:r>
      <w:r w:rsidRPr="009E774B">
        <w:rPr>
          <w:sz w:val="16"/>
          <w:szCs w:val="16"/>
        </w:rPr>
        <w:t xml:space="preserve"> un nuevo plazo para remitir la referida lista. Mediante Nota de la Secretaría de </w:t>
      </w:r>
      <w:r w:rsidR="00111976" w:rsidRPr="009E774B">
        <w:rPr>
          <w:sz w:val="16"/>
          <w:szCs w:val="16"/>
        </w:rPr>
        <w:t>5</w:t>
      </w:r>
      <w:r w:rsidRPr="009E774B">
        <w:rPr>
          <w:sz w:val="16"/>
          <w:szCs w:val="16"/>
        </w:rPr>
        <w:t xml:space="preserve"> de </w:t>
      </w:r>
      <w:r w:rsidR="00111976" w:rsidRPr="009E774B">
        <w:rPr>
          <w:sz w:val="16"/>
          <w:szCs w:val="16"/>
        </w:rPr>
        <w:t>septiembre</w:t>
      </w:r>
      <w:r w:rsidRPr="009E774B">
        <w:rPr>
          <w:sz w:val="16"/>
          <w:szCs w:val="16"/>
        </w:rPr>
        <w:t xml:space="preserve"> de 2023 se indicó que el plazo para remitir listas definitivas de declarantes es improrrogable</w:t>
      </w:r>
      <w:r w:rsidR="003951AC" w:rsidRPr="009E774B">
        <w:rPr>
          <w:sz w:val="16"/>
          <w:szCs w:val="16"/>
        </w:rPr>
        <w:t>.</w:t>
      </w:r>
      <w:r w:rsidR="0014009E" w:rsidRPr="009E774B">
        <w:rPr>
          <w:sz w:val="16"/>
          <w:szCs w:val="16"/>
        </w:rPr>
        <w:t xml:space="preserve"> </w:t>
      </w:r>
    </w:p>
  </w:footnote>
  <w:footnote w:id="4">
    <w:p w14:paraId="229545D9" w14:textId="4CF6AC1F" w:rsidR="0054381B" w:rsidRPr="009E774B" w:rsidRDefault="0054381B" w:rsidP="009E774B">
      <w:pPr>
        <w:pStyle w:val="Textonotapie"/>
        <w:spacing w:before="40" w:after="40"/>
        <w:rPr>
          <w:b/>
          <w:bCs/>
          <w:sz w:val="16"/>
          <w:szCs w:val="16"/>
          <w:lang w:val="es-ES"/>
        </w:rPr>
      </w:pPr>
      <w:r w:rsidRPr="009E774B">
        <w:rPr>
          <w:rStyle w:val="Refdenotaalpie"/>
          <w:sz w:val="16"/>
          <w:szCs w:val="16"/>
        </w:rPr>
        <w:footnoteRef/>
      </w:r>
      <w:r w:rsidRPr="009E774B">
        <w:rPr>
          <w:sz w:val="16"/>
          <w:szCs w:val="16"/>
        </w:rPr>
        <w:t xml:space="preserve"> </w:t>
      </w:r>
      <w:r w:rsidR="006C6303" w:rsidRPr="009E774B">
        <w:rPr>
          <w:sz w:val="16"/>
          <w:szCs w:val="16"/>
        </w:rPr>
        <w:tab/>
      </w:r>
      <w:r w:rsidR="00AE0FA9" w:rsidRPr="009E774B">
        <w:rPr>
          <w:sz w:val="16"/>
          <w:szCs w:val="16"/>
        </w:rPr>
        <w:t xml:space="preserve">La Comisión ofreció la declaración pericial de María Clara Galvis Patiño. </w:t>
      </w:r>
    </w:p>
  </w:footnote>
  <w:footnote w:id="5">
    <w:p w14:paraId="728293BB" w14:textId="66B730CA" w:rsidR="00A10012" w:rsidRPr="009E774B" w:rsidRDefault="00A10012" w:rsidP="009E774B">
      <w:pPr>
        <w:pStyle w:val="Textonotapie"/>
        <w:spacing w:before="40" w:after="40"/>
        <w:rPr>
          <w:b/>
          <w:bCs/>
          <w:sz w:val="16"/>
          <w:szCs w:val="16"/>
          <w:lang w:val="es-ES"/>
        </w:rPr>
      </w:pPr>
      <w:r w:rsidRPr="009E774B">
        <w:rPr>
          <w:rStyle w:val="Refdenotaalpie"/>
          <w:sz w:val="16"/>
          <w:szCs w:val="16"/>
        </w:rPr>
        <w:footnoteRef/>
      </w:r>
      <w:r w:rsidRPr="009E774B">
        <w:rPr>
          <w:sz w:val="16"/>
          <w:szCs w:val="16"/>
        </w:rPr>
        <w:t xml:space="preserve"> </w:t>
      </w:r>
      <w:r w:rsidRPr="009E774B">
        <w:rPr>
          <w:sz w:val="16"/>
          <w:szCs w:val="16"/>
        </w:rPr>
        <w:tab/>
        <w:t>El representante ofreció las declaraciones de las presuntas víctimas Ana Gladys Pérez de Castro, Ana Gabriela Álvarez Cuéllar</w:t>
      </w:r>
      <w:r w:rsidR="000E0923" w:rsidRPr="009E774B">
        <w:rPr>
          <w:sz w:val="16"/>
          <w:szCs w:val="16"/>
        </w:rPr>
        <w:t>, y Francisco Alfredo Álvarez Solís</w:t>
      </w:r>
      <w:r w:rsidRPr="009E774B">
        <w:rPr>
          <w:sz w:val="16"/>
          <w:szCs w:val="16"/>
        </w:rPr>
        <w:t xml:space="preserve"> </w:t>
      </w:r>
    </w:p>
  </w:footnote>
  <w:footnote w:id="6">
    <w:p w14:paraId="097425B6" w14:textId="5AE42A41" w:rsidR="00A10012" w:rsidRPr="009E774B" w:rsidRDefault="00A10012" w:rsidP="009E774B">
      <w:pPr>
        <w:pStyle w:val="Textonotapie"/>
        <w:spacing w:before="40" w:after="40"/>
        <w:rPr>
          <w:b/>
          <w:bCs/>
          <w:sz w:val="16"/>
          <w:szCs w:val="16"/>
          <w:lang w:val="es-ES"/>
        </w:rPr>
      </w:pPr>
      <w:r w:rsidRPr="009E774B">
        <w:rPr>
          <w:rStyle w:val="Refdenotaalpie"/>
          <w:sz w:val="16"/>
          <w:szCs w:val="16"/>
        </w:rPr>
        <w:footnoteRef/>
      </w:r>
      <w:r w:rsidRPr="009E774B">
        <w:rPr>
          <w:sz w:val="16"/>
          <w:szCs w:val="16"/>
        </w:rPr>
        <w:t xml:space="preserve"> </w:t>
      </w:r>
      <w:r w:rsidRPr="009E774B">
        <w:rPr>
          <w:sz w:val="16"/>
          <w:szCs w:val="16"/>
        </w:rPr>
        <w:tab/>
        <w:t xml:space="preserve">El representante ofreció la </w:t>
      </w:r>
      <w:proofErr w:type="gramStart"/>
      <w:r w:rsidRPr="009E774B">
        <w:rPr>
          <w:sz w:val="16"/>
          <w:szCs w:val="16"/>
        </w:rPr>
        <w:t>declaraci</w:t>
      </w:r>
      <w:r w:rsidR="000E0923" w:rsidRPr="009E774B">
        <w:rPr>
          <w:sz w:val="16"/>
          <w:szCs w:val="16"/>
        </w:rPr>
        <w:t>ón</w:t>
      </w:r>
      <w:r w:rsidRPr="009E774B">
        <w:rPr>
          <w:sz w:val="16"/>
          <w:szCs w:val="16"/>
        </w:rPr>
        <w:t xml:space="preserve"> testimoniales</w:t>
      </w:r>
      <w:proofErr w:type="gramEnd"/>
      <w:r w:rsidRPr="009E774B">
        <w:rPr>
          <w:sz w:val="16"/>
          <w:szCs w:val="16"/>
        </w:rPr>
        <w:t xml:space="preserve"> de Roberto Joaquín Cuéllar Martínez. </w:t>
      </w:r>
    </w:p>
  </w:footnote>
  <w:footnote w:id="7">
    <w:p w14:paraId="675775E5" w14:textId="5F59BCAD" w:rsidR="00A10012" w:rsidRPr="009E774B" w:rsidRDefault="00A10012" w:rsidP="009E774B">
      <w:pPr>
        <w:pStyle w:val="Textonotapie"/>
        <w:spacing w:before="40" w:after="40"/>
        <w:rPr>
          <w:b/>
          <w:bCs/>
          <w:sz w:val="16"/>
          <w:szCs w:val="16"/>
          <w:lang w:val="es-ES"/>
        </w:rPr>
      </w:pPr>
      <w:r w:rsidRPr="009E774B">
        <w:rPr>
          <w:rStyle w:val="Refdenotaalpie"/>
          <w:sz w:val="16"/>
          <w:szCs w:val="16"/>
        </w:rPr>
        <w:footnoteRef/>
      </w:r>
      <w:r w:rsidRPr="009E774B">
        <w:rPr>
          <w:sz w:val="16"/>
          <w:szCs w:val="16"/>
        </w:rPr>
        <w:t xml:space="preserve"> </w:t>
      </w:r>
      <w:r w:rsidRPr="009E774B">
        <w:rPr>
          <w:sz w:val="16"/>
          <w:szCs w:val="16"/>
        </w:rPr>
        <w:tab/>
        <w:t xml:space="preserve">El representante ofreció las declaraciones periciales de Paula Sofía Cuéllar </w:t>
      </w:r>
      <w:proofErr w:type="spellStart"/>
      <w:r w:rsidRPr="009E774B">
        <w:rPr>
          <w:sz w:val="16"/>
          <w:szCs w:val="16"/>
        </w:rPr>
        <w:t>Cuéllar</w:t>
      </w:r>
      <w:proofErr w:type="spellEnd"/>
      <w:r w:rsidRPr="009E774B">
        <w:rPr>
          <w:sz w:val="16"/>
          <w:szCs w:val="16"/>
        </w:rPr>
        <w:t>, Javier Alberto Melgar Molina,</w:t>
      </w:r>
      <w:r w:rsidR="005E583A">
        <w:rPr>
          <w:sz w:val="16"/>
          <w:szCs w:val="16"/>
        </w:rPr>
        <w:t xml:space="preserve"> y</w:t>
      </w:r>
      <w:r w:rsidRPr="009E774B">
        <w:rPr>
          <w:sz w:val="16"/>
          <w:szCs w:val="16"/>
        </w:rPr>
        <w:t xml:space="preserve"> Henri Paúl Fino Solórzano</w:t>
      </w:r>
      <w:r w:rsidR="000E0923" w:rsidRPr="009E774B">
        <w:rPr>
          <w:sz w:val="16"/>
          <w:szCs w:val="16"/>
        </w:rPr>
        <w:t xml:space="preserve">. </w:t>
      </w:r>
      <w:proofErr w:type="gramStart"/>
      <w:r w:rsidR="000E0923" w:rsidRPr="009E774B">
        <w:rPr>
          <w:sz w:val="16"/>
          <w:szCs w:val="16"/>
        </w:rPr>
        <w:t>Asimismo</w:t>
      </w:r>
      <w:proofErr w:type="gramEnd"/>
      <w:r w:rsidR="000E0923" w:rsidRPr="009E774B">
        <w:rPr>
          <w:sz w:val="16"/>
          <w:szCs w:val="16"/>
        </w:rPr>
        <w:t xml:space="preserve"> se adhirió al </w:t>
      </w:r>
      <w:r w:rsidR="003951AC" w:rsidRPr="009E774B">
        <w:rPr>
          <w:sz w:val="16"/>
          <w:szCs w:val="16"/>
        </w:rPr>
        <w:t xml:space="preserve">ofrecimiento del </w:t>
      </w:r>
      <w:r w:rsidR="000E0923" w:rsidRPr="009E774B">
        <w:rPr>
          <w:sz w:val="16"/>
          <w:szCs w:val="16"/>
        </w:rPr>
        <w:t>peritaje de</w:t>
      </w:r>
      <w:r w:rsidRPr="009E774B">
        <w:rPr>
          <w:sz w:val="16"/>
          <w:szCs w:val="16"/>
        </w:rPr>
        <w:t xml:space="preserve"> María Clara Galvis Patiño</w:t>
      </w:r>
      <w:r w:rsidR="000E0923" w:rsidRPr="009E774B">
        <w:rPr>
          <w:sz w:val="16"/>
          <w:szCs w:val="16"/>
        </w:rPr>
        <w:t xml:space="preserve"> </w:t>
      </w:r>
      <w:r w:rsidR="003951AC" w:rsidRPr="009E774B">
        <w:rPr>
          <w:sz w:val="16"/>
          <w:szCs w:val="16"/>
        </w:rPr>
        <w:t>realizado</w:t>
      </w:r>
      <w:r w:rsidR="000E0923" w:rsidRPr="009E774B">
        <w:rPr>
          <w:sz w:val="16"/>
          <w:szCs w:val="16"/>
        </w:rPr>
        <w:t xml:space="preserve"> por la Comisión Interamericana</w:t>
      </w:r>
      <w:r w:rsidRPr="009E774B">
        <w:rPr>
          <w:sz w:val="16"/>
          <w:szCs w:val="16"/>
        </w:rPr>
        <w:t xml:space="preserve">. </w:t>
      </w:r>
    </w:p>
  </w:footnote>
  <w:footnote w:id="8">
    <w:p w14:paraId="63DD9013" w14:textId="18FB12C3" w:rsidR="00A31EFD" w:rsidRPr="009E774B" w:rsidRDefault="00A31EFD" w:rsidP="009E774B">
      <w:pPr>
        <w:pStyle w:val="Textonotapie"/>
        <w:spacing w:before="40" w:after="40"/>
        <w:rPr>
          <w:b/>
          <w:bCs/>
          <w:sz w:val="16"/>
          <w:szCs w:val="16"/>
          <w:lang w:val="es-ES"/>
        </w:rPr>
      </w:pPr>
      <w:r w:rsidRPr="009E774B">
        <w:rPr>
          <w:rStyle w:val="Refdenotaalpie"/>
          <w:sz w:val="16"/>
          <w:szCs w:val="16"/>
        </w:rPr>
        <w:footnoteRef/>
      </w:r>
      <w:r w:rsidRPr="009E774B">
        <w:rPr>
          <w:sz w:val="16"/>
          <w:szCs w:val="16"/>
        </w:rPr>
        <w:t xml:space="preserve"> </w:t>
      </w:r>
      <w:r w:rsidR="00A10012" w:rsidRPr="009E774B">
        <w:rPr>
          <w:sz w:val="16"/>
          <w:szCs w:val="16"/>
        </w:rPr>
        <w:tab/>
      </w:r>
      <w:r w:rsidR="006642E5" w:rsidRPr="009E774B">
        <w:rPr>
          <w:sz w:val="16"/>
          <w:szCs w:val="16"/>
        </w:rPr>
        <w:t>El Estado ofreció las declaraciones a “título informativo”</w:t>
      </w:r>
      <w:r w:rsidR="009A3157" w:rsidRPr="009E774B">
        <w:rPr>
          <w:sz w:val="16"/>
          <w:szCs w:val="16"/>
        </w:rPr>
        <w:t xml:space="preserve"> de </w:t>
      </w:r>
      <w:r w:rsidR="0014009E" w:rsidRPr="009E774B">
        <w:rPr>
          <w:sz w:val="16"/>
          <w:szCs w:val="16"/>
        </w:rPr>
        <w:t>Elsy Lourdes Flores Sosa</w:t>
      </w:r>
      <w:r w:rsidR="009A3157" w:rsidRPr="009E774B">
        <w:rPr>
          <w:sz w:val="16"/>
          <w:szCs w:val="16"/>
        </w:rPr>
        <w:t xml:space="preserve"> e indicó el objeto de otra declaración, sin individualizar a la </w:t>
      </w:r>
      <w:r w:rsidR="00CB4A75">
        <w:rPr>
          <w:sz w:val="16"/>
          <w:szCs w:val="16"/>
        </w:rPr>
        <w:t xml:space="preserve">otra </w:t>
      </w:r>
      <w:r w:rsidR="009A3157" w:rsidRPr="009E774B">
        <w:rPr>
          <w:sz w:val="16"/>
          <w:szCs w:val="16"/>
        </w:rPr>
        <w:t xml:space="preserve">persona declarante. </w:t>
      </w:r>
    </w:p>
  </w:footnote>
  <w:footnote w:id="9">
    <w:p w14:paraId="4CFE8A61" w14:textId="6D6AE8EB" w:rsidR="004F2447" w:rsidRPr="009E774B" w:rsidRDefault="004F2447" w:rsidP="009E774B">
      <w:pPr>
        <w:pStyle w:val="Textonotapie"/>
        <w:spacing w:before="40" w:after="40"/>
        <w:rPr>
          <w:sz w:val="16"/>
          <w:szCs w:val="16"/>
          <w:lang w:val="es-ES"/>
        </w:rPr>
      </w:pPr>
      <w:r w:rsidRPr="009E774B">
        <w:rPr>
          <w:rStyle w:val="Refdenotaalpie"/>
          <w:sz w:val="16"/>
          <w:szCs w:val="16"/>
        </w:rPr>
        <w:footnoteRef/>
      </w:r>
      <w:r w:rsidRPr="009E774B">
        <w:rPr>
          <w:sz w:val="16"/>
          <w:szCs w:val="16"/>
        </w:rPr>
        <w:t xml:space="preserve"> </w:t>
      </w:r>
      <w:r w:rsidR="00DA603C" w:rsidRPr="009E774B">
        <w:rPr>
          <w:sz w:val="16"/>
          <w:szCs w:val="16"/>
        </w:rPr>
        <w:tab/>
      </w:r>
      <w:r w:rsidR="00DA603C" w:rsidRPr="009E774B">
        <w:rPr>
          <w:i/>
          <w:sz w:val="16"/>
          <w:szCs w:val="16"/>
        </w:rPr>
        <w:t>Cfr</w:t>
      </w:r>
      <w:r w:rsidR="00DA603C" w:rsidRPr="009E774B">
        <w:rPr>
          <w:sz w:val="16"/>
          <w:szCs w:val="16"/>
        </w:rPr>
        <w:t xml:space="preserve">. </w:t>
      </w:r>
      <w:r w:rsidR="00DA603C" w:rsidRPr="009E774B">
        <w:rPr>
          <w:i/>
          <w:sz w:val="16"/>
          <w:szCs w:val="16"/>
        </w:rPr>
        <w:t>Caso Fontevecchia y D’Amico Vs. Argentina</w:t>
      </w:r>
      <w:r w:rsidR="00DA603C" w:rsidRPr="009E774B">
        <w:rPr>
          <w:sz w:val="16"/>
          <w:szCs w:val="16"/>
        </w:rPr>
        <w:t xml:space="preserve">. Convocatoria a audiencia. Resolución del </w:t>
      </w:r>
      <w:proofErr w:type="gramStart"/>
      <w:r w:rsidR="00DA603C" w:rsidRPr="009E774B">
        <w:rPr>
          <w:sz w:val="16"/>
          <w:szCs w:val="16"/>
        </w:rPr>
        <w:t>Presidente</w:t>
      </w:r>
      <w:proofErr w:type="gramEnd"/>
      <w:r w:rsidR="00DA603C" w:rsidRPr="009E774B">
        <w:rPr>
          <w:sz w:val="16"/>
          <w:szCs w:val="16"/>
        </w:rPr>
        <w:t xml:space="preserve"> de la Corte Interamericana de Derechos Humanos de 27 de julio de 2011, Considerando 9, y </w:t>
      </w:r>
      <w:r w:rsidR="00DA603C" w:rsidRPr="009E774B">
        <w:rPr>
          <w:i/>
          <w:iCs/>
          <w:sz w:val="16"/>
          <w:szCs w:val="16"/>
        </w:rPr>
        <w:t xml:space="preserve">Caso </w:t>
      </w:r>
      <w:proofErr w:type="spellStart"/>
      <w:r w:rsidR="00DA603C" w:rsidRPr="009E774B">
        <w:rPr>
          <w:i/>
          <w:iCs/>
          <w:sz w:val="16"/>
          <w:szCs w:val="16"/>
        </w:rPr>
        <w:t>Poggioli</w:t>
      </w:r>
      <w:proofErr w:type="spellEnd"/>
      <w:r w:rsidR="00DA603C" w:rsidRPr="009E774B">
        <w:rPr>
          <w:i/>
          <w:iCs/>
          <w:sz w:val="16"/>
          <w:szCs w:val="16"/>
        </w:rPr>
        <w:t xml:space="preserve"> Pérez Vs. Venezuela.</w:t>
      </w:r>
      <w:r w:rsidR="00DA603C" w:rsidRPr="009E774B">
        <w:rPr>
          <w:sz w:val="16"/>
          <w:szCs w:val="16"/>
        </w:rPr>
        <w:t xml:space="preserve"> Resolución del </w:t>
      </w:r>
      <w:proofErr w:type="gramStart"/>
      <w:r w:rsidR="00DA603C" w:rsidRPr="009E774B">
        <w:rPr>
          <w:sz w:val="16"/>
          <w:szCs w:val="16"/>
        </w:rPr>
        <w:t>Presidente</w:t>
      </w:r>
      <w:proofErr w:type="gramEnd"/>
      <w:r w:rsidR="00DA603C" w:rsidRPr="009E774B">
        <w:rPr>
          <w:sz w:val="16"/>
          <w:szCs w:val="16"/>
        </w:rPr>
        <w:t xml:space="preserve"> de la Corte Interamericana de Derechos Humanos de 12 de mayo de 2023, Considerando 4.</w:t>
      </w:r>
    </w:p>
  </w:footnote>
  <w:footnote w:id="10">
    <w:p w14:paraId="6447765D" w14:textId="4591D3CB" w:rsidR="009E774B" w:rsidRPr="009E774B" w:rsidRDefault="009E774B">
      <w:pPr>
        <w:pStyle w:val="Textonotapie"/>
        <w:rPr>
          <w:sz w:val="16"/>
          <w:szCs w:val="16"/>
        </w:rPr>
      </w:pPr>
      <w:r w:rsidRPr="009E774B">
        <w:rPr>
          <w:rStyle w:val="Refdenotaalpie"/>
          <w:sz w:val="16"/>
          <w:szCs w:val="16"/>
        </w:rPr>
        <w:footnoteRef/>
      </w:r>
      <w:r w:rsidRPr="009E774B">
        <w:rPr>
          <w:sz w:val="16"/>
          <w:szCs w:val="16"/>
        </w:rPr>
        <w:t xml:space="preserve"> </w:t>
      </w:r>
      <w:r w:rsidRPr="009E774B">
        <w:rPr>
          <w:sz w:val="16"/>
          <w:szCs w:val="16"/>
        </w:rPr>
        <w:tab/>
      </w:r>
      <w:r w:rsidRPr="009E774B">
        <w:rPr>
          <w:i/>
          <w:iCs/>
          <w:sz w:val="16"/>
          <w:szCs w:val="16"/>
        </w:rPr>
        <w:t>Cfr. Caso Rodríguez Revolorio y otros Vs. Guatemala. Convocatoria a audiencia.</w:t>
      </w:r>
      <w:r w:rsidRPr="009E774B">
        <w:rPr>
          <w:sz w:val="16"/>
          <w:szCs w:val="16"/>
        </w:rPr>
        <w:t xml:space="preserve"> Resolución del </w:t>
      </w:r>
      <w:proofErr w:type="gramStart"/>
      <w:r w:rsidRPr="009E774B">
        <w:rPr>
          <w:sz w:val="16"/>
          <w:szCs w:val="16"/>
        </w:rPr>
        <w:t>Presidente</w:t>
      </w:r>
      <w:proofErr w:type="gramEnd"/>
      <w:r w:rsidRPr="009E774B">
        <w:rPr>
          <w:sz w:val="16"/>
          <w:szCs w:val="16"/>
        </w:rPr>
        <w:t xml:space="preserve"> de la Corte Interamericana de Derechos Humanos de 15 de febrero de 2019, Considerando 21</w:t>
      </w:r>
      <w:r>
        <w:rPr>
          <w:sz w:val="16"/>
          <w:szCs w:val="16"/>
        </w:rPr>
        <w:t xml:space="preserve">; </w:t>
      </w:r>
      <w:r w:rsidRPr="009E774B">
        <w:rPr>
          <w:i/>
          <w:iCs/>
          <w:sz w:val="16"/>
          <w:szCs w:val="16"/>
        </w:rPr>
        <w:t>Caso González y otros Vs. Venezuela</w:t>
      </w:r>
      <w:r w:rsidRPr="009E774B">
        <w:rPr>
          <w:sz w:val="16"/>
          <w:szCs w:val="16"/>
        </w:rPr>
        <w:t xml:space="preserve">. Resolución de la </w:t>
      </w:r>
      <w:proofErr w:type="gramStart"/>
      <w:r w:rsidRPr="009E774B">
        <w:rPr>
          <w:sz w:val="16"/>
          <w:szCs w:val="16"/>
        </w:rPr>
        <w:t>Presidenta</w:t>
      </w:r>
      <w:proofErr w:type="gramEnd"/>
      <w:r w:rsidRPr="009E774B">
        <w:rPr>
          <w:sz w:val="16"/>
          <w:szCs w:val="16"/>
        </w:rPr>
        <w:t xml:space="preserve"> de la Corte Interamericana de Derechos Humanos de 14 de abril de 2021,</w:t>
      </w:r>
      <w:r w:rsidR="00604F9E">
        <w:rPr>
          <w:sz w:val="16"/>
          <w:szCs w:val="16"/>
        </w:rPr>
        <w:t xml:space="preserve"> Considerando 17;</w:t>
      </w:r>
      <w:r w:rsidRPr="009E774B">
        <w:rPr>
          <w:sz w:val="16"/>
          <w:szCs w:val="16"/>
        </w:rPr>
        <w:t xml:space="preserve"> </w:t>
      </w:r>
      <w:r w:rsidRPr="009E774B">
        <w:rPr>
          <w:i/>
          <w:iCs/>
          <w:sz w:val="16"/>
          <w:szCs w:val="16"/>
        </w:rPr>
        <w:t>Caso Ríos Avalos y otro Vs. Paraguay. Convocatoria a audiencia</w:t>
      </w:r>
      <w:r w:rsidRPr="009E774B">
        <w:rPr>
          <w:sz w:val="16"/>
          <w:szCs w:val="16"/>
        </w:rPr>
        <w:t xml:space="preserve">. Resolución de la </w:t>
      </w:r>
      <w:proofErr w:type="gramStart"/>
      <w:r w:rsidRPr="009E774B">
        <w:rPr>
          <w:sz w:val="16"/>
          <w:szCs w:val="16"/>
        </w:rPr>
        <w:t>Presidenta</w:t>
      </w:r>
      <w:proofErr w:type="gramEnd"/>
      <w:r w:rsidRPr="009E774B">
        <w:rPr>
          <w:sz w:val="16"/>
          <w:szCs w:val="16"/>
        </w:rPr>
        <w:t xml:space="preserve"> de la Corte de 11 de diciembre de 2020, Considerandos 4 y 5, y </w:t>
      </w:r>
      <w:r w:rsidRPr="009E774B">
        <w:rPr>
          <w:i/>
          <w:iCs/>
          <w:sz w:val="16"/>
          <w:szCs w:val="16"/>
        </w:rPr>
        <w:t>Caso Britez Arce y otros Vs. Argentina.</w:t>
      </w:r>
      <w:r w:rsidRPr="009E774B">
        <w:rPr>
          <w:sz w:val="16"/>
          <w:szCs w:val="16"/>
        </w:rPr>
        <w:t xml:space="preserve"> Resolución del </w:t>
      </w:r>
      <w:proofErr w:type="gramStart"/>
      <w:r w:rsidRPr="009E774B">
        <w:rPr>
          <w:sz w:val="16"/>
          <w:szCs w:val="16"/>
        </w:rPr>
        <w:t>Presidente</w:t>
      </w:r>
      <w:proofErr w:type="gramEnd"/>
      <w:r w:rsidRPr="009E774B">
        <w:rPr>
          <w:sz w:val="16"/>
          <w:szCs w:val="16"/>
        </w:rPr>
        <w:t xml:space="preserve"> de la Corte Interamericana de Derechos Humanos de 4 de marzo de 2022, Considerando 10.</w:t>
      </w:r>
    </w:p>
  </w:footnote>
  <w:footnote w:id="11">
    <w:p w14:paraId="115E54F3" w14:textId="4D12A244" w:rsidR="009A3157" w:rsidRPr="00661DBC" w:rsidRDefault="009A3157" w:rsidP="009E774B">
      <w:pPr>
        <w:pStyle w:val="Textonotapie"/>
        <w:spacing w:before="40" w:after="40"/>
        <w:rPr>
          <w:bCs/>
          <w:iCs/>
          <w:sz w:val="16"/>
          <w:szCs w:val="16"/>
        </w:rPr>
      </w:pPr>
      <w:r w:rsidRPr="009E774B">
        <w:rPr>
          <w:rStyle w:val="Refdenotaalpie"/>
          <w:sz w:val="16"/>
          <w:szCs w:val="16"/>
        </w:rPr>
        <w:footnoteRef/>
      </w:r>
      <w:r w:rsidRPr="009E774B">
        <w:rPr>
          <w:sz w:val="16"/>
          <w:szCs w:val="16"/>
        </w:rPr>
        <w:t xml:space="preserve"> </w:t>
      </w:r>
      <w:r w:rsidRPr="009E774B">
        <w:rPr>
          <w:sz w:val="16"/>
          <w:szCs w:val="16"/>
        </w:rPr>
        <w:tab/>
      </w:r>
      <w:r w:rsidRPr="009E774B">
        <w:rPr>
          <w:i/>
          <w:sz w:val="16"/>
          <w:szCs w:val="16"/>
          <w:lang w:val="es-PR"/>
        </w:rPr>
        <w:t>Cfr.</w:t>
      </w:r>
      <w:r w:rsidRPr="009E774B">
        <w:rPr>
          <w:sz w:val="16"/>
          <w:szCs w:val="16"/>
          <w:lang w:val="es-PR"/>
        </w:rPr>
        <w:t xml:space="preserve"> </w:t>
      </w:r>
      <w:r w:rsidR="00E3684E">
        <w:rPr>
          <w:bCs/>
          <w:i/>
          <w:sz w:val="16"/>
          <w:szCs w:val="16"/>
          <w:lang w:val="es-PR"/>
        </w:rPr>
        <w:t xml:space="preserve"> </w:t>
      </w:r>
      <w:r w:rsidR="00E3684E" w:rsidRPr="00E3684E">
        <w:rPr>
          <w:bCs/>
          <w:i/>
          <w:sz w:val="16"/>
          <w:szCs w:val="16"/>
        </w:rPr>
        <w:t xml:space="preserve">Caso de la “Masacre de Pueblo Bello” Vs. </w:t>
      </w:r>
      <w:proofErr w:type="gramStart"/>
      <w:r w:rsidR="00E3684E" w:rsidRPr="00E3684E">
        <w:rPr>
          <w:bCs/>
          <w:i/>
          <w:sz w:val="16"/>
          <w:szCs w:val="16"/>
        </w:rPr>
        <w:t>Colombia .</w:t>
      </w:r>
      <w:proofErr w:type="gramEnd"/>
      <w:r w:rsidR="00E3684E" w:rsidRPr="00E3684E">
        <w:rPr>
          <w:bCs/>
          <w:i/>
          <w:sz w:val="16"/>
          <w:szCs w:val="16"/>
        </w:rPr>
        <w:t xml:space="preserve"> Convocatoria a audiencia. </w:t>
      </w:r>
      <w:r w:rsidR="00E3684E" w:rsidRPr="00661DBC">
        <w:rPr>
          <w:bCs/>
          <w:iCs/>
          <w:sz w:val="16"/>
          <w:szCs w:val="16"/>
        </w:rPr>
        <w:t xml:space="preserve">Resolución del </w:t>
      </w:r>
      <w:proofErr w:type="gramStart"/>
      <w:r w:rsidR="00E3684E" w:rsidRPr="00E3684E">
        <w:rPr>
          <w:bCs/>
          <w:iCs/>
          <w:sz w:val="16"/>
          <w:szCs w:val="16"/>
        </w:rPr>
        <w:t>Presidente</w:t>
      </w:r>
      <w:proofErr w:type="gramEnd"/>
      <w:r w:rsidR="00E3684E" w:rsidRPr="00E3684E">
        <w:rPr>
          <w:bCs/>
          <w:iCs/>
          <w:sz w:val="16"/>
          <w:szCs w:val="16"/>
        </w:rPr>
        <w:t xml:space="preserve"> de</w:t>
      </w:r>
      <w:r w:rsidR="00E3684E" w:rsidRPr="00661DBC">
        <w:rPr>
          <w:bCs/>
          <w:iCs/>
          <w:sz w:val="16"/>
          <w:szCs w:val="16"/>
        </w:rPr>
        <w:t xml:space="preserve"> la Corte Interamericana de Derechos Humanos de 29 de julio de 2005, Considerando 7</w:t>
      </w:r>
      <w:r w:rsidR="00E3684E">
        <w:rPr>
          <w:bCs/>
          <w:iCs/>
          <w:sz w:val="16"/>
          <w:szCs w:val="16"/>
        </w:rPr>
        <w:t xml:space="preserve">, y </w:t>
      </w:r>
      <w:r w:rsidR="00E3684E" w:rsidRPr="00661DBC">
        <w:rPr>
          <w:bCs/>
          <w:i/>
          <w:sz w:val="16"/>
          <w:szCs w:val="16"/>
        </w:rPr>
        <w:t>Caso Dos Santos Nascimento y otra Vs. Brasil. Convocatoria a audiencia.</w:t>
      </w:r>
      <w:r w:rsidR="00E3684E" w:rsidRPr="00E3684E">
        <w:rPr>
          <w:bCs/>
          <w:iCs/>
          <w:sz w:val="16"/>
          <w:szCs w:val="16"/>
        </w:rPr>
        <w:t xml:space="preserve"> Resolución del </w:t>
      </w:r>
      <w:proofErr w:type="gramStart"/>
      <w:r w:rsidR="00E3684E" w:rsidRPr="00E3684E">
        <w:rPr>
          <w:bCs/>
          <w:iCs/>
          <w:sz w:val="16"/>
          <w:szCs w:val="16"/>
        </w:rPr>
        <w:t>Presidente</w:t>
      </w:r>
      <w:proofErr w:type="gramEnd"/>
      <w:r w:rsidR="00E3684E" w:rsidRPr="00E3684E">
        <w:rPr>
          <w:bCs/>
          <w:iCs/>
          <w:sz w:val="16"/>
          <w:szCs w:val="16"/>
        </w:rPr>
        <w:t xml:space="preserve"> de la Corte Interamericana de Derechos Humanos de 26 de mayo de 2023</w:t>
      </w:r>
      <w:r w:rsidR="00E3684E">
        <w:rPr>
          <w:bCs/>
          <w:iCs/>
          <w:sz w:val="16"/>
          <w:szCs w:val="16"/>
        </w:rPr>
        <w:t>, Considerando 13.</w:t>
      </w:r>
      <w:r w:rsidR="00881167">
        <w:rPr>
          <w:bCs/>
          <w:iCs/>
          <w:sz w:val="16"/>
          <w:szCs w:val="16"/>
        </w:rPr>
        <w:t xml:space="preserve"> </w:t>
      </w:r>
    </w:p>
  </w:footnote>
  <w:footnote w:id="12">
    <w:p w14:paraId="096AAA7D" w14:textId="5D73A23B" w:rsidR="009A3157" w:rsidRPr="00661DBC" w:rsidRDefault="009A3157" w:rsidP="009E774B">
      <w:pPr>
        <w:pStyle w:val="Textonotapie"/>
        <w:spacing w:before="40" w:after="40"/>
        <w:rPr>
          <w:bCs/>
          <w:iCs/>
          <w:sz w:val="16"/>
          <w:szCs w:val="16"/>
        </w:rPr>
      </w:pPr>
      <w:r w:rsidRPr="009E774B">
        <w:rPr>
          <w:rStyle w:val="Refdenotaalpie"/>
          <w:sz w:val="16"/>
          <w:szCs w:val="16"/>
        </w:rPr>
        <w:footnoteRef/>
      </w:r>
      <w:r w:rsidRPr="009E774B">
        <w:rPr>
          <w:sz w:val="16"/>
          <w:szCs w:val="16"/>
        </w:rPr>
        <w:t xml:space="preserve"> </w:t>
      </w:r>
      <w:r w:rsidRPr="009E774B">
        <w:rPr>
          <w:sz w:val="16"/>
          <w:szCs w:val="16"/>
        </w:rPr>
        <w:tab/>
      </w:r>
      <w:r w:rsidRPr="009E774B">
        <w:rPr>
          <w:i/>
          <w:iCs/>
          <w:sz w:val="16"/>
          <w:szCs w:val="16"/>
        </w:rPr>
        <w:t xml:space="preserve">Cfr. </w:t>
      </w:r>
      <w:r w:rsidR="00E3684E" w:rsidRPr="00E3684E">
        <w:rPr>
          <w:i/>
          <w:iCs/>
          <w:sz w:val="16"/>
          <w:szCs w:val="16"/>
        </w:rPr>
        <w:t xml:space="preserve">Caso Suárez Peralta Vs. Ecuador. Convocatoria a audiencia. </w:t>
      </w:r>
      <w:r w:rsidR="00E3684E" w:rsidRPr="00661DBC">
        <w:rPr>
          <w:sz w:val="16"/>
          <w:szCs w:val="16"/>
        </w:rPr>
        <w:t>Re</w:t>
      </w:r>
      <w:r w:rsidR="00E3684E" w:rsidRPr="00E3684E">
        <w:rPr>
          <w:i/>
          <w:iCs/>
          <w:sz w:val="16"/>
          <w:szCs w:val="16"/>
        </w:rPr>
        <w:t>s</w:t>
      </w:r>
      <w:r w:rsidR="00E3684E" w:rsidRPr="00661DBC">
        <w:rPr>
          <w:sz w:val="16"/>
          <w:szCs w:val="16"/>
        </w:rPr>
        <w:t>olución del Presidente de la Corte Interamericana de Derechos Humanos de 20 de diciembre de 2012, Considerando 22</w:t>
      </w:r>
      <w:r w:rsidR="00E3684E">
        <w:rPr>
          <w:sz w:val="16"/>
          <w:szCs w:val="16"/>
        </w:rPr>
        <w:t>, y</w:t>
      </w:r>
      <w:r w:rsidR="00881167">
        <w:rPr>
          <w:sz w:val="16"/>
          <w:szCs w:val="16"/>
        </w:rPr>
        <w:t xml:space="preserve"> </w:t>
      </w:r>
      <w:r w:rsidR="00881167" w:rsidRPr="00B541AA">
        <w:rPr>
          <w:bCs/>
          <w:i/>
          <w:sz w:val="16"/>
          <w:szCs w:val="16"/>
        </w:rPr>
        <w:t>Caso Dos Santos Nascimento y otra Vs. Brasil</w:t>
      </w:r>
      <w:r w:rsidR="00881167">
        <w:rPr>
          <w:bCs/>
          <w:i/>
          <w:sz w:val="16"/>
          <w:szCs w:val="16"/>
        </w:rPr>
        <w:t>, supra</w:t>
      </w:r>
      <w:r w:rsidR="00881167">
        <w:rPr>
          <w:bCs/>
          <w:iCs/>
          <w:sz w:val="16"/>
          <w:szCs w:val="16"/>
        </w:rPr>
        <w:t>, Considerando 13</w:t>
      </w:r>
      <w:proofErr w:type="gramStart"/>
      <w:r w:rsidR="00881167">
        <w:rPr>
          <w:bCs/>
          <w:iCs/>
          <w:sz w:val="16"/>
          <w:szCs w:val="16"/>
        </w:rPr>
        <w:t>.</w:t>
      </w:r>
      <w:r w:rsidR="00E3684E">
        <w:rPr>
          <w:sz w:val="16"/>
          <w:szCs w:val="16"/>
        </w:rPr>
        <w:t xml:space="preserve"> </w:t>
      </w:r>
      <w:r w:rsidRPr="009E774B">
        <w:rPr>
          <w:sz w:val="16"/>
          <w:szCs w:val="16"/>
        </w:rPr>
        <w:t>.</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D3FD5" w14:textId="77777777" w:rsidR="00EA36F7" w:rsidRPr="00617F90" w:rsidRDefault="00EA36F7" w:rsidP="005B0D19">
    <w:pPr>
      <w:pStyle w:val="Encabezado"/>
      <w:ind w:left="720"/>
      <w:jc w:val="right"/>
      <w:rPr>
        <w:sz w:val="16"/>
        <w:szCs w:val="16"/>
        <w:lang w:val="es-GT"/>
      </w:rPr>
    </w:pPr>
  </w:p>
  <w:p w14:paraId="367A8D8B" w14:textId="36BBE707" w:rsidR="000725B2" w:rsidRDefault="000725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131"/>
    <w:multiLevelType w:val="hybridMultilevel"/>
    <w:tmpl w:val="0B7A963A"/>
    <w:lvl w:ilvl="0" w:tplc="FFFFFFFF">
      <w:start w:val="1"/>
      <w:numFmt w:val="decimal"/>
      <w:lvlText w:val="%1)"/>
      <w:lvlJc w:val="left"/>
      <w:pPr>
        <w:ind w:left="1068" w:hanging="360"/>
      </w:pPr>
      <w:rPr>
        <w:rFonts w:eastAsiaTheme="minorHAnsi" w:cs="Verdana-Italic"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6DA057F"/>
    <w:multiLevelType w:val="hybridMultilevel"/>
    <w:tmpl w:val="629C870A"/>
    <w:lvl w:ilvl="0" w:tplc="E3980494">
      <w:start w:val="1"/>
      <w:numFmt w:val="decimal"/>
      <w:lvlText w:val="%1)"/>
      <w:lvlJc w:val="left"/>
      <w:pPr>
        <w:ind w:left="1068" w:hanging="360"/>
      </w:pPr>
      <w:rPr>
        <w:rFonts w:eastAsiaTheme="minorHAnsi" w:cs="Verdana-Italic"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 w15:restartNumberingAfterBreak="0">
    <w:nsid w:val="0FF83EB2"/>
    <w:multiLevelType w:val="hybridMultilevel"/>
    <w:tmpl w:val="06BE12B4"/>
    <w:lvl w:ilvl="0" w:tplc="8AD6A1C2">
      <w:start w:val="1"/>
      <w:numFmt w:val="upperLetter"/>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36F2E83"/>
    <w:multiLevelType w:val="hybridMultilevel"/>
    <w:tmpl w:val="30467760"/>
    <w:lvl w:ilvl="0" w:tplc="FEAE2600">
      <w:start w:val="1"/>
      <w:numFmt w:val="decimal"/>
      <w:lvlText w:val="%1."/>
      <w:lvlJc w:val="left"/>
      <w:pPr>
        <w:ind w:left="3763" w:hanging="360"/>
      </w:pPr>
      <w:rPr>
        <w:rFonts w:hint="default"/>
        <w:sz w:val="20"/>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4" w15:restartNumberingAfterBreak="0">
    <w:nsid w:val="1B4C65B0"/>
    <w:multiLevelType w:val="hybridMultilevel"/>
    <w:tmpl w:val="3446E2E6"/>
    <w:lvl w:ilvl="0" w:tplc="FFFFFFFF">
      <w:start w:val="1"/>
      <w:numFmt w:val="decimal"/>
      <w:lvlText w:val="%1)"/>
      <w:lvlJc w:val="left"/>
      <w:pPr>
        <w:ind w:left="1068" w:hanging="360"/>
      </w:pPr>
      <w:rPr>
        <w:rFonts w:eastAsiaTheme="minorHAnsi" w:cs="Verdana-Italic"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 w15:restartNumberingAfterBreak="0">
    <w:nsid w:val="221D63B2"/>
    <w:multiLevelType w:val="hybridMultilevel"/>
    <w:tmpl w:val="9DAEC898"/>
    <w:lvl w:ilvl="0" w:tplc="0B58A424">
      <w:start w:val="1"/>
      <w:numFmt w:val="decimal"/>
      <w:lvlText w:val="%1."/>
      <w:lvlJc w:val="left"/>
      <w:pPr>
        <w:ind w:left="720" w:hanging="360"/>
      </w:pPr>
      <w:rPr>
        <w:rFonts w:eastAsia="Verdana"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550231B"/>
    <w:multiLevelType w:val="hybridMultilevel"/>
    <w:tmpl w:val="18B0611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BB750D4"/>
    <w:multiLevelType w:val="hybridMultilevel"/>
    <w:tmpl w:val="9B1AAE56"/>
    <w:lvl w:ilvl="0" w:tplc="FFFFFFFF">
      <w:start w:val="1"/>
      <w:numFmt w:val="upperLetter"/>
      <w:lvlText w:val="%1)"/>
      <w:lvlJc w:val="left"/>
      <w:pPr>
        <w:tabs>
          <w:tab w:val="num" w:pos="1080"/>
        </w:tabs>
        <w:ind w:left="1080" w:hanging="360"/>
      </w:pPr>
      <w:rPr>
        <w:rFonts w:ascii="Garamond" w:hAnsi="Garamond" w:hint="default"/>
        <w:b w:val="0"/>
        <w:i/>
        <w:sz w:val="24"/>
      </w:rPr>
    </w:lvl>
    <w:lvl w:ilvl="1" w:tplc="FFFFFFFF">
      <w:numFmt w:val="none"/>
      <w:lvlText w:val=""/>
      <w:lvlJc w:val="left"/>
      <w:pPr>
        <w:tabs>
          <w:tab w:val="num" w:pos="360"/>
        </w:tabs>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15:restartNumberingAfterBreak="0">
    <w:nsid w:val="2C6144C9"/>
    <w:multiLevelType w:val="hybridMultilevel"/>
    <w:tmpl w:val="CFF0C922"/>
    <w:lvl w:ilvl="0" w:tplc="AAD2F022">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F4767F3"/>
    <w:multiLevelType w:val="hybridMultilevel"/>
    <w:tmpl w:val="C45809BC"/>
    <w:lvl w:ilvl="0" w:tplc="EE1A0456">
      <w:start w:val="1"/>
      <w:numFmt w:val="decimal"/>
      <w:pStyle w:val="Estilo5"/>
      <w:lvlText w:val="%1."/>
      <w:lvlJc w:val="left"/>
      <w:pPr>
        <w:ind w:left="450" w:hanging="360"/>
      </w:pPr>
      <w:rPr>
        <w:rFonts w:ascii="Verdana" w:hAnsi="Verdana" w:hint="default"/>
        <w:b w:val="0"/>
        <w:i w:val="0"/>
        <w:strike w:val="0"/>
        <w:color w:val="auto"/>
        <w:sz w:val="20"/>
        <w:szCs w:val="20"/>
        <w:lang w:val="es-MX"/>
      </w:rPr>
    </w:lvl>
    <w:lvl w:ilvl="1" w:tplc="3CA86E32">
      <w:start w:val="1"/>
      <w:numFmt w:val="lowerLetter"/>
      <w:lvlText w:val="%2)"/>
      <w:lvlJc w:val="left"/>
      <w:pPr>
        <w:ind w:left="1620" w:hanging="360"/>
      </w:pPr>
      <w:rPr>
        <w:rFonts w:ascii="Verdana" w:hAnsi="Verdana" w:cs="Times New Roman" w:hint="default"/>
        <w:b w:val="0"/>
        <w:i w:val="0"/>
        <w:caps w:val="0"/>
        <w:strike w:val="0"/>
        <w:dstrike w:val="0"/>
        <w:vanish w:val="0"/>
        <w:color w:val="auto"/>
        <w:sz w:val="20"/>
        <w:vertAlign w:val="baseline"/>
      </w:rPr>
    </w:lvl>
    <w:lvl w:ilvl="2" w:tplc="3F20288C">
      <w:start w:val="1"/>
      <w:numFmt w:val="lowerRoman"/>
      <w:lvlText w:val="%3."/>
      <w:lvlJc w:val="right"/>
      <w:pPr>
        <w:ind w:left="2160" w:hanging="180"/>
      </w:pPr>
      <w:rPr>
        <w:b w:val="0"/>
      </w:rPr>
    </w:lvl>
    <w:lvl w:ilvl="3" w:tplc="140A000F">
      <w:start w:val="1"/>
      <w:numFmt w:val="decimal"/>
      <w:lvlText w:val="%4."/>
      <w:lvlJc w:val="left"/>
      <w:pPr>
        <w:ind w:left="2880" w:hanging="360"/>
      </w:pPr>
    </w:lvl>
    <w:lvl w:ilvl="4" w:tplc="606ED164">
      <w:start w:val="1"/>
      <w:numFmt w:val="lowerLetter"/>
      <w:pStyle w:val="Estilo3"/>
      <w:lvlText w:val="%5)"/>
      <w:lvlJc w:val="left"/>
      <w:pPr>
        <w:ind w:left="3600" w:hanging="360"/>
      </w:pPr>
      <w:rPr>
        <w:rFonts w:hint="default"/>
        <w:b w:val="0"/>
        <w:i w:val="0"/>
      </w:rPr>
    </w:lvl>
    <w:lvl w:ilvl="5" w:tplc="726C26BC">
      <w:start w:val="1"/>
      <w:numFmt w:val="lowerRoman"/>
      <w:pStyle w:val="Estilo8"/>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6A7656C"/>
    <w:multiLevelType w:val="hybridMultilevel"/>
    <w:tmpl w:val="5CF82A00"/>
    <w:lvl w:ilvl="0" w:tplc="B1F23CD6">
      <w:start w:val="1"/>
      <w:numFmt w:val="decimal"/>
      <w:pStyle w:val="Ttulo3"/>
      <w:lvlText w:val="A.%1."/>
      <w:lvlJc w:val="left"/>
      <w:pPr>
        <w:ind w:left="1353" w:hanging="360"/>
      </w:pPr>
      <w:rPr>
        <w:rFonts w:hint="default"/>
        <w:b w:val="0"/>
        <w:i/>
      </w:rPr>
    </w:lvl>
    <w:lvl w:ilvl="1" w:tplc="B1BE33EE">
      <w:start w:val="1"/>
      <w:numFmt w:val="lowerRoman"/>
      <w:lvlText w:val="%2."/>
      <w:lvlJc w:val="left"/>
      <w:pPr>
        <w:ind w:left="786" w:hanging="360"/>
      </w:pPr>
      <w:rPr>
        <w:rFonts w:ascii="Verdana" w:eastAsia="Batang" w:hAnsi="Verdana" w:cstheme="minorBidi"/>
      </w:rPr>
    </w:lvl>
    <w:lvl w:ilvl="2" w:tplc="0409001B">
      <w:start w:val="1"/>
      <w:numFmt w:val="lowerRoman"/>
      <w:lvlText w:val="%3."/>
      <w:lvlJc w:val="right"/>
      <w:pPr>
        <w:ind w:left="1876" w:hanging="180"/>
      </w:pPr>
    </w:lvl>
    <w:lvl w:ilvl="3" w:tplc="B50ACB34">
      <w:start w:val="1"/>
      <w:numFmt w:val="decimal"/>
      <w:lvlText w:val="%4."/>
      <w:lvlJc w:val="left"/>
      <w:pPr>
        <w:ind w:left="2596" w:hanging="360"/>
      </w:pPr>
      <w:rPr>
        <w:rFonts w:ascii="Verdana" w:hAnsi="Verdana" w:hint="default"/>
        <w:i w:val="0"/>
        <w:sz w:val="20"/>
        <w:szCs w:val="20"/>
      </w:r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1" w15:restartNumberingAfterBreak="0">
    <w:nsid w:val="38C05B06"/>
    <w:multiLevelType w:val="hybridMultilevel"/>
    <w:tmpl w:val="E2D24F04"/>
    <w:lvl w:ilvl="0" w:tplc="F1BE891E">
      <w:start w:val="1"/>
      <w:numFmt w:val="decimal"/>
      <w:lvlText w:val="A.%1"/>
      <w:lvlJc w:val="left"/>
      <w:pPr>
        <w:ind w:left="1080" w:hanging="360"/>
      </w:pPr>
      <w:rPr>
        <w:rFonts w:hint="default"/>
        <w:b w:val="0"/>
        <w:i/>
      </w:rPr>
    </w:lvl>
    <w:lvl w:ilvl="1" w:tplc="D8E67496">
      <w:start w:val="1"/>
      <w:numFmt w:val="decimal"/>
      <w:pStyle w:val="Ttulo5"/>
      <w:lvlText w:val="A.1.%2."/>
      <w:lvlJc w:val="left"/>
      <w:pPr>
        <w:ind w:left="347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3C2673C">
      <w:start w:val="1"/>
      <w:numFmt w:val="upperLetter"/>
      <w:lvlText w:val="%3."/>
      <w:lvlJc w:val="left"/>
      <w:pPr>
        <w:ind w:left="1070" w:hanging="360"/>
      </w:pPr>
      <w:rPr>
        <w:rFont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2" w15:restartNumberingAfterBreak="0">
    <w:nsid w:val="38D21848"/>
    <w:multiLevelType w:val="hybridMultilevel"/>
    <w:tmpl w:val="2D0441F0"/>
    <w:lvl w:ilvl="0" w:tplc="64904A1C">
      <w:start w:val="1"/>
      <w:numFmt w:val="decimal"/>
      <w:lvlText w:val="%1."/>
      <w:lvlJc w:val="left"/>
      <w:pPr>
        <w:ind w:left="360" w:hanging="360"/>
      </w:pPr>
      <w:rPr>
        <w:rFonts w:ascii="Verdana" w:hAnsi="Verdana" w:hint="default"/>
        <w:b w:val="0"/>
        <w:i w:val="0"/>
        <w:sz w:val="20"/>
        <w:szCs w:val="20"/>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3A8C5AAE"/>
    <w:multiLevelType w:val="hybridMultilevel"/>
    <w:tmpl w:val="C32E5DF8"/>
    <w:lvl w:ilvl="0" w:tplc="722EF180">
      <w:start w:val="1"/>
      <w:numFmt w:val="upperLetter"/>
      <w:pStyle w:val="Ttulo"/>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46FC6219"/>
    <w:multiLevelType w:val="hybridMultilevel"/>
    <w:tmpl w:val="24D42AA4"/>
    <w:lvl w:ilvl="0" w:tplc="2EB2F07E">
      <w:start w:val="1"/>
      <w:numFmt w:val="upperLetter"/>
      <w:lvlText w:val="%1."/>
      <w:lvlJc w:val="left"/>
      <w:pPr>
        <w:ind w:left="1644" w:hanging="360"/>
      </w:pPr>
    </w:lvl>
    <w:lvl w:ilvl="1" w:tplc="04090019">
      <w:start w:val="1"/>
      <w:numFmt w:val="lowerLetter"/>
      <w:lvlText w:val="%2."/>
      <w:lvlJc w:val="left"/>
      <w:pPr>
        <w:ind w:left="2364" w:hanging="360"/>
      </w:pPr>
    </w:lvl>
    <w:lvl w:ilvl="2" w:tplc="0409001B">
      <w:start w:val="1"/>
      <w:numFmt w:val="lowerRoman"/>
      <w:lvlText w:val="%3."/>
      <w:lvlJc w:val="right"/>
      <w:pPr>
        <w:ind w:left="3084" w:hanging="180"/>
      </w:pPr>
    </w:lvl>
    <w:lvl w:ilvl="3" w:tplc="04090015">
      <w:start w:val="1"/>
      <w:numFmt w:val="upperLetter"/>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17" w15:restartNumberingAfterBreak="0">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337805"/>
    <w:multiLevelType w:val="hybridMultilevel"/>
    <w:tmpl w:val="5DFE6406"/>
    <w:lvl w:ilvl="0" w:tplc="FFFFFFFF">
      <w:start w:val="1"/>
      <w:numFmt w:val="decimal"/>
      <w:lvlText w:val="%1."/>
      <w:lvlJc w:val="left"/>
      <w:pPr>
        <w:ind w:left="7560" w:hanging="360"/>
      </w:pPr>
      <w:rPr>
        <w:rFonts w:ascii="Verdana" w:hAnsi="Verdana" w:hint="default"/>
        <w:b w:val="0"/>
        <w:i w:val="0"/>
        <w:color w:val="auto"/>
        <w:sz w:val="20"/>
        <w:szCs w:val="20"/>
        <w:lang w:val="es-CR"/>
      </w:rPr>
    </w:lvl>
    <w:lvl w:ilvl="1" w:tplc="FFFFFFFF">
      <w:start w:val="1"/>
      <w:numFmt w:val="lowerLetter"/>
      <w:lvlText w:val="%2."/>
      <w:lvlJc w:val="left"/>
      <w:pPr>
        <w:ind w:left="7650" w:hanging="360"/>
      </w:pPr>
    </w:lvl>
    <w:lvl w:ilvl="2" w:tplc="FFFFFFFF" w:tentative="1">
      <w:start w:val="1"/>
      <w:numFmt w:val="lowerRoman"/>
      <w:lvlText w:val="%3."/>
      <w:lvlJc w:val="right"/>
      <w:pPr>
        <w:ind w:left="8370" w:hanging="180"/>
      </w:pPr>
    </w:lvl>
    <w:lvl w:ilvl="3" w:tplc="FFFFFFFF" w:tentative="1">
      <w:start w:val="1"/>
      <w:numFmt w:val="decimal"/>
      <w:lvlText w:val="%4."/>
      <w:lvlJc w:val="left"/>
      <w:pPr>
        <w:ind w:left="9090" w:hanging="360"/>
      </w:pPr>
    </w:lvl>
    <w:lvl w:ilvl="4" w:tplc="FFFFFFFF" w:tentative="1">
      <w:start w:val="1"/>
      <w:numFmt w:val="lowerLetter"/>
      <w:lvlText w:val="%5."/>
      <w:lvlJc w:val="left"/>
      <w:pPr>
        <w:ind w:left="9810" w:hanging="360"/>
      </w:pPr>
    </w:lvl>
    <w:lvl w:ilvl="5" w:tplc="FFFFFFFF" w:tentative="1">
      <w:start w:val="1"/>
      <w:numFmt w:val="lowerRoman"/>
      <w:lvlText w:val="%6."/>
      <w:lvlJc w:val="right"/>
      <w:pPr>
        <w:ind w:left="10530" w:hanging="180"/>
      </w:pPr>
    </w:lvl>
    <w:lvl w:ilvl="6" w:tplc="FFFFFFFF" w:tentative="1">
      <w:start w:val="1"/>
      <w:numFmt w:val="decimal"/>
      <w:lvlText w:val="%7."/>
      <w:lvlJc w:val="left"/>
      <w:pPr>
        <w:ind w:left="11250" w:hanging="360"/>
      </w:pPr>
    </w:lvl>
    <w:lvl w:ilvl="7" w:tplc="FFFFFFFF" w:tentative="1">
      <w:start w:val="1"/>
      <w:numFmt w:val="lowerLetter"/>
      <w:lvlText w:val="%8."/>
      <w:lvlJc w:val="left"/>
      <w:pPr>
        <w:ind w:left="11970" w:hanging="360"/>
      </w:pPr>
    </w:lvl>
    <w:lvl w:ilvl="8" w:tplc="FFFFFFFF" w:tentative="1">
      <w:start w:val="1"/>
      <w:numFmt w:val="lowerRoman"/>
      <w:lvlText w:val="%9."/>
      <w:lvlJc w:val="right"/>
      <w:pPr>
        <w:ind w:left="12690" w:hanging="180"/>
      </w:pPr>
    </w:lvl>
  </w:abstractNum>
  <w:abstractNum w:abstractNumId="19" w15:restartNumberingAfterBreak="0">
    <w:nsid w:val="59752025"/>
    <w:multiLevelType w:val="hybridMultilevel"/>
    <w:tmpl w:val="5DFE6406"/>
    <w:lvl w:ilvl="0" w:tplc="FFFFFFFF">
      <w:start w:val="1"/>
      <w:numFmt w:val="decimal"/>
      <w:lvlText w:val="%1."/>
      <w:lvlJc w:val="left"/>
      <w:pPr>
        <w:ind w:left="7560" w:hanging="360"/>
      </w:pPr>
      <w:rPr>
        <w:rFonts w:ascii="Verdana" w:hAnsi="Verdana" w:hint="default"/>
        <w:b w:val="0"/>
        <w:i w:val="0"/>
        <w:color w:val="auto"/>
        <w:sz w:val="20"/>
        <w:szCs w:val="20"/>
        <w:lang w:val="es-CR"/>
      </w:rPr>
    </w:lvl>
    <w:lvl w:ilvl="1" w:tplc="FFFFFFFF">
      <w:start w:val="1"/>
      <w:numFmt w:val="lowerLetter"/>
      <w:lvlText w:val="%2."/>
      <w:lvlJc w:val="left"/>
      <w:pPr>
        <w:ind w:left="7650" w:hanging="360"/>
      </w:pPr>
    </w:lvl>
    <w:lvl w:ilvl="2" w:tplc="FFFFFFFF" w:tentative="1">
      <w:start w:val="1"/>
      <w:numFmt w:val="lowerRoman"/>
      <w:lvlText w:val="%3."/>
      <w:lvlJc w:val="right"/>
      <w:pPr>
        <w:ind w:left="8370" w:hanging="180"/>
      </w:pPr>
    </w:lvl>
    <w:lvl w:ilvl="3" w:tplc="FFFFFFFF" w:tentative="1">
      <w:start w:val="1"/>
      <w:numFmt w:val="decimal"/>
      <w:lvlText w:val="%4."/>
      <w:lvlJc w:val="left"/>
      <w:pPr>
        <w:ind w:left="9090" w:hanging="360"/>
      </w:pPr>
    </w:lvl>
    <w:lvl w:ilvl="4" w:tplc="FFFFFFFF" w:tentative="1">
      <w:start w:val="1"/>
      <w:numFmt w:val="lowerLetter"/>
      <w:lvlText w:val="%5."/>
      <w:lvlJc w:val="left"/>
      <w:pPr>
        <w:ind w:left="9810" w:hanging="360"/>
      </w:pPr>
    </w:lvl>
    <w:lvl w:ilvl="5" w:tplc="FFFFFFFF" w:tentative="1">
      <w:start w:val="1"/>
      <w:numFmt w:val="lowerRoman"/>
      <w:lvlText w:val="%6."/>
      <w:lvlJc w:val="right"/>
      <w:pPr>
        <w:ind w:left="10530" w:hanging="180"/>
      </w:pPr>
    </w:lvl>
    <w:lvl w:ilvl="6" w:tplc="FFFFFFFF" w:tentative="1">
      <w:start w:val="1"/>
      <w:numFmt w:val="decimal"/>
      <w:lvlText w:val="%7."/>
      <w:lvlJc w:val="left"/>
      <w:pPr>
        <w:ind w:left="11250" w:hanging="360"/>
      </w:pPr>
    </w:lvl>
    <w:lvl w:ilvl="7" w:tplc="FFFFFFFF" w:tentative="1">
      <w:start w:val="1"/>
      <w:numFmt w:val="lowerLetter"/>
      <w:lvlText w:val="%8."/>
      <w:lvlJc w:val="left"/>
      <w:pPr>
        <w:ind w:left="11970" w:hanging="360"/>
      </w:pPr>
    </w:lvl>
    <w:lvl w:ilvl="8" w:tplc="FFFFFFFF" w:tentative="1">
      <w:start w:val="1"/>
      <w:numFmt w:val="lowerRoman"/>
      <w:lvlText w:val="%9."/>
      <w:lvlJc w:val="right"/>
      <w:pPr>
        <w:ind w:left="12690" w:hanging="180"/>
      </w:pPr>
    </w:lvl>
  </w:abstractNum>
  <w:abstractNum w:abstractNumId="20" w15:restartNumberingAfterBreak="0">
    <w:nsid w:val="5DDB6DC6"/>
    <w:multiLevelType w:val="hybridMultilevel"/>
    <w:tmpl w:val="5DFE6406"/>
    <w:lvl w:ilvl="0" w:tplc="99FE4F9E">
      <w:start w:val="1"/>
      <w:numFmt w:val="decimal"/>
      <w:lvlText w:val="%1."/>
      <w:lvlJc w:val="left"/>
      <w:pPr>
        <w:ind w:left="7560"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1" w15:restartNumberingAfterBreak="0">
    <w:nsid w:val="61780CF5"/>
    <w:multiLevelType w:val="hybridMultilevel"/>
    <w:tmpl w:val="1F402D08"/>
    <w:lvl w:ilvl="0" w:tplc="792CFC0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4402BA7"/>
    <w:multiLevelType w:val="hybridMultilevel"/>
    <w:tmpl w:val="431E461A"/>
    <w:lvl w:ilvl="0" w:tplc="9F2A7FC2">
      <w:start w:val="1"/>
      <w:numFmt w:val="upperLetter"/>
      <w:pStyle w:val="Ttulo2"/>
      <w:lvlText w:val="%1."/>
      <w:lvlJc w:val="left"/>
      <w:pPr>
        <w:ind w:left="928" w:hanging="360"/>
      </w:p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3" w15:restartNumberingAfterBreak="0">
    <w:nsid w:val="660A5A84"/>
    <w:multiLevelType w:val="hybridMultilevel"/>
    <w:tmpl w:val="6D12B964"/>
    <w:lvl w:ilvl="0" w:tplc="E780B40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9E36499"/>
    <w:multiLevelType w:val="hybridMultilevel"/>
    <w:tmpl w:val="1CA2D580"/>
    <w:lvl w:ilvl="0" w:tplc="5EE01C7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49960DD"/>
    <w:multiLevelType w:val="hybridMultilevel"/>
    <w:tmpl w:val="86366160"/>
    <w:lvl w:ilvl="0" w:tplc="14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69C045C"/>
    <w:multiLevelType w:val="hybridMultilevel"/>
    <w:tmpl w:val="EE689438"/>
    <w:lvl w:ilvl="0" w:tplc="8E4224E8">
      <w:start w:val="1"/>
      <w:numFmt w:val="decimal"/>
      <w:pStyle w:val="Ttulo4"/>
      <w:lvlText w:val="A.2.%1."/>
      <w:lvlJc w:val="left"/>
      <w:pPr>
        <w:ind w:left="1068"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77CE655B"/>
    <w:multiLevelType w:val="hybridMultilevel"/>
    <w:tmpl w:val="5DFE6406"/>
    <w:lvl w:ilvl="0" w:tplc="FFFFFFFF">
      <w:start w:val="1"/>
      <w:numFmt w:val="decimal"/>
      <w:lvlText w:val="%1."/>
      <w:lvlJc w:val="left"/>
      <w:pPr>
        <w:ind w:left="7560" w:hanging="360"/>
      </w:pPr>
      <w:rPr>
        <w:rFonts w:ascii="Verdana" w:hAnsi="Verdana" w:hint="default"/>
        <w:b w:val="0"/>
        <w:i w:val="0"/>
        <w:color w:val="auto"/>
        <w:sz w:val="20"/>
        <w:szCs w:val="20"/>
        <w:lang w:val="es-CR"/>
      </w:rPr>
    </w:lvl>
    <w:lvl w:ilvl="1" w:tplc="FFFFFFFF">
      <w:start w:val="1"/>
      <w:numFmt w:val="lowerLetter"/>
      <w:lvlText w:val="%2."/>
      <w:lvlJc w:val="left"/>
      <w:pPr>
        <w:ind w:left="7650" w:hanging="360"/>
      </w:pPr>
    </w:lvl>
    <w:lvl w:ilvl="2" w:tplc="FFFFFFFF" w:tentative="1">
      <w:start w:val="1"/>
      <w:numFmt w:val="lowerRoman"/>
      <w:lvlText w:val="%3."/>
      <w:lvlJc w:val="right"/>
      <w:pPr>
        <w:ind w:left="8370" w:hanging="180"/>
      </w:pPr>
    </w:lvl>
    <w:lvl w:ilvl="3" w:tplc="FFFFFFFF" w:tentative="1">
      <w:start w:val="1"/>
      <w:numFmt w:val="decimal"/>
      <w:lvlText w:val="%4."/>
      <w:lvlJc w:val="left"/>
      <w:pPr>
        <w:ind w:left="9090" w:hanging="360"/>
      </w:pPr>
    </w:lvl>
    <w:lvl w:ilvl="4" w:tplc="FFFFFFFF" w:tentative="1">
      <w:start w:val="1"/>
      <w:numFmt w:val="lowerLetter"/>
      <w:lvlText w:val="%5."/>
      <w:lvlJc w:val="left"/>
      <w:pPr>
        <w:ind w:left="9810" w:hanging="360"/>
      </w:pPr>
    </w:lvl>
    <w:lvl w:ilvl="5" w:tplc="FFFFFFFF" w:tentative="1">
      <w:start w:val="1"/>
      <w:numFmt w:val="lowerRoman"/>
      <w:lvlText w:val="%6."/>
      <w:lvlJc w:val="right"/>
      <w:pPr>
        <w:ind w:left="10530" w:hanging="180"/>
      </w:pPr>
    </w:lvl>
    <w:lvl w:ilvl="6" w:tplc="FFFFFFFF" w:tentative="1">
      <w:start w:val="1"/>
      <w:numFmt w:val="decimal"/>
      <w:lvlText w:val="%7."/>
      <w:lvlJc w:val="left"/>
      <w:pPr>
        <w:ind w:left="11250" w:hanging="360"/>
      </w:pPr>
    </w:lvl>
    <w:lvl w:ilvl="7" w:tplc="FFFFFFFF" w:tentative="1">
      <w:start w:val="1"/>
      <w:numFmt w:val="lowerLetter"/>
      <w:lvlText w:val="%8."/>
      <w:lvlJc w:val="left"/>
      <w:pPr>
        <w:ind w:left="11970" w:hanging="360"/>
      </w:pPr>
    </w:lvl>
    <w:lvl w:ilvl="8" w:tplc="FFFFFFFF" w:tentative="1">
      <w:start w:val="1"/>
      <w:numFmt w:val="lowerRoman"/>
      <w:lvlText w:val="%9."/>
      <w:lvlJc w:val="right"/>
      <w:pPr>
        <w:ind w:left="12690" w:hanging="180"/>
      </w:pPr>
    </w:lvl>
  </w:abstractNum>
  <w:abstractNum w:abstractNumId="28" w15:restartNumberingAfterBreak="0">
    <w:nsid w:val="7BC504D1"/>
    <w:multiLevelType w:val="hybridMultilevel"/>
    <w:tmpl w:val="7E24A3CE"/>
    <w:lvl w:ilvl="0" w:tplc="E01AF00C">
      <w:start w:val="1"/>
      <w:numFmt w:val="upperLetter"/>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num w:numId="1" w16cid:durableId="339553257">
    <w:abstractNumId w:val="3"/>
  </w:num>
  <w:num w:numId="2" w16cid:durableId="1434209151">
    <w:abstractNumId w:val="29"/>
  </w:num>
  <w:num w:numId="3" w16cid:durableId="258492469">
    <w:abstractNumId w:val="3"/>
  </w:num>
  <w:num w:numId="4" w16cid:durableId="288705387">
    <w:abstractNumId w:val="16"/>
  </w:num>
  <w:num w:numId="5" w16cid:durableId="70853949">
    <w:abstractNumId w:val="7"/>
  </w:num>
  <w:num w:numId="6" w16cid:durableId="1282611671">
    <w:abstractNumId w:val="17"/>
  </w:num>
  <w:num w:numId="7" w16cid:durableId="297734205">
    <w:abstractNumId w:val="9"/>
  </w:num>
  <w:num w:numId="8" w16cid:durableId="829909599">
    <w:abstractNumId w:val="9"/>
  </w:num>
  <w:num w:numId="9" w16cid:durableId="372731355">
    <w:abstractNumId w:val="9"/>
  </w:num>
  <w:num w:numId="10" w16cid:durableId="774129249">
    <w:abstractNumId w:val="8"/>
  </w:num>
  <w:num w:numId="11" w16cid:durableId="760294118">
    <w:abstractNumId w:val="17"/>
  </w:num>
  <w:num w:numId="12" w16cid:durableId="1710567538">
    <w:abstractNumId w:val="9"/>
  </w:num>
  <w:num w:numId="13" w16cid:durableId="1396971919">
    <w:abstractNumId w:val="9"/>
  </w:num>
  <w:num w:numId="14" w16cid:durableId="936328785">
    <w:abstractNumId w:val="9"/>
  </w:num>
  <w:num w:numId="15" w16cid:durableId="730352140">
    <w:abstractNumId w:val="15"/>
  </w:num>
  <w:num w:numId="16" w16cid:durableId="1838157063">
    <w:abstractNumId w:val="22"/>
  </w:num>
  <w:num w:numId="17" w16cid:durableId="2143033110">
    <w:abstractNumId w:val="10"/>
  </w:num>
  <w:num w:numId="18" w16cid:durableId="1729189193">
    <w:abstractNumId w:val="26"/>
  </w:num>
  <w:num w:numId="19" w16cid:durableId="389768878">
    <w:abstractNumId w:val="11"/>
  </w:num>
  <w:num w:numId="20" w16cid:durableId="1741050619">
    <w:abstractNumId w:val="13"/>
  </w:num>
  <w:num w:numId="21" w16cid:durableId="852378692">
    <w:abstractNumId w:val="15"/>
  </w:num>
  <w:num w:numId="22" w16cid:durableId="1493524185">
    <w:abstractNumId w:val="5"/>
  </w:num>
  <w:num w:numId="23" w16cid:durableId="1870146288">
    <w:abstractNumId w:val="23"/>
  </w:num>
  <w:num w:numId="24" w16cid:durableId="635331995">
    <w:abstractNumId w:val="24"/>
  </w:num>
  <w:num w:numId="25" w16cid:durableId="1545215736">
    <w:abstractNumId w:val="21"/>
  </w:num>
  <w:num w:numId="26" w16cid:durableId="297689962">
    <w:abstractNumId w:val="20"/>
  </w:num>
  <w:num w:numId="27" w16cid:durableId="1544712660">
    <w:abstractNumId w:val="6"/>
  </w:num>
  <w:num w:numId="28" w16cid:durableId="794983824">
    <w:abstractNumId w:val="14"/>
  </w:num>
  <w:num w:numId="29" w16cid:durableId="1101413256">
    <w:abstractNumId w:val="12"/>
  </w:num>
  <w:num w:numId="30" w16cid:durableId="1386418121">
    <w:abstractNumId w:val="19"/>
  </w:num>
  <w:num w:numId="31" w16cid:durableId="1350373876">
    <w:abstractNumId w:val="25"/>
  </w:num>
  <w:num w:numId="32" w16cid:durableId="489760158">
    <w:abstractNumId w:val="18"/>
  </w:num>
  <w:num w:numId="33" w16cid:durableId="596988023">
    <w:abstractNumId w:val="27"/>
  </w:num>
  <w:num w:numId="34" w16cid:durableId="1049720916">
    <w:abstractNumId w:val="28"/>
  </w:num>
  <w:num w:numId="35" w16cid:durableId="477577822">
    <w:abstractNumId w:val="2"/>
  </w:num>
  <w:num w:numId="36" w16cid:durableId="1629506377">
    <w:abstractNumId w:val="1"/>
  </w:num>
  <w:num w:numId="37" w16cid:durableId="1927573810">
    <w:abstractNumId w:val="0"/>
  </w:num>
  <w:num w:numId="38" w16cid:durableId="1657799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5B2"/>
    <w:rsid w:val="00003472"/>
    <w:rsid w:val="00003DCD"/>
    <w:rsid w:val="000177D4"/>
    <w:rsid w:val="000251D5"/>
    <w:rsid w:val="00045A80"/>
    <w:rsid w:val="00046CED"/>
    <w:rsid w:val="000476FB"/>
    <w:rsid w:val="000678A7"/>
    <w:rsid w:val="000725B2"/>
    <w:rsid w:val="00081FD1"/>
    <w:rsid w:val="00082394"/>
    <w:rsid w:val="00084856"/>
    <w:rsid w:val="000A6B0B"/>
    <w:rsid w:val="000B0908"/>
    <w:rsid w:val="000E0923"/>
    <w:rsid w:val="000E2ACE"/>
    <w:rsid w:val="000E736A"/>
    <w:rsid w:val="000F203D"/>
    <w:rsid w:val="000F4F12"/>
    <w:rsid w:val="0010359D"/>
    <w:rsid w:val="00111976"/>
    <w:rsid w:val="0011621E"/>
    <w:rsid w:val="00117BB8"/>
    <w:rsid w:val="001366D8"/>
    <w:rsid w:val="0014009E"/>
    <w:rsid w:val="0015797F"/>
    <w:rsid w:val="00160DD5"/>
    <w:rsid w:val="001655DC"/>
    <w:rsid w:val="00172393"/>
    <w:rsid w:val="00182E28"/>
    <w:rsid w:val="00184B6D"/>
    <w:rsid w:val="00184F0F"/>
    <w:rsid w:val="00187E82"/>
    <w:rsid w:val="001936EF"/>
    <w:rsid w:val="001A2CF7"/>
    <w:rsid w:val="001B04AB"/>
    <w:rsid w:val="001C0549"/>
    <w:rsid w:val="001D3CF9"/>
    <w:rsid w:val="001D5FE3"/>
    <w:rsid w:val="001D7446"/>
    <w:rsid w:val="001E0E42"/>
    <w:rsid w:val="001E55D8"/>
    <w:rsid w:val="0021496E"/>
    <w:rsid w:val="00224A2F"/>
    <w:rsid w:val="00224CF6"/>
    <w:rsid w:val="00280D71"/>
    <w:rsid w:val="002816EB"/>
    <w:rsid w:val="002B2306"/>
    <w:rsid w:val="002C1215"/>
    <w:rsid w:val="002D6817"/>
    <w:rsid w:val="002F5B2F"/>
    <w:rsid w:val="00305031"/>
    <w:rsid w:val="003067AE"/>
    <w:rsid w:val="00307060"/>
    <w:rsid w:val="00315224"/>
    <w:rsid w:val="003254C0"/>
    <w:rsid w:val="0033345D"/>
    <w:rsid w:val="0034345A"/>
    <w:rsid w:val="003454D6"/>
    <w:rsid w:val="00351F03"/>
    <w:rsid w:val="003660A3"/>
    <w:rsid w:val="00367496"/>
    <w:rsid w:val="00370BEF"/>
    <w:rsid w:val="00382E4D"/>
    <w:rsid w:val="00387360"/>
    <w:rsid w:val="00392D34"/>
    <w:rsid w:val="003951AC"/>
    <w:rsid w:val="00396A54"/>
    <w:rsid w:val="00397944"/>
    <w:rsid w:val="003B2269"/>
    <w:rsid w:val="003B4787"/>
    <w:rsid w:val="003C1224"/>
    <w:rsid w:val="003C2DF0"/>
    <w:rsid w:val="003C6DF8"/>
    <w:rsid w:val="003D1311"/>
    <w:rsid w:val="003D6841"/>
    <w:rsid w:val="003E07B0"/>
    <w:rsid w:val="003E2369"/>
    <w:rsid w:val="003E77D0"/>
    <w:rsid w:val="0040173F"/>
    <w:rsid w:val="00402C08"/>
    <w:rsid w:val="004213EA"/>
    <w:rsid w:val="00426A03"/>
    <w:rsid w:val="0043624E"/>
    <w:rsid w:val="00436644"/>
    <w:rsid w:val="00437972"/>
    <w:rsid w:val="00452AA4"/>
    <w:rsid w:val="00472260"/>
    <w:rsid w:val="004758A0"/>
    <w:rsid w:val="004878F1"/>
    <w:rsid w:val="00494307"/>
    <w:rsid w:val="004A0492"/>
    <w:rsid w:val="004E4525"/>
    <w:rsid w:val="004E73AF"/>
    <w:rsid w:val="004F2447"/>
    <w:rsid w:val="005009D0"/>
    <w:rsid w:val="005022F1"/>
    <w:rsid w:val="00505049"/>
    <w:rsid w:val="00507C9B"/>
    <w:rsid w:val="00520F03"/>
    <w:rsid w:val="005222F7"/>
    <w:rsid w:val="00526D5E"/>
    <w:rsid w:val="00542B29"/>
    <w:rsid w:val="0054381B"/>
    <w:rsid w:val="00551BAB"/>
    <w:rsid w:val="00564B7E"/>
    <w:rsid w:val="005650D0"/>
    <w:rsid w:val="005653AC"/>
    <w:rsid w:val="00584A4E"/>
    <w:rsid w:val="00585D19"/>
    <w:rsid w:val="00591CEA"/>
    <w:rsid w:val="005968A4"/>
    <w:rsid w:val="005A1368"/>
    <w:rsid w:val="005A345E"/>
    <w:rsid w:val="005A3914"/>
    <w:rsid w:val="005A50B9"/>
    <w:rsid w:val="005A646A"/>
    <w:rsid w:val="005B0D19"/>
    <w:rsid w:val="005B0FBB"/>
    <w:rsid w:val="005B6D83"/>
    <w:rsid w:val="005B7B57"/>
    <w:rsid w:val="005C17F6"/>
    <w:rsid w:val="005C7BB4"/>
    <w:rsid w:val="005E33C3"/>
    <w:rsid w:val="005E583A"/>
    <w:rsid w:val="005F3C5C"/>
    <w:rsid w:val="005F72E6"/>
    <w:rsid w:val="00604F9E"/>
    <w:rsid w:val="00606335"/>
    <w:rsid w:val="0060724C"/>
    <w:rsid w:val="0063275A"/>
    <w:rsid w:val="00636181"/>
    <w:rsid w:val="0064423A"/>
    <w:rsid w:val="006442B7"/>
    <w:rsid w:val="00645565"/>
    <w:rsid w:val="00651376"/>
    <w:rsid w:val="0065203D"/>
    <w:rsid w:val="00661DBC"/>
    <w:rsid w:val="006642E5"/>
    <w:rsid w:val="006674F8"/>
    <w:rsid w:val="006700F8"/>
    <w:rsid w:val="00674AB4"/>
    <w:rsid w:val="00676B62"/>
    <w:rsid w:val="00677084"/>
    <w:rsid w:val="006834C4"/>
    <w:rsid w:val="00690093"/>
    <w:rsid w:val="006903B1"/>
    <w:rsid w:val="00692475"/>
    <w:rsid w:val="00694749"/>
    <w:rsid w:val="006B0875"/>
    <w:rsid w:val="006B3C3C"/>
    <w:rsid w:val="006C28D9"/>
    <w:rsid w:val="006C6303"/>
    <w:rsid w:val="006D774A"/>
    <w:rsid w:val="006F203B"/>
    <w:rsid w:val="006F3CA2"/>
    <w:rsid w:val="00700B3B"/>
    <w:rsid w:val="00726A65"/>
    <w:rsid w:val="00727B13"/>
    <w:rsid w:val="007315F3"/>
    <w:rsid w:val="00732EEE"/>
    <w:rsid w:val="007458BC"/>
    <w:rsid w:val="00747B4F"/>
    <w:rsid w:val="00752698"/>
    <w:rsid w:val="0075299B"/>
    <w:rsid w:val="007545CF"/>
    <w:rsid w:val="007555AD"/>
    <w:rsid w:val="007567CF"/>
    <w:rsid w:val="00760724"/>
    <w:rsid w:val="007676FD"/>
    <w:rsid w:val="0078190D"/>
    <w:rsid w:val="0078420F"/>
    <w:rsid w:val="00795EC4"/>
    <w:rsid w:val="007B35CF"/>
    <w:rsid w:val="007D4EDC"/>
    <w:rsid w:val="007D7E6F"/>
    <w:rsid w:val="00805596"/>
    <w:rsid w:val="008062C6"/>
    <w:rsid w:val="0081508A"/>
    <w:rsid w:val="008237DE"/>
    <w:rsid w:val="008263E2"/>
    <w:rsid w:val="008307A8"/>
    <w:rsid w:val="00860246"/>
    <w:rsid w:val="00862A48"/>
    <w:rsid w:val="00862EAD"/>
    <w:rsid w:val="008733B3"/>
    <w:rsid w:val="00875272"/>
    <w:rsid w:val="00875351"/>
    <w:rsid w:val="00880D4E"/>
    <w:rsid w:val="00880DB3"/>
    <w:rsid w:val="00881167"/>
    <w:rsid w:val="00892066"/>
    <w:rsid w:val="00895E40"/>
    <w:rsid w:val="008974BD"/>
    <w:rsid w:val="008A6588"/>
    <w:rsid w:val="008C38C3"/>
    <w:rsid w:val="008C62B2"/>
    <w:rsid w:val="008C6327"/>
    <w:rsid w:val="008D0713"/>
    <w:rsid w:val="008D1FFD"/>
    <w:rsid w:val="008D4B4C"/>
    <w:rsid w:val="008E329B"/>
    <w:rsid w:val="008E402F"/>
    <w:rsid w:val="00903056"/>
    <w:rsid w:val="009058FA"/>
    <w:rsid w:val="009100A8"/>
    <w:rsid w:val="00916D33"/>
    <w:rsid w:val="009219BA"/>
    <w:rsid w:val="00923189"/>
    <w:rsid w:val="00935A69"/>
    <w:rsid w:val="00945F60"/>
    <w:rsid w:val="00946077"/>
    <w:rsid w:val="00951723"/>
    <w:rsid w:val="00974DD9"/>
    <w:rsid w:val="00976C50"/>
    <w:rsid w:val="0098184A"/>
    <w:rsid w:val="00984E29"/>
    <w:rsid w:val="00986AB5"/>
    <w:rsid w:val="00995F7E"/>
    <w:rsid w:val="00996AED"/>
    <w:rsid w:val="009A3157"/>
    <w:rsid w:val="009B41B1"/>
    <w:rsid w:val="009C092F"/>
    <w:rsid w:val="009C24F8"/>
    <w:rsid w:val="009C37EC"/>
    <w:rsid w:val="009C77F6"/>
    <w:rsid w:val="009C7E16"/>
    <w:rsid w:val="009D639C"/>
    <w:rsid w:val="009D79C4"/>
    <w:rsid w:val="009E774B"/>
    <w:rsid w:val="00A0266D"/>
    <w:rsid w:val="00A0304A"/>
    <w:rsid w:val="00A10012"/>
    <w:rsid w:val="00A21C47"/>
    <w:rsid w:val="00A25043"/>
    <w:rsid w:val="00A31EFD"/>
    <w:rsid w:val="00A4292D"/>
    <w:rsid w:val="00A431E8"/>
    <w:rsid w:val="00A509BD"/>
    <w:rsid w:val="00A50F98"/>
    <w:rsid w:val="00A51670"/>
    <w:rsid w:val="00A712A5"/>
    <w:rsid w:val="00A72B20"/>
    <w:rsid w:val="00A741A4"/>
    <w:rsid w:val="00A75788"/>
    <w:rsid w:val="00A812F2"/>
    <w:rsid w:val="00A85165"/>
    <w:rsid w:val="00A90E24"/>
    <w:rsid w:val="00A96617"/>
    <w:rsid w:val="00AA7C8A"/>
    <w:rsid w:val="00AB1807"/>
    <w:rsid w:val="00AB6802"/>
    <w:rsid w:val="00AC0F5E"/>
    <w:rsid w:val="00AC1B89"/>
    <w:rsid w:val="00AC23F1"/>
    <w:rsid w:val="00AC34B5"/>
    <w:rsid w:val="00AC406F"/>
    <w:rsid w:val="00AC4D68"/>
    <w:rsid w:val="00AC7515"/>
    <w:rsid w:val="00AE0FA9"/>
    <w:rsid w:val="00AE628B"/>
    <w:rsid w:val="00AE6AAF"/>
    <w:rsid w:val="00AF2604"/>
    <w:rsid w:val="00B40B71"/>
    <w:rsid w:val="00B42675"/>
    <w:rsid w:val="00B51DA8"/>
    <w:rsid w:val="00B96F02"/>
    <w:rsid w:val="00BA4328"/>
    <w:rsid w:val="00BB0503"/>
    <w:rsid w:val="00BC24EC"/>
    <w:rsid w:val="00BC3285"/>
    <w:rsid w:val="00BC772A"/>
    <w:rsid w:val="00BD5F3B"/>
    <w:rsid w:val="00BD6EEB"/>
    <w:rsid w:val="00BE193D"/>
    <w:rsid w:val="00BE687C"/>
    <w:rsid w:val="00BF1560"/>
    <w:rsid w:val="00BF5D0C"/>
    <w:rsid w:val="00BF6707"/>
    <w:rsid w:val="00C007F6"/>
    <w:rsid w:val="00C25A3F"/>
    <w:rsid w:val="00C27177"/>
    <w:rsid w:val="00C3524A"/>
    <w:rsid w:val="00C35DF2"/>
    <w:rsid w:val="00C40399"/>
    <w:rsid w:val="00C424AA"/>
    <w:rsid w:val="00C5415E"/>
    <w:rsid w:val="00C570FB"/>
    <w:rsid w:val="00C57D4D"/>
    <w:rsid w:val="00C62215"/>
    <w:rsid w:val="00C6596D"/>
    <w:rsid w:val="00C660DE"/>
    <w:rsid w:val="00C7693D"/>
    <w:rsid w:val="00C8102A"/>
    <w:rsid w:val="00C824A6"/>
    <w:rsid w:val="00C92206"/>
    <w:rsid w:val="00C97320"/>
    <w:rsid w:val="00C97B79"/>
    <w:rsid w:val="00CB0026"/>
    <w:rsid w:val="00CB1A14"/>
    <w:rsid w:val="00CB4A75"/>
    <w:rsid w:val="00CF4959"/>
    <w:rsid w:val="00CF599F"/>
    <w:rsid w:val="00D12ED1"/>
    <w:rsid w:val="00D16FE2"/>
    <w:rsid w:val="00D227C5"/>
    <w:rsid w:val="00D307B4"/>
    <w:rsid w:val="00D421DA"/>
    <w:rsid w:val="00D448D5"/>
    <w:rsid w:val="00D47F61"/>
    <w:rsid w:val="00D50080"/>
    <w:rsid w:val="00D530E3"/>
    <w:rsid w:val="00D577A3"/>
    <w:rsid w:val="00D6363F"/>
    <w:rsid w:val="00D64E78"/>
    <w:rsid w:val="00D74DE2"/>
    <w:rsid w:val="00D75E59"/>
    <w:rsid w:val="00D96DC1"/>
    <w:rsid w:val="00DA0FC7"/>
    <w:rsid w:val="00DA603C"/>
    <w:rsid w:val="00DB5DCE"/>
    <w:rsid w:val="00DC664F"/>
    <w:rsid w:val="00E05C74"/>
    <w:rsid w:val="00E1146C"/>
    <w:rsid w:val="00E144AC"/>
    <w:rsid w:val="00E154EC"/>
    <w:rsid w:val="00E30D8C"/>
    <w:rsid w:val="00E3621F"/>
    <w:rsid w:val="00E3684E"/>
    <w:rsid w:val="00E54DD4"/>
    <w:rsid w:val="00E563BC"/>
    <w:rsid w:val="00E61D29"/>
    <w:rsid w:val="00E65DF9"/>
    <w:rsid w:val="00E77C5B"/>
    <w:rsid w:val="00E77E46"/>
    <w:rsid w:val="00E83503"/>
    <w:rsid w:val="00E85011"/>
    <w:rsid w:val="00E94681"/>
    <w:rsid w:val="00EA36F7"/>
    <w:rsid w:val="00EA5E1C"/>
    <w:rsid w:val="00EB15D3"/>
    <w:rsid w:val="00EC03AE"/>
    <w:rsid w:val="00EC5032"/>
    <w:rsid w:val="00ED4D0F"/>
    <w:rsid w:val="00ED7579"/>
    <w:rsid w:val="00EE2B71"/>
    <w:rsid w:val="00EF45B3"/>
    <w:rsid w:val="00F07C98"/>
    <w:rsid w:val="00F12EC5"/>
    <w:rsid w:val="00F15225"/>
    <w:rsid w:val="00F172A4"/>
    <w:rsid w:val="00F20693"/>
    <w:rsid w:val="00F32875"/>
    <w:rsid w:val="00F351A2"/>
    <w:rsid w:val="00F52714"/>
    <w:rsid w:val="00F711ED"/>
    <w:rsid w:val="00F83795"/>
    <w:rsid w:val="00F83CD5"/>
    <w:rsid w:val="00F9684C"/>
    <w:rsid w:val="00FB1AA4"/>
    <w:rsid w:val="00FE1866"/>
    <w:rsid w:val="00FE3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A1EF1"/>
  <w15:chartTrackingRefBased/>
  <w15:docId w15:val="{90FF21AA-12B1-4167-9890-AB9E14F9D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644"/>
    <w:pPr>
      <w:widowControl w:val="0"/>
      <w:adjustRightInd w:val="0"/>
      <w:spacing w:after="0" w:line="360" w:lineRule="atLeast"/>
      <w:jc w:val="both"/>
    </w:pPr>
    <w:rPr>
      <w:rFonts w:ascii="Verdana" w:eastAsia="Times New Roman" w:hAnsi="Verdana" w:cs="Times New Roman"/>
      <w:sz w:val="20"/>
      <w:szCs w:val="20"/>
      <w:lang w:eastAsia="es-CR"/>
    </w:rPr>
  </w:style>
  <w:style w:type="paragraph" w:styleId="Ttulo1">
    <w:name w:val="heading 1"/>
    <w:aliases w:val="Título Verdana"/>
    <w:basedOn w:val="Normal"/>
    <w:next w:val="Normal"/>
    <w:link w:val="Ttulo1Car"/>
    <w:uiPriority w:val="9"/>
    <w:qFormat/>
    <w:rsid w:val="00880D4E"/>
    <w:pPr>
      <w:spacing w:line="240" w:lineRule="auto"/>
      <w:ind w:right="6"/>
      <w:jc w:val="center"/>
      <w:outlineLvl w:val="0"/>
    </w:pPr>
    <w:rPr>
      <w:b/>
    </w:rPr>
  </w:style>
  <w:style w:type="paragraph" w:styleId="Ttulo2">
    <w:name w:val="heading 2"/>
    <w:basedOn w:val="Normal"/>
    <w:next w:val="Normal"/>
    <w:link w:val="Ttulo2Car"/>
    <w:unhideWhenUsed/>
    <w:qFormat/>
    <w:rsid w:val="00880D4E"/>
    <w:pPr>
      <w:keepNext/>
      <w:keepLines/>
      <w:numPr>
        <w:numId w:val="16"/>
      </w:numPr>
      <w:spacing w:line="240" w:lineRule="auto"/>
      <w:textAlignment w:val="baseline"/>
      <w:outlineLvl w:val="1"/>
    </w:pPr>
    <w:rPr>
      <w:rFonts w:eastAsia="MS Mincho" w:cs="Verdana"/>
      <w:b/>
      <w:i/>
    </w:rPr>
  </w:style>
  <w:style w:type="paragraph" w:styleId="Ttulo3">
    <w:name w:val="heading 3"/>
    <w:basedOn w:val="Prrafodelista"/>
    <w:next w:val="Normal"/>
    <w:link w:val="Ttulo3Car"/>
    <w:uiPriority w:val="9"/>
    <w:unhideWhenUsed/>
    <w:qFormat/>
    <w:rsid w:val="00880D4E"/>
    <w:pPr>
      <w:numPr>
        <w:numId w:val="17"/>
      </w:numPr>
      <w:tabs>
        <w:tab w:val="left" w:pos="1276"/>
      </w:tabs>
      <w:spacing w:line="240" w:lineRule="auto"/>
      <w:outlineLvl w:val="2"/>
    </w:pPr>
    <w:rPr>
      <w:b/>
      <w:i/>
    </w:rPr>
  </w:style>
  <w:style w:type="paragraph" w:styleId="Ttulo4">
    <w:name w:val="heading 4"/>
    <w:basedOn w:val="Prrafodelista"/>
    <w:next w:val="Normal"/>
    <w:link w:val="Ttulo4Car"/>
    <w:uiPriority w:val="9"/>
    <w:unhideWhenUsed/>
    <w:qFormat/>
    <w:rsid w:val="00880D4E"/>
    <w:pPr>
      <w:numPr>
        <w:numId w:val="18"/>
      </w:numPr>
      <w:tabs>
        <w:tab w:val="left" w:pos="1418"/>
      </w:tabs>
      <w:spacing w:line="240" w:lineRule="auto"/>
      <w:outlineLvl w:val="3"/>
    </w:pPr>
    <w:rPr>
      <w:i/>
      <w:u w:val="single"/>
    </w:rPr>
  </w:style>
  <w:style w:type="paragraph" w:styleId="Ttulo5">
    <w:name w:val="heading 5"/>
    <w:basedOn w:val="Prrafodelista"/>
    <w:link w:val="Ttulo5Car"/>
    <w:uiPriority w:val="9"/>
    <w:qFormat/>
    <w:rsid w:val="00880D4E"/>
    <w:pPr>
      <w:numPr>
        <w:ilvl w:val="1"/>
        <w:numId w:val="19"/>
      </w:numPr>
      <w:tabs>
        <w:tab w:val="left" w:pos="1418"/>
      </w:tabs>
      <w:spacing w:line="240" w:lineRule="auto"/>
      <w:outlineLvl w:val="4"/>
    </w:pPr>
    <w:rPr>
      <w:i/>
    </w:rPr>
  </w:style>
  <w:style w:type="paragraph" w:styleId="Ttulo6">
    <w:name w:val="heading 6"/>
    <w:basedOn w:val="Ttulo5"/>
    <w:next w:val="Normal"/>
    <w:link w:val="Ttulo6Car"/>
    <w:uiPriority w:val="9"/>
    <w:unhideWhenUsed/>
    <w:rsid w:val="009C37EC"/>
    <w:pPr>
      <w:tabs>
        <w:tab w:val="num" w:pos="3600"/>
      </w:tabs>
      <w:ind w:left="3600"/>
      <w:outlineLvl w:val="5"/>
    </w:pPr>
    <w:rPr>
      <w:spacing w:val="-2"/>
      <w:lang w:val="es-ES_tradnl"/>
    </w:rPr>
  </w:style>
  <w:style w:type="paragraph" w:styleId="Ttulo7">
    <w:name w:val="heading 7"/>
    <w:basedOn w:val="Normal"/>
    <w:next w:val="Normal"/>
    <w:link w:val="Ttulo7Car"/>
    <w:uiPriority w:val="9"/>
    <w:semiHidden/>
    <w:unhideWhenUsed/>
    <w:rsid w:val="002D6817"/>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rsid w:val="002D681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rsid w:val="005650D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aliases w:val="Ca Car,2. Footnote Text Car2,Footnote Tesina Car2,FA Fu Car,Footnote Text Char Char Char Char Char Car,Footnote Text Char Char Char Char Car,Footnote reference Car,Footnote Text Char Char Char Car,Footnote Text Cha Car,C Car2,ft Car"/>
    <w:basedOn w:val="Fuentedeprrafopredeter"/>
    <w:link w:val="Textonotapie"/>
    <w:uiPriority w:val="99"/>
    <w:qFormat/>
    <w:rsid w:val="00880D4E"/>
    <w:rPr>
      <w:rFonts w:eastAsia="Batang"/>
      <w:sz w:val="20"/>
      <w:szCs w:val="20"/>
      <w:lang w:val="es-MX"/>
    </w:rPr>
  </w:style>
  <w:style w:type="paragraph" w:customStyle="1" w:styleId="Estilo1">
    <w:name w:val="Estilo1"/>
    <w:basedOn w:val="Normal"/>
    <w:link w:val="Estilo1Car"/>
    <w:qFormat/>
    <w:rsid w:val="00436644"/>
    <w:pPr>
      <w:tabs>
        <w:tab w:val="left" w:pos="567"/>
        <w:tab w:val="left" w:pos="1134"/>
        <w:tab w:val="num" w:pos="6042"/>
      </w:tabs>
      <w:spacing w:after="120" w:line="240" w:lineRule="auto"/>
    </w:pPr>
    <w:rPr>
      <w:rFonts w:eastAsiaTheme="minorHAnsi" w:cstheme="minorBidi"/>
      <w:b/>
      <w:i/>
      <w:sz w:val="22"/>
      <w:szCs w:val="22"/>
      <w:lang w:val="en-US" w:eastAsia="en-US"/>
    </w:rPr>
  </w:style>
  <w:style w:type="character" w:customStyle="1" w:styleId="Estilo1Car">
    <w:name w:val="Estilo1 Car"/>
    <w:link w:val="Estilo1"/>
    <w:rsid w:val="00436644"/>
    <w:rPr>
      <w:rFonts w:ascii="Verdana" w:hAnsi="Verdana"/>
      <w:b/>
      <w:i/>
      <w:lang w:val="en-US"/>
    </w:rPr>
  </w:style>
  <w:style w:type="paragraph" w:customStyle="1" w:styleId="Footnotes">
    <w:name w:val="**. Footnotes"/>
    <w:basedOn w:val="Textonotapie"/>
    <w:link w:val="FootnotesChar"/>
    <w:autoRedefine/>
    <w:qFormat/>
    <w:rsid w:val="00880D4E"/>
    <w:pPr>
      <w:tabs>
        <w:tab w:val="left" w:pos="567"/>
      </w:tabs>
      <w:spacing w:before="120" w:after="40"/>
    </w:pPr>
    <w:rPr>
      <w:rFonts w:cs="Palatino-Italic"/>
      <w:i/>
      <w:iCs/>
      <w:sz w:val="16"/>
      <w:szCs w:val="16"/>
      <w:lang w:val="en-US"/>
    </w:rPr>
  </w:style>
  <w:style w:type="character" w:customStyle="1" w:styleId="FootnotesChar">
    <w:name w:val="**. Footnotes Char"/>
    <w:basedOn w:val="Fuentedeprrafopredeter"/>
    <w:link w:val="Footnotes"/>
    <w:rsid w:val="00880D4E"/>
    <w:rPr>
      <w:rFonts w:ascii="Verdana" w:eastAsia="Batang" w:hAnsi="Verdana" w:cs="Palatino-Italic"/>
      <w:i/>
      <w:iCs/>
      <w:sz w:val="16"/>
      <w:szCs w:val="16"/>
      <w:lang w:val="en-US"/>
    </w:rPr>
  </w:style>
  <w:style w:type="paragraph" w:styleId="Textonotapie">
    <w:name w:val="footnote text"/>
    <w:aliases w:val="Ca,2. Footnote Text,Footnote Tesina,FA Fu,Footnote Text Char Char Char Char Char,Footnote Text Char Char Char Char,Footnote reference,Footnote Text Char Char Char,Footnote Text Cha,FA Fußnotentext,FA Fuﬂnotentext,C,ft,5,footnote text,Car"/>
    <w:basedOn w:val="Normal"/>
    <w:link w:val="TextonotapieCar"/>
    <w:uiPriority w:val="99"/>
    <w:unhideWhenUsed/>
    <w:qFormat/>
    <w:rsid w:val="00880D4E"/>
    <w:pPr>
      <w:spacing w:line="240" w:lineRule="auto"/>
    </w:p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uiPriority w:val="99"/>
    <w:qFormat/>
    <w:rsid w:val="00880D4E"/>
    <w:rPr>
      <w:rFonts w:ascii="Verdana" w:eastAsia="MS Mincho" w:hAnsi="Verdana" w:cs="Times"/>
      <w:sz w:val="16"/>
      <w:szCs w:val="24"/>
      <w:lang w:val="es-ES_tradnl"/>
    </w:rPr>
  </w:style>
  <w:style w:type="paragraph" w:customStyle="1" w:styleId="2Footnotes">
    <w:name w:val="2. Footnotes"/>
    <w:basedOn w:val="Textonotapie"/>
    <w:link w:val="2FootnotesChar"/>
    <w:autoRedefine/>
    <w:qFormat/>
    <w:rsid w:val="00880D4E"/>
    <w:pPr>
      <w:spacing w:before="120" w:after="40"/>
    </w:pPr>
    <w:rPr>
      <w:rFonts w:cs="Palatino-Italic"/>
      <w:iCs/>
      <w:noProof/>
      <w:sz w:val="16"/>
      <w:szCs w:val="18"/>
      <w:lang w:val="en-US"/>
    </w:rPr>
  </w:style>
  <w:style w:type="character" w:customStyle="1" w:styleId="2FootnotesChar">
    <w:name w:val="2. Footnotes Char"/>
    <w:link w:val="2Footnotes"/>
    <w:rsid w:val="00880D4E"/>
    <w:rPr>
      <w:rFonts w:ascii="Verdana" w:eastAsia="Times New Roman" w:hAnsi="Verdana" w:cs="Palatino-Italic"/>
      <w:iCs/>
      <w:noProof/>
      <w:sz w:val="16"/>
      <w:szCs w:val="18"/>
      <w:lang w:val="en-US"/>
    </w:rPr>
  </w:style>
  <w:style w:type="paragraph" w:customStyle="1" w:styleId="PrrafodeSentencia">
    <w:name w:val="*. Párrafo de Sentencia"/>
    <w:basedOn w:val="Normal"/>
    <w:next w:val="Normal"/>
    <w:link w:val="PrrafodeSentenciaChar"/>
    <w:qFormat/>
    <w:rsid w:val="00880D4E"/>
    <w:pPr>
      <w:tabs>
        <w:tab w:val="left" w:pos="567"/>
      </w:tabs>
      <w:spacing w:line="240" w:lineRule="auto"/>
    </w:pPr>
    <w:rPr>
      <w:spacing w:val="-4"/>
      <w:lang w:val="en-US" w:eastAsia="es-MX"/>
    </w:rPr>
  </w:style>
  <w:style w:type="character" w:customStyle="1" w:styleId="PrrafodeSentenciaChar">
    <w:name w:val="*. Párrafo de Sentencia Char"/>
    <w:link w:val="PrrafodeSentencia"/>
    <w:locked/>
    <w:rsid w:val="00880D4E"/>
    <w:rPr>
      <w:rFonts w:ascii="Verdana" w:eastAsia="Batang" w:hAnsi="Verdana"/>
      <w:spacing w:val="-4"/>
      <w:sz w:val="20"/>
      <w:lang w:val="en-US" w:eastAsia="es-MX"/>
    </w:rPr>
  </w:style>
  <w:style w:type="character" w:customStyle="1" w:styleId="FootnoteTextChar">
    <w:name w:val="Footnote Text Char"/>
    <w:aliases w:val="2. Footnote Text Char,Footnote Tesina Char,FA Fu Char,Footnote Text Char Char Char Char Char Char,Footnote Text Char Char Char Char Char1,Footnote reference Char,Footnote Text Char Char Char Char1,Footnote Text Cha Char,Ca Char,C Char"/>
    <w:basedOn w:val="Fuentedeprrafopredeter"/>
    <w:locked/>
    <w:rsid w:val="002D6817"/>
    <w:rPr>
      <w:rFonts w:ascii="Verdana" w:hAnsi="Verdana"/>
    </w:rPr>
  </w:style>
  <w:style w:type="paragraph" w:customStyle="1" w:styleId="Estilo4">
    <w:name w:val="Estilo4"/>
    <w:basedOn w:val="Prrafodelista"/>
    <w:link w:val="Estilo4Car"/>
    <w:rsid w:val="009C37EC"/>
    <w:pPr>
      <w:numPr>
        <w:ilvl w:val="1"/>
        <w:numId w:val="11"/>
      </w:numPr>
      <w:spacing w:after="120" w:line="240" w:lineRule="auto"/>
    </w:pPr>
    <w:rPr>
      <w:rFonts w:eastAsiaTheme="minorHAnsi"/>
      <w:spacing w:val="-2"/>
    </w:rPr>
  </w:style>
  <w:style w:type="character" w:customStyle="1" w:styleId="Estilo4Car">
    <w:name w:val="Estilo4 Car"/>
    <w:basedOn w:val="Fuentedeprrafopredeter"/>
    <w:link w:val="Estilo4"/>
    <w:rsid w:val="002D6817"/>
    <w:rPr>
      <w:rFonts w:ascii="Verdana" w:hAnsi="Verdana"/>
      <w:spacing w:val="-2"/>
      <w:sz w:val="20"/>
      <w:szCs w:val="20"/>
    </w:rPr>
  </w:style>
  <w:style w:type="character" w:customStyle="1" w:styleId="Ttulo1Car">
    <w:name w:val="Título 1 Car"/>
    <w:aliases w:val="Título Verdana Car"/>
    <w:basedOn w:val="Fuentedeprrafopredeter"/>
    <w:link w:val="Ttulo1"/>
    <w:uiPriority w:val="9"/>
    <w:rsid w:val="00880D4E"/>
    <w:rPr>
      <w:rFonts w:ascii="Verdana" w:eastAsia="Batang" w:hAnsi="Verdana"/>
      <w:b/>
      <w:sz w:val="20"/>
      <w:szCs w:val="20"/>
      <w:lang w:val="es-MX"/>
    </w:rPr>
  </w:style>
  <w:style w:type="character" w:customStyle="1" w:styleId="Ttulo2Car">
    <w:name w:val="Título 2 Car"/>
    <w:basedOn w:val="Fuentedeprrafopredeter"/>
    <w:link w:val="Ttulo2"/>
    <w:rsid w:val="00880D4E"/>
    <w:rPr>
      <w:rFonts w:ascii="Verdana" w:eastAsia="MS Mincho" w:hAnsi="Verdana" w:cs="Verdana"/>
      <w:b/>
      <w:i/>
      <w:sz w:val="20"/>
      <w:szCs w:val="20"/>
      <w:lang w:eastAsia="es-CR"/>
    </w:rPr>
  </w:style>
  <w:style w:type="character" w:customStyle="1" w:styleId="Ttulo3Car">
    <w:name w:val="Título 3 Car"/>
    <w:basedOn w:val="Fuentedeprrafopredeter"/>
    <w:link w:val="Ttulo3"/>
    <w:uiPriority w:val="9"/>
    <w:rsid w:val="00880D4E"/>
    <w:rPr>
      <w:rFonts w:ascii="Verdana" w:eastAsia="Batang" w:hAnsi="Verdana"/>
      <w:b/>
      <w:i/>
      <w:sz w:val="20"/>
      <w:szCs w:val="20"/>
      <w:lang w:val="es-MX"/>
    </w:rPr>
  </w:style>
  <w:style w:type="character" w:customStyle="1" w:styleId="Ttulo4Car">
    <w:name w:val="Título 4 Car"/>
    <w:basedOn w:val="Fuentedeprrafopredeter"/>
    <w:link w:val="Ttulo4"/>
    <w:uiPriority w:val="9"/>
    <w:rsid w:val="00880D4E"/>
    <w:rPr>
      <w:rFonts w:ascii="Verdana" w:eastAsia="Batang" w:hAnsi="Verdana"/>
      <w:i/>
      <w:sz w:val="20"/>
      <w:szCs w:val="20"/>
      <w:u w:val="single"/>
      <w:lang w:val="es-MX"/>
    </w:rPr>
  </w:style>
  <w:style w:type="character" w:customStyle="1" w:styleId="Ttulo5Car">
    <w:name w:val="Título 5 Car"/>
    <w:basedOn w:val="Fuentedeprrafopredeter"/>
    <w:link w:val="Ttulo5"/>
    <w:uiPriority w:val="9"/>
    <w:rsid w:val="00880D4E"/>
    <w:rPr>
      <w:rFonts w:ascii="Verdana" w:eastAsia="Batang" w:hAnsi="Verdana"/>
      <w:i/>
      <w:sz w:val="20"/>
      <w:szCs w:val="20"/>
      <w:lang w:val="es-MX"/>
    </w:rPr>
  </w:style>
  <w:style w:type="character" w:customStyle="1" w:styleId="Ttulo6Car">
    <w:name w:val="Título 6 Car"/>
    <w:basedOn w:val="Fuentedeprrafopredeter"/>
    <w:link w:val="Ttulo6"/>
    <w:uiPriority w:val="9"/>
    <w:rsid w:val="009C37EC"/>
    <w:rPr>
      <w:rFonts w:ascii="Verdana" w:eastAsiaTheme="majorEastAsia" w:hAnsi="Verdana" w:cstheme="majorBidi"/>
      <w:spacing w:val="-2"/>
      <w:sz w:val="20"/>
      <w:szCs w:val="20"/>
      <w:lang w:val="es-ES_tradnl" w:eastAsia="es-CR"/>
    </w:rPr>
  </w:style>
  <w:style w:type="character" w:customStyle="1" w:styleId="Ttulo7Car">
    <w:name w:val="Título 7 Car"/>
    <w:basedOn w:val="Fuentedeprrafopredeter"/>
    <w:link w:val="Ttulo7"/>
    <w:uiPriority w:val="9"/>
    <w:semiHidden/>
    <w:rsid w:val="002D6817"/>
    <w:rPr>
      <w:rFonts w:asciiTheme="majorHAnsi" w:eastAsiaTheme="majorEastAsia" w:hAnsiTheme="majorHAnsi" w:cstheme="majorBidi"/>
      <w:i/>
      <w:iCs/>
      <w:color w:val="243F60" w:themeColor="accent1" w:themeShade="7F"/>
      <w:sz w:val="24"/>
      <w:szCs w:val="24"/>
      <w:lang w:eastAsia="es-CR"/>
    </w:rPr>
  </w:style>
  <w:style w:type="character" w:customStyle="1" w:styleId="Ttulo8Car">
    <w:name w:val="Título 8 Car"/>
    <w:basedOn w:val="Fuentedeprrafopredeter"/>
    <w:link w:val="Ttulo8"/>
    <w:uiPriority w:val="9"/>
    <w:semiHidden/>
    <w:rsid w:val="002D6817"/>
    <w:rPr>
      <w:rFonts w:asciiTheme="majorHAnsi" w:eastAsiaTheme="majorEastAsia" w:hAnsiTheme="majorHAnsi" w:cstheme="majorBidi"/>
      <w:color w:val="272727" w:themeColor="text1" w:themeTint="D8"/>
      <w:sz w:val="21"/>
      <w:szCs w:val="21"/>
      <w:lang w:eastAsia="es-CR"/>
    </w:rPr>
  </w:style>
  <w:style w:type="character" w:customStyle="1" w:styleId="Ttulo9Car">
    <w:name w:val="Título 9 Car"/>
    <w:basedOn w:val="Fuentedeprrafopredeter"/>
    <w:link w:val="Ttulo9"/>
    <w:uiPriority w:val="9"/>
    <w:semiHidden/>
    <w:rsid w:val="005650D0"/>
    <w:rPr>
      <w:rFonts w:asciiTheme="majorHAnsi" w:eastAsiaTheme="majorEastAsia" w:hAnsiTheme="majorHAnsi" w:cstheme="majorBidi"/>
      <w:i/>
      <w:iCs/>
      <w:color w:val="272727" w:themeColor="text1" w:themeTint="D8"/>
      <w:sz w:val="21"/>
      <w:szCs w:val="21"/>
      <w:lang w:eastAsia="es-CR"/>
    </w:rPr>
  </w:style>
  <w:style w:type="paragraph" w:styleId="Ttulo">
    <w:name w:val="Title"/>
    <w:basedOn w:val="Prrafodelista"/>
    <w:next w:val="Normal"/>
    <w:link w:val="TtuloCar"/>
    <w:uiPriority w:val="10"/>
    <w:qFormat/>
    <w:rsid w:val="00880D4E"/>
    <w:pPr>
      <w:keepNext/>
      <w:keepLines/>
      <w:numPr>
        <w:numId w:val="20"/>
      </w:numPr>
      <w:spacing w:before="120" w:after="120" w:line="240" w:lineRule="auto"/>
      <w:textAlignment w:val="baseline"/>
      <w:outlineLvl w:val="1"/>
    </w:pPr>
    <w:rPr>
      <w:b/>
      <w:i/>
    </w:rPr>
  </w:style>
  <w:style w:type="character" w:customStyle="1" w:styleId="TtuloCar">
    <w:name w:val="Título Car"/>
    <w:basedOn w:val="Fuentedeprrafopredeter"/>
    <w:link w:val="Ttulo"/>
    <w:uiPriority w:val="10"/>
    <w:rsid w:val="00880D4E"/>
    <w:rPr>
      <w:rFonts w:ascii="Verdana" w:eastAsia="Batang" w:hAnsi="Verdana"/>
      <w:b/>
      <w:i/>
      <w:sz w:val="20"/>
      <w:szCs w:val="20"/>
      <w:lang w:val="es-MX"/>
    </w:rPr>
  </w:style>
  <w:style w:type="paragraph" w:styleId="Subttulo">
    <w:name w:val="Subtitle"/>
    <w:basedOn w:val="Ttulo"/>
    <w:next w:val="Normal"/>
    <w:link w:val="SubttuloCar"/>
    <w:uiPriority w:val="11"/>
    <w:qFormat/>
    <w:rsid w:val="00880D4E"/>
    <w:pPr>
      <w:numPr>
        <w:numId w:val="0"/>
      </w:numPr>
    </w:pPr>
  </w:style>
  <w:style w:type="character" w:customStyle="1" w:styleId="SubttuloCar">
    <w:name w:val="Subtítulo Car"/>
    <w:basedOn w:val="Fuentedeprrafopredeter"/>
    <w:link w:val="Subttulo"/>
    <w:uiPriority w:val="11"/>
    <w:rsid w:val="00880D4E"/>
    <w:rPr>
      <w:rFonts w:ascii="Verdana" w:eastAsia="Batang" w:hAnsi="Verdana"/>
      <w:b/>
      <w:i/>
      <w:sz w:val="20"/>
      <w:szCs w:val="20"/>
      <w:lang w:val="es-MX"/>
    </w:rPr>
  </w:style>
  <w:style w:type="character" w:styleId="Textoennegrita">
    <w:name w:val="Strong"/>
    <w:aliases w:val="Heading 2.1"/>
    <w:basedOn w:val="Fuentedeprrafopredeter"/>
    <w:uiPriority w:val="22"/>
    <w:qFormat/>
    <w:rsid w:val="00880D4E"/>
    <w:rPr>
      <w:b/>
      <w:bCs/>
    </w:rPr>
  </w:style>
  <w:style w:type="character" w:styleId="nfasis">
    <w:name w:val="Emphasis"/>
    <w:basedOn w:val="nfasissutil"/>
    <w:uiPriority w:val="20"/>
    <w:qFormat/>
    <w:rsid w:val="00880D4E"/>
    <w:rPr>
      <w:i/>
      <w:iCs/>
    </w:rPr>
  </w:style>
  <w:style w:type="paragraph" w:styleId="Sinespaciado">
    <w:name w:val="No Spacing"/>
    <w:link w:val="SinespaciadoCar"/>
    <w:uiPriority w:val="1"/>
    <w:qFormat/>
    <w:rsid w:val="00880D4E"/>
    <w:pPr>
      <w:spacing w:after="0" w:line="240" w:lineRule="auto"/>
    </w:pPr>
  </w:style>
  <w:style w:type="paragraph" w:styleId="Prrafodelista">
    <w:name w:val="List Paragraph"/>
    <w:aliases w:val="List Paragraph2,Lista vistosa - Énfasis 11,Párrafo de lista1,Footnote,List Paragraph1,Colorful List - Accent 11,Parrafos,Subtle Emphasis1,Footnote1,List Paragraph11"/>
    <w:basedOn w:val="Normal"/>
    <w:link w:val="PrrafodelistaCar"/>
    <w:uiPriority w:val="34"/>
    <w:qFormat/>
    <w:rsid w:val="00880D4E"/>
    <w:pPr>
      <w:ind w:left="720"/>
      <w:contextualSpacing/>
    </w:pPr>
  </w:style>
  <w:style w:type="character" w:customStyle="1" w:styleId="PrrafodelistaCar">
    <w:name w:val="Párrafo de lista Car"/>
    <w:aliases w:val="List Paragraph2 Car,Lista vistosa - Énfasis 11 Car,Párrafo de lista1 Car,Footnote Car,List Paragraph1 Car,Colorful List - Accent 11 Car,Parrafos Car,Subtle Emphasis1 Car,Footnote1 Car,List Paragraph11 Car"/>
    <w:basedOn w:val="Fuentedeprrafopredeter"/>
    <w:link w:val="Prrafodelista"/>
    <w:uiPriority w:val="34"/>
    <w:locked/>
    <w:rsid w:val="00880D4E"/>
    <w:rPr>
      <w:rFonts w:eastAsia="Batang"/>
      <w:lang w:val="es-MX"/>
    </w:rPr>
  </w:style>
  <w:style w:type="character" w:styleId="Ttulodellibro">
    <w:name w:val="Book Title"/>
    <w:basedOn w:val="Fuentedeprrafopredeter"/>
    <w:uiPriority w:val="33"/>
    <w:qFormat/>
    <w:rsid w:val="002D6817"/>
    <w:rPr>
      <w:b/>
      <w:bCs/>
      <w:i/>
      <w:iCs/>
      <w:spacing w:val="5"/>
    </w:rPr>
  </w:style>
  <w:style w:type="paragraph" w:styleId="TtuloTDC">
    <w:name w:val="TOC Heading"/>
    <w:basedOn w:val="Ttulo1"/>
    <w:next w:val="Normal"/>
    <w:uiPriority w:val="39"/>
    <w:unhideWhenUsed/>
    <w:qFormat/>
    <w:rsid w:val="00880D4E"/>
    <w:pPr>
      <w:spacing w:line="276" w:lineRule="auto"/>
      <w:outlineLvl w:val="9"/>
    </w:pPr>
    <w:rPr>
      <w:lang w:val="en-US" w:eastAsia="ja-JP"/>
    </w:rPr>
  </w:style>
  <w:style w:type="paragraph" w:customStyle="1" w:styleId="Prrafodelista2">
    <w:name w:val="Párrafo de lista2"/>
    <w:basedOn w:val="Normal"/>
    <w:uiPriority w:val="34"/>
    <w:rsid w:val="005650D0"/>
    <w:pPr>
      <w:ind w:left="720"/>
    </w:pPr>
  </w:style>
  <w:style w:type="paragraph" w:customStyle="1" w:styleId="PargrafodaLista">
    <w:name w:val="Parágrafo da Lista"/>
    <w:basedOn w:val="Normal"/>
    <w:rsid w:val="005650D0"/>
    <w:pPr>
      <w:ind w:left="708"/>
    </w:pPr>
    <w:rPr>
      <w:sz w:val="16"/>
    </w:rPr>
  </w:style>
  <w:style w:type="paragraph" w:customStyle="1" w:styleId="Sinespaciado1">
    <w:name w:val="Sin espaciado1"/>
    <w:uiPriority w:val="1"/>
    <w:rsid w:val="005650D0"/>
    <w:pPr>
      <w:spacing w:after="0" w:line="240" w:lineRule="auto"/>
    </w:pPr>
    <w:rPr>
      <w:rFonts w:ascii="Calibri" w:eastAsia="Times New Roman" w:hAnsi="Calibri" w:cs="Times New Roman"/>
      <w:lang w:val="en-US" w:eastAsia="es-CR"/>
    </w:rPr>
  </w:style>
  <w:style w:type="character" w:customStyle="1" w:styleId="SinespaciadoCar">
    <w:name w:val="Sin espaciado Car"/>
    <w:basedOn w:val="Fuentedeprrafopredeter"/>
    <w:link w:val="Sinespaciado"/>
    <w:uiPriority w:val="1"/>
    <w:rsid w:val="009C37EC"/>
  </w:style>
  <w:style w:type="character" w:customStyle="1" w:styleId="TextonotapieCar2">
    <w:name w:val="Texto nota pie Car2"/>
    <w:aliases w:val="Ca Car2,2. Footnote Text Car1,Footnote Tesina Car1,FA Fu Car2,Footnote Text Char Char Char Char Char Car2,Footnote Text Char Char Char Char Car2,Footnote reference Car2,Footnote Text Char Char Char Car2,Footnote Text Cha Car2,C Car1"/>
    <w:basedOn w:val="Fuentedeprrafopredeter"/>
    <w:rsid w:val="005650D0"/>
    <w:rPr>
      <w:rFonts w:ascii="Verdana" w:eastAsia="Times" w:hAnsi="Verdana" w:cs="Times"/>
      <w:sz w:val="16"/>
      <w:szCs w:val="20"/>
      <w:lang w:val="es-ES_tradnl" w:eastAsia="x-none"/>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basedOn w:val="Fuentedeprrafopredeter"/>
    <w:link w:val="4GChar"/>
    <w:unhideWhenUsed/>
    <w:qFormat/>
    <w:rsid w:val="00880D4E"/>
    <w:rPr>
      <w:vertAlign w:val="superscript"/>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80D4E"/>
    <w:pPr>
      <w:spacing w:line="240" w:lineRule="auto"/>
    </w:pPr>
    <w:rPr>
      <w:rFonts w:eastAsiaTheme="minorHAnsi"/>
      <w:vertAlign w:val="superscript"/>
      <w:lang w:val="en-US"/>
    </w:rPr>
  </w:style>
  <w:style w:type="paragraph" w:customStyle="1" w:styleId="Numberedparagraphs">
    <w:name w:val="Numbered paragraphs"/>
    <w:basedOn w:val="Normal"/>
    <w:rsid w:val="009C37EC"/>
    <w:pPr>
      <w:spacing w:line="240" w:lineRule="auto"/>
    </w:pPr>
    <w:rPr>
      <w:rFonts w:eastAsia="MS Mincho"/>
      <w:color w:val="000000"/>
      <w:lang w:val="es-ES_tradnl"/>
    </w:rPr>
  </w:style>
  <w:style w:type="character" w:customStyle="1" w:styleId="FootnoteTextChar1">
    <w:name w:val="Footnote Text Char1"/>
    <w:aliases w:val="2. Footnote Text Char1,Footnote Tesina Char1,FA Fu Char2,Footnote Text Char Char Char Char Char Char2,Footnote Text Char Char Char Char Char3,Footnote reference Char2,Footnote Text Char Char Char Char3,Footnote Text Cha Char2,C Char1"/>
    <w:basedOn w:val="Fuentedeprrafopredeter"/>
    <w:rsid w:val="009C37EC"/>
    <w:rPr>
      <w:sz w:val="20"/>
      <w:szCs w:val="20"/>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rsid w:val="009C37EC"/>
    <w:pPr>
      <w:spacing w:after="160" w:line="240" w:lineRule="exact"/>
    </w:pPr>
    <w:rPr>
      <w:rFonts w:eastAsiaTheme="minorHAnsi"/>
      <w:vertAlign w:val="superscript"/>
    </w:rPr>
  </w:style>
  <w:style w:type="paragraph" w:customStyle="1" w:styleId="Estilo3">
    <w:name w:val="Estilo3"/>
    <w:basedOn w:val="Prrafodelista"/>
    <w:rsid w:val="009C37EC"/>
    <w:pPr>
      <w:numPr>
        <w:ilvl w:val="4"/>
        <w:numId w:val="14"/>
      </w:numPr>
      <w:spacing w:after="120" w:line="216" w:lineRule="auto"/>
      <w:ind w:right="17"/>
    </w:pPr>
    <w:rPr>
      <w:rFonts w:eastAsia="Calibri"/>
      <w:spacing w:val="-2"/>
      <w:lang w:eastAsia="x-none"/>
    </w:rPr>
  </w:style>
  <w:style w:type="paragraph" w:customStyle="1" w:styleId="Estilo5">
    <w:name w:val="Estilo5"/>
    <w:basedOn w:val="Prrafodelista"/>
    <w:link w:val="Estilo5Car"/>
    <w:rsid w:val="009C37EC"/>
    <w:pPr>
      <w:numPr>
        <w:numId w:val="14"/>
      </w:numPr>
      <w:spacing w:after="120" w:line="216" w:lineRule="auto"/>
      <w:ind w:right="18"/>
    </w:pPr>
    <w:rPr>
      <w:rFonts w:eastAsia="Calibri"/>
      <w:spacing w:val="-2"/>
      <w:lang w:eastAsia="x-none"/>
    </w:rPr>
  </w:style>
  <w:style w:type="character" w:customStyle="1" w:styleId="Estilo5Car">
    <w:name w:val="Estilo5 Car"/>
    <w:link w:val="Estilo5"/>
    <w:rsid w:val="009C37EC"/>
    <w:rPr>
      <w:rFonts w:ascii="Verdana" w:eastAsia="Calibri" w:hAnsi="Verdana" w:cs="Times New Roman"/>
      <w:spacing w:val="-2"/>
      <w:sz w:val="20"/>
      <w:szCs w:val="20"/>
      <w:lang w:val="es-MX" w:eastAsia="x-none"/>
    </w:rPr>
  </w:style>
  <w:style w:type="paragraph" w:customStyle="1" w:styleId="Estilo8">
    <w:name w:val="Estilo8"/>
    <w:basedOn w:val="Estilo3"/>
    <w:rsid w:val="009C37EC"/>
    <w:pPr>
      <w:numPr>
        <w:ilvl w:val="5"/>
      </w:numPr>
    </w:pPr>
  </w:style>
  <w:style w:type="paragraph" w:customStyle="1" w:styleId="Estilo2">
    <w:name w:val="Estilo2"/>
    <w:basedOn w:val="Normal"/>
    <w:qFormat/>
    <w:rsid w:val="00880D4E"/>
    <w:pPr>
      <w:tabs>
        <w:tab w:val="left" w:pos="567"/>
        <w:tab w:val="left" w:pos="1134"/>
        <w:tab w:val="num" w:pos="4767"/>
      </w:tabs>
      <w:spacing w:after="120" w:line="240" w:lineRule="auto"/>
      <w:ind w:left="4767" w:hanging="360"/>
    </w:pPr>
    <w:rPr>
      <w:rFonts w:eastAsia="Calibri"/>
      <w:lang w:val="es-ES"/>
    </w:rPr>
  </w:style>
  <w:style w:type="paragraph" w:customStyle="1" w:styleId="Estilo7">
    <w:name w:val="Estilo7"/>
    <w:basedOn w:val="Normal"/>
    <w:qFormat/>
    <w:rsid w:val="00880D4E"/>
    <w:pPr>
      <w:tabs>
        <w:tab w:val="left" w:pos="567"/>
        <w:tab w:val="left" w:pos="851"/>
        <w:tab w:val="num" w:pos="2160"/>
      </w:tabs>
      <w:spacing w:before="120" w:after="120" w:line="240" w:lineRule="auto"/>
      <w:ind w:left="2160" w:hanging="180"/>
    </w:pPr>
    <w:rPr>
      <w:b/>
      <w:i/>
      <w:lang w:val="es-ES_tradnl" w:eastAsia="es-MX"/>
    </w:rPr>
  </w:style>
  <w:style w:type="paragraph" w:customStyle="1" w:styleId="NormalNumbered">
    <w:name w:val="Normal Numbered"/>
    <w:basedOn w:val="Normal"/>
    <w:qFormat/>
    <w:rsid w:val="00880D4E"/>
    <w:pPr>
      <w:numPr>
        <w:numId w:val="21"/>
      </w:numPr>
      <w:spacing w:line="240" w:lineRule="auto"/>
    </w:pPr>
    <w:rPr>
      <w:lang w:val="x-none" w:eastAsia="x-none"/>
    </w:rPr>
  </w:style>
  <w:style w:type="paragraph" w:styleId="TDC1">
    <w:name w:val="toc 1"/>
    <w:basedOn w:val="Normal"/>
    <w:next w:val="Normal"/>
    <w:autoRedefine/>
    <w:uiPriority w:val="39"/>
    <w:unhideWhenUsed/>
    <w:qFormat/>
    <w:rsid w:val="00880D4E"/>
    <w:pPr>
      <w:spacing w:before="120" w:after="120"/>
    </w:pPr>
    <w:rPr>
      <w:b/>
      <w:bCs/>
      <w:caps/>
    </w:rPr>
  </w:style>
  <w:style w:type="paragraph" w:styleId="TDC2">
    <w:name w:val="toc 2"/>
    <w:basedOn w:val="Normal"/>
    <w:next w:val="Normal"/>
    <w:autoRedefine/>
    <w:uiPriority w:val="39"/>
    <w:unhideWhenUsed/>
    <w:qFormat/>
    <w:rsid w:val="00880D4E"/>
    <w:pPr>
      <w:tabs>
        <w:tab w:val="left" w:pos="880"/>
        <w:tab w:val="right" w:leader="dot" w:pos="9792"/>
      </w:tabs>
      <w:spacing w:line="240" w:lineRule="auto"/>
      <w:ind w:left="220"/>
    </w:pPr>
    <w:rPr>
      <w:bCs/>
      <w:i/>
      <w:smallCaps/>
      <w:noProof/>
      <w:lang w:val="es-ES_tradnl"/>
    </w:rPr>
  </w:style>
  <w:style w:type="paragraph" w:styleId="TDC3">
    <w:name w:val="toc 3"/>
    <w:basedOn w:val="Normal"/>
    <w:next w:val="Normal"/>
    <w:autoRedefine/>
    <w:uiPriority w:val="39"/>
    <w:unhideWhenUsed/>
    <w:qFormat/>
    <w:rsid w:val="00880D4E"/>
    <w:pPr>
      <w:ind w:left="440"/>
    </w:pPr>
    <w:rPr>
      <w:i/>
      <w:iCs/>
    </w:rPr>
  </w:style>
  <w:style w:type="character" w:styleId="nfasissutil">
    <w:name w:val="Subtle Emphasis"/>
    <w:uiPriority w:val="19"/>
    <w:qFormat/>
    <w:rsid w:val="00880D4E"/>
  </w:style>
  <w:style w:type="paragraph" w:styleId="Encabezado">
    <w:name w:val="header"/>
    <w:aliases w:val="encabezado"/>
    <w:basedOn w:val="Normal"/>
    <w:link w:val="EncabezadoCar"/>
    <w:uiPriority w:val="99"/>
    <w:unhideWhenUsed/>
    <w:rsid w:val="000725B2"/>
    <w:pPr>
      <w:tabs>
        <w:tab w:val="center" w:pos="4419"/>
        <w:tab w:val="right" w:pos="8838"/>
      </w:tabs>
      <w:spacing w:line="240" w:lineRule="auto"/>
    </w:pPr>
  </w:style>
  <w:style w:type="character" w:customStyle="1" w:styleId="EncabezadoCar">
    <w:name w:val="Encabezado Car"/>
    <w:aliases w:val="encabezado Car"/>
    <w:basedOn w:val="Fuentedeprrafopredeter"/>
    <w:link w:val="Encabezado"/>
    <w:uiPriority w:val="99"/>
    <w:rsid w:val="000725B2"/>
    <w:rPr>
      <w:rFonts w:eastAsia="Batang"/>
      <w:lang w:val="es-MX"/>
    </w:rPr>
  </w:style>
  <w:style w:type="paragraph" w:styleId="Piedepgina">
    <w:name w:val="footer"/>
    <w:basedOn w:val="Normal"/>
    <w:link w:val="PiedepginaCar"/>
    <w:uiPriority w:val="99"/>
    <w:unhideWhenUsed/>
    <w:rsid w:val="000725B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725B2"/>
    <w:rPr>
      <w:rFonts w:eastAsia="Batang"/>
      <w:lang w:val="es-MX"/>
    </w:rPr>
  </w:style>
  <w:style w:type="character" w:styleId="Nmerodelnea">
    <w:name w:val="line number"/>
    <w:basedOn w:val="Fuentedeprrafopredeter"/>
    <w:uiPriority w:val="99"/>
    <w:semiHidden/>
    <w:unhideWhenUsed/>
    <w:rsid w:val="000725B2"/>
  </w:style>
  <w:style w:type="character" w:customStyle="1" w:styleId="markedcontent">
    <w:name w:val="markedcontent"/>
    <w:basedOn w:val="Fuentedeprrafopredeter"/>
    <w:rsid w:val="00EA36F7"/>
  </w:style>
  <w:style w:type="paragraph" w:customStyle="1" w:styleId="Normal1">
    <w:name w:val="Normal1"/>
    <w:rsid w:val="00A4292D"/>
    <w:pPr>
      <w:widowControl w:val="0"/>
      <w:spacing w:after="0"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semiHidden/>
    <w:unhideWhenUsed/>
    <w:rsid w:val="002816EB"/>
    <w:rPr>
      <w:sz w:val="16"/>
      <w:szCs w:val="16"/>
    </w:rPr>
  </w:style>
  <w:style w:type="paragraph" w:styleId="Textocomentario">
    <w:name w:val="annotation text"/>
    <w:basedOn w:val="Normal"/>
    <w:link w:val="TextocomentarioCar"/>
    <w:uiPriority w:val="99"/>
    <w:unhideWhenUsed/>
    <w:rsid w:val="002816EB"/>
    <w:pPr>
      <w:spacing w:line="240" w:lineRule="auto"/>
    </w:pPr>
  </w:style>
  <w:style w:type="character" w:customStyle="1" w:styleId="TextocomentarioCar">
    <w:name w:val="Texto comentario Car"/>
    <w:basedOn w:val="Fuentedeprrafopredeter"/>
    <w:link w:val="Textocomentario"/>
    <w:uiPriority w:val="99"/>
    <w:rsid w:val="002816EB"/>
    <w:rPr>
      <w:rFonts w:ascii="Verdana" w:eastAsia="Times New Roman" w:hAnsi="Verdana" w:cs="Times New Roman"/>
      <w:sz w:val="20"/>
      <w:szCs w:val="20"/>
      <w:lang w:eastAsia="es-CR"/>
    </w:rPr>
  </w:style>
  <w:style w:type="paragraph" w:styleId="Revisin">
    <w:name w:val="Revision"/>
    <w:hidden/>
    <w:uiPriority w:val="99"/>
    <w:semiHidden/>
    <w:rsid w:val="00984E29"/>
    <w:pPr>
      <w:spacing w:after="0" w:line="240" w:lineRule="auto"/>
    </w:pPr>
    <w:rPr>
      <w:rFonts w:ascii="Verdana" w:eastAsia="Times New Roman" w:hAnsi="Verdana" w:cs="Times New Roman"/>
      <w:sz w:val="20"/>
      <w:szCs w:val="20"/>
      <w:lang w:eastAsia="es-CR"/>
    </w:rPr>
  </w:style>
  <w:style w:type="paragraph" w:styleId="Asuntodelcomentario">
    <w:name w:val="annotation subject"/>
    <w:basedOn w:val="Textocomentario"/>
    <w:next w:val="Textocomentario"/>
    <w:link w:val="AsuntodelcomentarioCar"/>
    <w:uiPriority w:val="99"/>
    <w:semiHidden/>
    <w:unhideWhenUsed/>
    <w:rsid w:val="00392D34"/>
    <w:rPr>
      <w:b/>
      <w:bCs/>
    </w:rPr>
  </w:style>
  <w:style w:type="character" w:customStyle="1" w:styleId="AsuntodelcomentarioCar">
    <w:name w:val="Asunto del comentario Car"/>
    <w:basedOn w:val="TextocomentarioCar"/>
    <w:link w:val="Asuntodelcomentario"/>
    <w:uiPriority w:val="99"/>
    <w:semiHidden/>
    <w:rsid w:val="00392D34"/>
    <w:rPr>
      <w:rFonts w:ascii="Verdana" w:eastAsia="Times New Roman" w:hAnsi="Verdana" w:cs="Times New Roman"/>
      <w:b/>
      <w:bCs/>
      <w:sz w:val="20"/>
      <w:szCs w:val="20"/>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188737">
      <w:bodyDiv w:val="1"/>
      <w:marLeft w:val="0"/>
      <w:marRight w:val="0"/>
      <w:marTop w:val="0"/>
      <w:marBottom w:val="0"/>
      <w:divBdr>
        <w:top w:val="none" w:sz="0" w:space="0" w:color="auto"/>
        <w:left w:val="none" w:sz="0" w:space="0" w:color="auto"/>
        <w:bottom w:val="none" w:sz="0" w:space="0" w:color="auto"/>
        <w:right w:val="none" w:sz="0" w:space="0" w:color="auto"/>
      </w:divBdr>
    </w:div>
    <w:div w:id="1230464242">
      <w:bodyDiv w:val="1"/>
      <w:marLeft w:val="0"/>
      <w:marRight w:val="0"/>
      <w:marTop w:val="0"/>
      <w:marBottom w:val="0"/>
      <w:divBdr>
        <w:top w:val="none" w:sz="0" w:space="0" w:color="auto"/>
        <w:left w:val="none" w:sz="0" w:space="0" w:color="auto"/>
        <w:bottom w:val="none" w:sz="0" w:space="0" w:color="auto"/>
        <w:right w:val="none" w:sz="0" w:space="0" w:color="auto"/>
      </w:divBdr>
    </w:div>
    <w:div w:id="1317145434">
      <w:bodyDiv w:val="1"/>
      <w:marLeft w:val="0"/>
      <w:marRight w:val="0"/>
      <w:marTop w:val="0"/>
      <w:marBottom w:val="0"/>
      <w:divBdr>
        <w:top w:val="none" w:sz="0" w:space="0" w:color="auto"/>
        <w:left w:val="none" w:sz="0" w:space="0" w:color="auto"/>
        <w:bottom w:val="none" w:sz="0" w:space="0" w:color="auto"/>
        <w:right w:val="none" w:sz="0" w:space="0" w:color="auto"/>
      </w:divBdr>
    </w:div>
    <w:div w:id="1536846605">
      <w:bodyDiv w:val="1"/>
      <w:marLeft w:val="0"/>
      <w:marRight w:val="0"/>
      <w:marTop w:val="0"/>
      <w:marBottom w:val="0"/>
      <w:divBdr>
        <w:top w:val="none" w:sz="0" w:space="0" w:color="auto"/>
        <w:left w:val="none" w:sz="0" w:space="0" w:color="auto"/>
        <w:bottom w:val="none" w:sz="0" w:space="0" w:color="auto"/>
        <w:right w:val="none" w:sz="0" w:space="0" w:color="auto"/>
      </w:divBdr>
    </w:div>
    <w:div w:id="174263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C1D58-D343-4DFF-84CD-65933E4A3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2287</Words>
  <Characters>12579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dcterms:created xsi:type="dcterms:W3CDTF">2023-12-19T17:11:00Z</dcterms:created>
  <dcterms:modified xsi:type="dcterms:W3CDTF">2023-12-19T17:11:00Z</dcterms:modified>
</cp:coreProperties>
</file>