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15B62" w14:textId="77777777" w:rsidR="00240394" w:rsidRPr="00E055CB" w:rsidRDefault="00240394" w:rsidP="00CC0B4C">
      <w:pPr>
        <w:spacing w:line="360" w:lineRule="auto"/>
        <w:ind w:right="612"/>
        <w:jc w:val="center"/>
        <w:outlineLvl w:val="0"/>
        <w:rPr>
          <w:rFonts w:ascii="Verdana" w:hAnsi="Verdana"/>
          <w:b/>
          <w:sz w:val="20"/>
          <w:szCs w:val="20"/>
        </w:rPr>
      </w:pPr>
      <w:r w:rsidRPr="00E055CB">
        <w:rPr>
          <w:rFonts w:ascii="Verdana" w:hAnsi="Verdana"/>
          <w:b/>
          <w:sz w:val="20"/>
          <w:szCs w:val="20"/>
        </w:rPr>
        <w:t xml:space="preserve">VOTO CONCURRENTE DE LOS JUECES </w:t>
      </w:r>
    </w:p>
    <w:p w14:paraId="100BB537" w14:textId="77777777" w:rsidR="00CC0B4C" w:rsidRPr="00E055CB" w:rsidRDefault="00240394" w:rsidP="00CC0B4C">
      <w:pPr>
        <w:spacing w:line="360" w:lineRule="auto"/>
        <w:ind w:right="612"/>
        <w:jc w:val="center"/>
        <w:outlineLvl w:val="0"/>
        <w:rPr>
          <w:rFonts w:ascii="Verdana" w:hAnsi="Verdana"/>
          <w:b/>
          <w:sz w:val="20"/>
          <w:szCs w:val="20"/>
          <w:lang w:val="pt-BR"/>
        </w:rPr>
      </w:pPr>
      <w:r w:rsidRPr="00E055CB">
        <w:rPr>
          <w:rFonts w:ascii="Verdana" w:hAnsi="Verdana"/>
          <w:b/>
          <w:sz w:val="20"/>
          <w:szCs w:val="20"/>
          <w:lang w:val="pt-BR"/>
        </w:rPr>
        <w:t>RICARDO C.</w:t>
      </w:r>
      <w:r w:rsidR="002455F5" w:rsidRPr="00E055CB">
        <w:rPr>
          <w:rFonts w:ascii="Verdana" w:hAnsi="Verdana"/>
          <w:b/>
          <w:sz w:val="20"/>
          <w:szCs w:val="20"/>
          <w:lang w:val="pt-BR"/>
        </w:rPr>
        <w:t xml:space="preserve"> </w:t>
      </w:r>
      <w:r w:rsidRPr="00E055CB">
        <w:rPr>
          <w:rFonts w:ascii="Verdana" w:hAnsi="Verdana"/>
          <w:b/>
          <w:sz w:val="20"/>
          <w:szCs w:val="20"/>
          <w:lang w:val="pt-BR"/>
        </w:rPr>
        <w:t>PÉREZ MANRIQUE</w:t>
      </w:r>
      <w:r w:rsidR="002455F5" w:rsidRPr="00E055CB">
        <w:rPr>
          <w:rFonts w:ascii="Verdana" w:hAnsi="Verdana"/>
          <w:b/>
          <w:sz w:val="20"/>
          <w:szCs w:val="20"/>
          <w:lang w:val="pt-BR"/>
        </w:rPr>
        <w:t xml:space="preserve">, </w:t>
      </w:r>
    </w:p>
    <w:p w14:paraId="2C33C710" w14:textId="77777777" w:rsidR="00CC0B4C" w:rsidRPr="00E055CB" w:rsidRDefault="002455F5" w:rsidP="00CC0B4C">
      <w:pPr>
        <w:spacing w:line="360" w:lineRule="auto"/>
        <w:ind w:right="612"/>
        <w:jc w:val="center"/>
        <w:outlineLvl w:val="0"/>
        <w:rPr>
          <w:rFonts w:ascii="Verdana" w:hAnsi="Verdana"/>
          <w:b/>
          <w:sz w:val="20"/>
          <w:szCs w:val="20"/>
          <w:lang w:val="pt-BR"/>
        </w:rPr>
      </w:pPr>
      <w:r w:rsidRPr="00E055CB">
        <w:rPr>
          <w:rFonts w:ascii="Verdana" w:hAnsi="Verdana"/>
          <w:b/>
          <w:sz w:val="20"/>
          <w:szCs w:val="20"/>
          <w:lang w:val="pt-BR"/>
        </w:rPr>
        <w:t xml:space="preserve">EDUARDO FERRER MAC-GREGOR POISOT </w:t>
      </w:r>
    </w:p>
    <w:p w14:paraId="5968809C" w14:textId="77777777" w:rsidR="00240394" w:rsidRPr="00E055CB" w:rsidRDefault="002455F5" w:rsidP="00CC0B4C">
      <w:pPr>
        <w:spacing w:line="360" w:lineRule="auto"/>
        <w:ind w:right="612"/>
        <w:jc w:val="center"/>
        <w:outlineLvl w:val="0"/>
        <w:rPr>
          <w:rFonts w:ascii="Verdana" w:hAnsi="Verdana"/>
          <w:b/>
          <w:sz w:val="20"/>
          <w:szCs w:val="20"/>
          <w:lang w:val="pt-BR"/>
        </w:rPr>
      </w:pPr>
      <w:r w:rsidRPr="00E055CB">
        <w:rPr>
          <w:rFonts w:ascii="Verdana" w:hAnsi="Verdana"/>
          <w:b/>
          <w:sz w:val="20"/>
          <w:szCs w:val="20"/>
          <w:lang w:val="pt-BR"/>
        </w:rPr>
        <w:t>Y RODRIGO MUDROVITSCH</w:t>
      </w:r>
    </w:p>
    <w:p w14:paraId="191ACBAC" w14:textId="77777777" w:rsidR="00240394" w:rsidRPr="00E055CB" w:rsidRDefault="00240394" w:rsidP="00CC0B4C">
      <w:pPr>
        <w:ind w:right="615"/>
        <w:jc w:val="center"/>
        <w:rPr>
          <w:rFonts w:ascii="Verdana" w:hAnsi="Verdana"/>
          <w:b/>
          <w:sz w:val="20"/>
          <w:szCs w:val="20"/>
          <w:lang w:val="pt-BR"/>
        </w:rPr>
      </w:pPr>
    </w:p>
    <w:p w14:paraId="340447A6" w14:textId="3E86F848" w:rsidR="00240394" w:rsidRPr="00E055CB" w:rsidRDefault="00240394" w:rsidP="00CC0B4C">
      <w:pPr>
        <w:ind w:right="615"/>
        <w:jc w:val="center"/>
        <w:outlineLvl w:val="0"/>
        <w:rPr>
          <w:rFonts w:ascii="Verdana" w:hAnsi="Verdana"/>
          <w:b/>
          <w:i/>
          <w:sz w:val="20"/>
          <w:szCs w:val="20"/>
          <w:u w:val="single"/>
          <w:lang w:val="es-419"/>
        </w:rPr>
      </w:pPr>
      <w:r w:rsidRPr="00E055CB">
        <w:rPr>
          <w:rFonts w:ascii="Verdana" w:hAnsi="Verdana"/>
          <w:b/>
          <w:i/>
          <w:sz w:val="20"/>
          <w:szCs w:val="20"/>
          <w:u w:val="single"/>
          <w:lang w:val="pt-BR"/>
        </w:rPr>
        <w:t xml:space="preserve">CASO </w:t>
      </w:r>
      <w:r w:rsidR="002A0587" w:rsidRPr="00E055CB">
        <w:rPr>
          <w:rFonts w:ascii="Verdana" w:hAnsi="Verdana"/>
          <w:b/>
          <w:i/>
          <w:sz w:val="20"/>
          <w:szCs w:val="20"/>
          <w:u w:val="single"/>
          <w:lang w:val="pt-BR"/>
        </w:rPr>
        <w:t>CÓRDO</w:t>
      </w:r>
      <w:r w:rsidR="002A0587">
        <w:rPr>
          <w:rFonts w:ascii="Verdana" w:hAnsi="Verdana"/>
          <w:b/>
          <w:i/>
          <w:sz w:val="20"/>
          <w:szCs w:val="20"/>
          <w:u w:val="single"/>
          <w:lang w:val="pt-BR"/>
        </w:rPr>
        <w:t>B</w:t>
      </w:r>
      <w:r w:rsidR="002A0587" w:rsidRPr="00E055CB">
        <w:rPr>
          <w:rFonts w:ascii="Verdana" w:hAnsi="Verdana"/>
          <w:b/>
          <w:i/>
          <w:sz w:val="20"/>
          <w:szCs w:val="20"/>
          <w:u w:val="single"/>
          <w:lang w:val="pt-BR"/>
        </w:rPr>
        <w:t xml:space="preserve">A </w:t>
      </w:r>
      <w:r w:rsidR="002455F5" w:rsidRPr="00E055CB">
        <w:rPr>
          <w:rFonts w:ascii="Verdana" w:hAnsi="Verdana"/>
          <w:b/>
          <w:i/>
          <w:sz w:val="20"/>
          <w:szCs w:val="20"/>
          <w:u w:val="single"/>
          <w:lang w:val="pt-BR"/>
        </w:rPr>
        <w:t xml:space="preserve">VS. </w:t>
      </w:r>
      <w:r w:rsidR="002455F5" w:rsidRPr="00E055CB">
        <w:rPr>
          <w:rFonts w:ascii="Verdana" w:hAnsi="Verdana"/>
          <w:b/>
          <w:i/>
          <w:sz w:val="20"/>
          <w:szCs w:val="20"/>
          <w:u w:val="single"/>
          <w:lang w:val="es-419"/>
        </w:rPr>
        <w:t>PARAGUAY</w:t>
      </w:r>
    </w:p>
    <w:p w14:paraId="233D6DB1" w14:textId="77777777" w:rsidR="00240394" w:rsidRPr="00E055CB" w:rsidRDefault="00240394" w:rsidP="00CC0B4C">
      <w:pPr>
        <w:ind w:right="615"/>
        <w:jc w:val="center"/>
        <w:rPr>
          <w:rFonts w:ascii="Verdana" w:hAnsi="Verdana"/>
          <w:b/>
          <w:sz w:val="20"/>
          <w:szCs w:val="20"/>
          <w:lang w:val="es-419"/>
        </w:rPr>
      </w:pPr>
    </w:p>
    <w:p w14:paraId="06A5F699" w14:textId="2321160E" w:rsidR="00240394" w:rsidRPr="00E055CB" w:rsidRDefault="00240394" w:rsidP="00CC0B4C">
      <w:pPr>
        <w:ind w:right="615"/>
        <w:jc w:val="center"/>
        <w:outlineLvl w:val="0"/>
        <w:rPr>
          <w:rFonts w:ascii="Verdana" w:hAnsi="Verdana"/>
          <w:b/>
          <w:sz w:val="20"/>
          <w:szCs w:val="20"/>
          <w:lang w:val="es-ES"/>
        </w:rPr>
      </w:pPr>
      <w:r w:rsidRPr="00E055CB">
        <w:rPr>
          <w:rFonts w:ascii="Verdana" w:hAnsi="Verdana"/>
          <w:b/>
          <w:sz w:val="20"/>
          <w:szCs w:val="20"/>
          <w:lang w:val="es-ES"/>
        </w:rPr>
        <w:t xml:space="preserve">SENTENCIA DE </w:t>
      </w:r>
      <w:r w:rsidR="002A0587">
        <w:rPr>
          <w:rFonts w:ascii="Verdana" w:hAnsi="Verdana"/>
          <w:b/>
          <w:sz w:val="20"/>
          <w:szCs w:val="20"/>
          <w:lang w:val="es-ES"/>
        </w:rPr>
        <w:t>4</w:t>
      </w:r>
      <w:r w:rsidR="002A0587" w:rsidRPr="00E055CB">
        <w:rPr>
          <w:rFonts w:ascii="Verdana" w:hAnsi="Verdana"/>
          <w:b/>
          <w:sz w:val="20"/>
          <w:szCs w:val="20"/>
          <w:lang w:val="es-ES"/>
        </w:rPr>
        <w:t xml:space="preserve"> </w:t>
      </w:r>
      <w:r w:rsidRPr="00E055CB">
        <w:rPr>
          <w:rFonts w:ascii="Verdana" w:hAnsi="Verdana"/>
          <w:b/>
          <w:sz w:val="20"/>
          <w:szCs w:val="20"/>
          <w:lang w:val="es-ES"/>
        </w:rPr>
        <w:t xml:space="preserve">DE </w:t>
      </w:r>
      <w:r w:rsidR="002455F5" w:rsidRPr="00E055CB">
        <w:rPr>
          <w:rFonts w:ascii="Verdana" w:hAnsi="Verdana"/>
          <w:b/>
          <w:sz w:val="20"/>
          <w:szCs w:val="20"/>
          <w:lang w:val="es-ES"/>
        </w:rPr>
        <w:t>SEPTIEMBRE</w:t>
      </w:r>
      <w:r w:rsidRPr="00E055CB">
        <w:rPr>
          <w:rFonts w:ascii="Verdana" w:hAnsi="Verdana"/>
          <w:b/>
          <w:sz w:val="20"/>
          <w:szCs w:val="20"/>
          <w:lang w:val="es-ES"/>
        </w:rPr>
        <w:t xml:space="preserve"> DE 202</w:t>
      </w:r>
      <w:r w:rsidR="002455F5" w:rsidRPr="00E055CB">
        <w:rPr>
          <w:rFonts w:ascii="Verdana" w:hAnsi="Verdana"/>
          <w:b/>
          <w:sz w:val="20"/>
          <w:szCs w:val="20"/>
          <w:lang w:val="es-ES"/>
        </w:rPr>
        <w:t>3</w:t>
      </w:r>
    </w:p>
    <w:p w14:paraId="27F1F026" w14:textId="77777777" w:rsidR="00240394" w:rsidRPr="00E055CB" w:rsidRDefault="00240394" w:rsidP="00CC0B4C">
      <w:pPr>
        <w:pStyle w:val="Subttulo"/>
        <w:ind w:right="615"/>
        <w:outlineLvl w:val="0"/>
        <w:rPr>
          <w:rFonts w:ascii="Verdana" w:hAnsi="Verdana"/>
          <w:b/>
          <w:bCs/>
          <w:color w:val="auto"/>
        </w:rPr>
      </w:pPr>
      <w:r w:rsidRPr="00E055CB">
        <w:rPr>
          <w:rFonts w:ascii="Verdana" w:hAnsi="Verdana"/>
          <w:b/>
          <w:bCs/>
          <w:color w:val="auto"/>
        </w:rPr>
        <w:t>(Fondo, Reparaciones y Costas)</w:t>
      </w:r>
    </w:p>
    <w:p w14:paraId="3A989269" w14:textId="77777777" w:rsidR="00240394" w:rsidRPr="00E055CB" w:rsidRDefault="00240394" w:rsidP="00CC0B4C">
      <w:pPr>
        <w:ind w:right="615"/>
        <w:rPr>
          <w:rFonts w:ascii="Verdana" w:hAnsi="Verdana"/>
          <w:sz w:val="20"/>
          <w:szCs w:val="20"/>
        </w:rPr>
      </w:pPr>
    </w:p>
    <w:p w14:paraId="0A35968C" w14:textId="77777777" w:rsidR="00240394" w:rsidRPr="00E055CB" w:rsidRDefault="00240394" w:rsidP="00CC0B4C">
      <w:pPr>
        <w:ind w:right="615"/>
        <w:jc w:val="center"/>
        <w:outlineLvl w:val="0"/>
        <w:rPr>
          <w:rFonts w:ascii="Verdana" w:hAnsi="Verdana" w:cs="Times New Roman (Cuerpo en alfa"/>
          <w:b/>
          <w:caps/>
          <w:sz w:val="20"/>
          <w:szCs w:val="20"/>
        </w:rPr>
      </w:pPr>
      <w:r w:rsidRPr="00E055CB">
        <w:rPr>
          <w:rFonts w:ascii="Verdana" w:hAnsi="Verdana"/>
          <w:b/>
          <w:sz w:val="20"/>
          <w:szCs w:val="20"/>
        </w:rPr>
        <w:t xml:space="preserve">I. </w:t>
      </w:r>
      <w:r w:rsidR="0023596B" w:rsidRPr="00E055CB">
        <w:rPr>
          <w:rFonts w:ascii="Verdana" w:hAnsi="Verdana" w:cs="Times New Roman (Cuerpo en alfa"/>
          <w:b/>
          <w:caps/>
          <w:sz w:val="20"/>
          <w:szCs w:val="20"/>
        </w:rPr>
        <w:t>LA CONTROVERSIA DEL CASO Y EL CRITERIO DE LA MAYORÍA</w:t>
      </w:r>
    </w:p>
    <w:p w14:paraId="44DD2884" w14:textId="77777777" w:rsidR="00240394" w:rsidRPr="00E055CB" w:rsidRDefault="00240394" w:rsidP="00CC0B4C">
      <w:pPr>
        <w:ind w:right="615"/>
        <w:rPr>
          <w:rFonts w:ascii="Verdana" w:hAnsi="Verdana"/>
          <w:sz w:val="20"/>
          <w:szCs w:val="20"/>
        </w:rPr>
      </w:pPr>
    </w:p>
    <w:p w14:paraId="73681782" w14:textId="6C35192C" w:rsidR="003A518C" w:rsidRPr="00E055CB" w:rsidRDefault="0023596B" w:rsidP="00CC0B4C">
      <w:pPr>
        <w:pStyle w:val="Prrafodelista"/>
        <w:numPr>
          <w:ilvl w:val="0"/>
          <w:numId w:val="1"/>
        </w:numPr>
        <w:ind w:left="0" w:right="615" w:firstLine="0"/>
        <w:jc w:val="both"/>
        <w:rPr>
          <w:rFonts w:ascii="Verdana" w:hAnsi="Verdana"/>
          <w:b/>
        </w:rPr>
      </w:pPr>
      <w:r w:rsidRPr="00E055CB">
        <w:rPr>
          <w:rFonts w:ascii="Verdana" w:hAnsi="Verdana"/>
          <w:bCs/>
        </w:rPr>
        <w:t xml:space="preserve">En el presente caso la Corte Interamericana de Derechos Humanos (en adelante, “la Corte” o “el Tribunal”) analizó las violaciones a los derechos humanos producidas en el marco de un procedimiento de restitución </w:t>
      </w:r>
      <w:r w:rsidR="002A0587">
        <w:rPr>
          <w:rFonts w:ascii="Verdana" w:hAnsi="Verdana"/>
          <w:bCs/>
        </w:rPr>
        <w:t xml:space="preserve">internacional </w:t>
      </w:r>
      <w:r w:rsidRPr="00E055CB">
        <w:rPr>
          <w:rFonts w:ascii="Verdana" w:hAnsi="Verdana"/>
          <w:bCs/>
        </w:rPr>
        <w:t>de un niño</w:t>
      </w:r>
      <w:r w:rsidR="00B710C6" w:rsidRPr="00E055CB">
        <w:rPr>
          <w:rFonts w:ascii="Verdana" w:hAnsi="Verdana"/>
          <w:bCs/>
        </w:rPr>
        <w:t xml:space="preserve">. </w:t>
      </w:r>
      <w:r w:rsidRPr="00E055CB">
        <w:rPr>
          <w:rFonts w:ascii="Verdana" w:hAnsi="Verdana"/>
          <w:bCs/>
        </w:rPr>
        <w:t>U</w:t>
      </w:r>
      <w:r w:rsidR="005075B9" w:rsidRPr="00E055CB">
        <w:rPr>
          <w:rFonts w:ascii="Verdana" w:hAnsi="Verdana"/>
          <w:bCs/>
        </w:rPr>
        <w:t>na de las</w:t>
      </w:r>
      <w:r w:rsidR="00B710C6" w:rsidRPr="00E055CB">
        <w:rPr>
          <w:rFonts w:ascii="Verdana" w:hAnsi="Verdana"/>
          <w:bCs/>
        </w:rPr>
        <w:t xml:space="preserve"> pregunta</w:t>
      </w:r>
      <w:r w:rsidR="005075B9" w:rsidRPr="00E055CB">
        <w:rPr>
          <w:rFonts w:ascii="Verdana" w:hAnsi="Verdana"/>
          <w:bCs/>
        </w:rPr>
        <w:t>s</w:t>
      </w:r>
      <w:r w:rsidR="00B710C6" w:rsidRPr="00E055CB">
        <w:rPr>
          <w:rFonts w:ascii="Verdana" w:hAnsi="Verdana"/>
          <w:bCs/>
        </w:rPr>
        <w:t xml:space="preserve"> central</w:t>
      </w:r>
      <w:r w:rsidR="005075B9" w:rsidRPr="00E055CB">
        <w:rPr>
          <w:rFonts w:ascii="Verdana" w:hAnsi="Verdana"/>
          <w:bCs/>
        </w:rPr>
        <w:t>es</w:t>
      </w:r>
      <w:r w:rsidR="00B710C6" w:rsidRPr="00E055CB">
        <w:rPr>
          <w:rFonts w:ascii="Verdana" w:hAnsi="Verdana"/>
          <w:bCs/>
        </w:rPr>
        <w:t xml:space="preserve"> del caso constituyó en determinar si Paraguay había adoptado las medidas necesarias para la adecuada implementación de los tratados en materia de restitución internacional de </w:t>
      </w:r>
      <w:r w:rsidRPr="00E055CB">
        <w:rPr>
          <w:rFonts w:ascii="Verdana" w:hAnsi="Verdana"/>
          <w:bCs/>
        </w:rPr>
        <w:t>la niñez</w:t>
      </w:r>
      <w:r w:rsidR="00B710C6" w:rsidRPr="00E055CB">
        <w:rPr>
          <w:rFonts w:ascii="Verdana" w:hAnsi="Verdana"/>
          <w:bCs/>
        </w:rPr>
        <w:t>.</w:t>
      </w:r>
      <w:r w:rsidR="005075B9" w:rsidRPr="00E055CB">
        <w:rPr>
          <w:rFonts w:ascii="Verdana" w:hAnsi="Verdana"/>
          <w:bCs/>
        </w:rPr>
        <w:t xml:space="preserve"> En particular, </w:t>
      </w:r>
      <w:r w:rsidRPr="00E055CB">
        <w:rPr>
          <w:rFonts w:ascii="Verdana" w:hAnsi="Verdana"/>
          <w:bCs/>
        </w:rPr>
        <w:t xml:space="preserve">se analizó </w:t>
      </w:r>
      <w:r w:rsidR="005075B9" w:rsidRPr="00E055CB">
        <w:rPr>
          <w:rFonts w:ascii="Verdana" w:hAnsi="Verdana"/>
          <w:bCs/>
        </w:rPr>
        <w:t xml:space="preserve">si la ausencia de una ley que regulara </w:t>
      </w:r>
      <w:r w:rsidRPr="00E055CB">
        <w:rPr>
          <w:rFonts w:ascii="Verdana" w:hAnsi="Verdana"/>
          <w:bCs/>
        </w:rPr>
        <w:t>el proceso para la restitución</w:t>
      </w:r>
      <w:r w:rsidR="005075B9" w:rsidRPr="00E055CB">
        <w:rPr>
          <w:rFonts w:ascii="Verdana" w:hAnsi="Verdana"/>
          <w:bCs/>
        </w:rPr>
        <w:t xml:space="preserve"> violaba el artículo 2 de la Convención</w:t>
      </w:r>
      <w:r w:rsidRPr="00E055CB">
        <w:rPr>
          <w:rFonts w:ascii="Verdana" w:hAnsi="Verdana"/>
          <w:bCs/>
        </w:rPr>
        <w:t xml:space="preserve"> Americana sobre Derechos Humanos (en adelante, “la Convención” o “la Convención Americana”)</w:t>
      </w:r>
      <w:r w:rsidR="005075B9" w:rsidRPr="00E055CB">
        <w:rPr>
          <w:rFonts w:ascii="Verdana" w:hAnsi="Verdana"/>
          <w:bCs/>
        </w:rPr>
        <w:t>.</w:t>
      </w:r>
      <w:r w:rsidR="00B710C6" w:rsidRPr="00E055CB">
        <w:rPr>
          <w:rFonts w:ascii="Verdana" w:hAnsi="Verdana"/>
          <w:bCs/>
        </w:rPr>
        <w:t xml:space="preserve"> </w:t>
      </w:r>
      <w:r w:rsidR="005075B9" w:rsidRPr="00E055CB">
        <w:rPr>
          <w:rFonts w:ascii="Verdana" w:hAnsi="Verdana"/>
          <w:bCs/>
        </w:rPr>
        <w:t>La Corte</w:t>
      </w:r>
      <w:r w:rsidR="00B710C6" w:rsidRPr="00E055CB">
        <w:rPr>
          <w:rFonts w:ascii="Verdana" w:hAnsi="Verdana"/>
          <w:bCs/>
        </w:rPr>
        <w:t xml:space="preserve"> determinó que </w:t>
      </w:r>
      <w:r w:rsidR="005075B9" w:rsidRPr="00E055CB">
        <w:rPr>
          <w:rFonts w:ascii="Verdana" w:hAnsi="Verdana"/>
          <w:bCs/>
        </w:rPr>
        <w:t>la ausencia de una ley que regulara la materia constituyó una violación del</w:t>
      </w:r>
      <w:r w:rsidR="00786A8F" w:rsidRPr="00E055CB">
        <w:rPr>
          <w:rFonts w:ascii="Verdana" w:hAnsi="Verdana"/>
          <w:bCs/>
        </w:rPr>
        <w:t xml:space="preserve"> deber del Estado de adecuamiento del derecho interno</w:t>
      </w:r>
      <w:r w:rsidR="005075B9" w:rsidRPr="00E055CB">
        <w:rPr>
          <w:rFonts w:ascii="Verdana" w:hAnsi="Verdana"/>
          <w:bCs/>
        </w:rPr>
        <w:t>. En concordancia, se ordenó como medida de reparación la adopción de una ley que regul</w:t>
      </w:r>
      <w:r w:rsidR="002A0587">
        <w:rPr>
          <w:rFonts w:ascii="Verdana" w:hAnsi="Verdana"/>
          <w:bCs/>
        </w:rPr>
        <w:t>e</w:t>
      </w:r>
      <w:r w:rsidR="005075B9" w:rsidRPr="00E055CB">
        <w:rPr>
          <w:rFonts w:ascii="Verdana" w:hAnsi="Verdana"/>
          <w:bCs/>
        </w:rPr>
        <w:t xml:space="preserve"> el proceso de restitución internacional de niñ</w:t>
      </w:r>
      <w:r w:rsidR="007A5847" w:rsidRPr="00E055CB">
        <w:rPr>
          <w:rFonts w:ascii="Verdana" w:hAnsi="Verdana"/>
          <w:bCs/>
        </w:rPr>
        <w:t>a</w:t>
      </w:r>
      <w:r w:rsidR="005075B9" w:rsidRPr="00E055CB">
        <w:rPr>
          <w:rFonts w:ascii="Verdana" w:hAnsi="Verdana"/>
          <w:bCs/>
        </w:rPr>
        <w:t>s, niñ</w:t>
      </w:r>
      <w:r w:rsidR="007A5847" w:rsidRPr="00E055CB">
        <w:rPr>
          <w:rFonts w:ascii="Verdana" w:hAnsi="Verdana"/>
          <w:bCs/>
        </w:rPr>
        <w:t>o</w:t>
      </w:r>
      <w:r w:rsidR="005075B9" w:rsidRPr="00E055CB">
        <w:rPr>
          <w:rFonts w:ascii="Verdana" w:hAnsi="Verdana"/>
          <w:bCs/>
        </w:rPr>
        <w:t xml:space="preserve">s y adolescentes. </w:t>
      </w:r>
    </w:p>
    <w:p w14:paraId="7B5AC1F8" w14:textId="77777777" w:rsidR="005075B9" w:rsidRPr="00E055CB" w:rsidRDefault="005075B9" w:rsidP="00CC0B4C">
      <w:pPr>
        <w:pStyle w:val="Prrafodelista"/>
        <w:ind w:left="0" w:right="615"/>
        <w:rPr>
          <w:rFonts w:ascii="Verdana" w:hAnsi="Verdana"/>
          <w:b/>
        </w:rPr>
      </w:pPr>
    </w:p>
    <w:p w14:paraId="63D04F16" w14:textId="147C879A" w:rsidR="0023596B" w:rsidRPr="00E055CB" w:rsidRDefault="005075B9" w:rsidP="00CC0B4C">
      <w:pPr>
        <w:pStyle w:val="Prrafodelista"/>
        <w:numPr>
          <w:ilvl w:val="0"/>
          <w:numId w:val="1"/>
        </w:numPr>
        <w:ind w:left="0" w:right="615" w:firstLine="0"/>
        <w:jc w:val="both"/>
        <w:rPr>
          <w:rFonts w:ascii="Verdana" w:hAnsi="Verdana"/>
          <w:b/>
        </w:rPr>
      </w:pPr>
      <w:r w:rsidRPr="00E055CB">
        <w:rPr>
          <w:rFonts w:ascii="Verdana" w:hAnsi="Verdana"/>
          <w:bCs/>
        </w:rPr>
        <w:t>El presente voto</w:t>
      </w:r>
      <w:r w:rsidR="00786A8F" w:rsidRPr="00E055CB">
        <w:rPr>
          <w:rFonts w:ascii="Verdana" w:hAnsi="Verdana"/>
          <w:bCs/>
        </w:rPr>
        <w:t xml:space="preserve"> ahonda</w:t>
      </w:r>
      <w:r w:rsidRPr="00E055CB">
        <w:rPr>
          <w:rFonts w:ascii="Verdana" w:hAnsi="Verdana"/>
          <w:bCs/>
        </w:rPr>
        <w:t xml:space="preserve"> en las razones que explican la decisión de la Corte de </w:t>
      </w:r>
      <w:r w:rsidR="00786A8F" w:rsidRPr="00E055CB">
        <w:rPr>
          <w:rFonts w:ascii="Verdana" w:hAnsi="Verdana"/>
          <w:bCs/>
        </w:rPr>
        <w:t xml:space="preserve">declarar la violación del artículo 2 de la Convención, y de </w:t>
      </w:r>
      <w:r w:rsidRPr="00E055CB">
        <w:rPr>
          <w:rFonts w:ascii="Verdana" w:hAnsi="Verdana"/>
          <w:bCs/>
        </w:rPr>
        <w:t xml:space="preserve">adoptar </w:t>
      </w:r>
      <w:r w:rsidR="00786A8F" w:rsidRPr="00E055CB">
        <w:rPr>
          <w:rFonts w:ascii="Verdana" w:hAnsi="Verdana"/>
          <w:bCs/>
        </w:rPr>
        <w:t>la</w:t>
      </w:r>
      <w:r w:rsidRPr="00E055CB">
        <w:rPr>
          <w:rFonts w:ascii="Verdana" w:hAnsi="Verdana"/>
          <w:bCs/>
        </w:rPr>
        <w:t xml:space="preserve"> medida de reparación</w:t>
      </w:r>
      <w:r w:rsidR="00786A8F" w:rsidRPr="00E055CB">
        <w:rPr>
          <w:rFonts w:ascii="Verdana" w:hAnsi="Verdana"/>
          <w:bCs/>
        </w:rPr>
        <w:t xml:space="preserve"> antes señalada</w:t>
      </w:r>
      <w:r w:rsidRPr="00E055CB">
        <w:rPr>
          <w:rFonts w:ascii="Verdana" w:hAnsi="Verdana"/>
          <w:bCs/>
        </w:rPr>
        <w:t xml:space="preserve">. </w:t>
      </w:r>
      <w:r w:rsidR="00786A8F" w:rsidRPr="00E055CB">
        <w:rPr>
          <w:rFonts w:ascii="Verdana" w:hAnsi="Verdana"/>
          <w:bCs/>
        </w:rPr>
        <w:t xml:space="preserve">Para quienes suscriben, no cabe duda de que las acciones del Estado en materia de regulación de </w:t>
      </w:r>
      <w:r w:rsidR="007D3CBD" w:rsidRPr="00E055CB">
        <w:rPr>
          <w:rFonts w:ascii="Verdana" w:hAnsi="Verdana"/>
          <w:bCs/>
        </w:rPr>
        <w:t xml:space="preserve">restitución </w:t>
      </w:r>
      <w:r w:rsidR="002A0587">
        <w:rPr>
          <w:rFonts w:ascii="Verdana" w:hAnsi="Verdana"/>
          <w:bCs/>
        </w:rPr>
        <w:t xml:space="preserve">internacional </w:t>
      </w:r>
      <w:r w:rsidR="00786A8F" w:rsidRPr="00E055CB">
        <w:rPr>
          <w:rFonts w:ascii="Verdana" w:hAnsi="Verdana"/>
          <w:bCs/>
        </w:rPr>
        <w:t xml:space="preserve">de </w:t>
      </w:r>
      <w:r w:rsidR="0023596B" w:rsidRPr="00E055CB">
        <w:rPr>
          <w:rFonts w:ascii="Verdana" w:hAnsi="Verdana"/>
          <w:bCs/>
        </w:rPr>
        <w:t>la niñez</w:t>
      </w:r>
      <w:r w:rsidR="00786A8F" w:rsidRPr="00E055CB">
        <w:rPr>
          <w:rFonts w:ascii="Verdana" w:hAnsi="Verdana"/>
          <w:bCs/>
        </w:rPr>
        <w:t xml:space="preserve"> fueron insuficientes para la protección de los derechos del señor Córdoba</w:t>
      </w:r>
      <w:r w:rsidR="0023596B" w:rsidRPr="00E055CB">
        <w:rPr>
          <w:rFonts w:ascii="Verdana" w:hAnsi="Verdana"/>
          <w:bCs/>
        </w:rPr>
        <w:t xml:space="preserve"> -padre del niño- tal como se refleja en el análisis de la sentencia</w:t>
      </w:r>
      <w:r w:rsidR="00786A8F" w:rsidRPr="00E055CB">
        <w:rPr>
          <w:rFonts w:ascii="Verdana" w:hAnsi="Verdana"/>
          <w:bCs/>
        </w:rPr>
        <w:t xml:space="preserve">. </w:t>
      </w:r>
      <w:r w:rsidR="0023596B" w:rsidRPr="00E055CB">
        <w:rPr>
          <w:rFonts w:ascii="Verdana" w:hAnsi="Verdana"/>
          <w:bCs/>
        </w:rPr>
        <w:t>Esto es así porque</w:t>
      </w:r>
      <w:r w:rsidR="00786A8F" w:rsidRPr="00E055CB">
        <w:rPr>
          <w:rFonts w:ascii="Verdana" w:hAnsi="Verdana"/>
          <w:bCs/>
        </w:rPr>
        <w:t xml:space="preserve"> </w:t>
      </w:r>
      <w:r w:rsidR="0023596B" w:rsidRPr="00E055CB">
        <w:rPr>
          <w:rFonts w:ascii="Verdana" w:hAnsi="Verdana"/>
          <w:bCs/>
        </w:rPr>
        <w:t xml:space="preserve">la </w:t>
      </w:r>
      <w:r w:rsidR="00786A8F" w:rsidRPr="00E055CB">
        <w:rPr>
          <w:rFonts w:ascii="Verdana" w:hAnsi="Verdana"/>
          <w:bCs/>
        </w:rPr>
        <w:t>ausencia de normativa adecuada permitió que las violaciones a los derechos sustantivos en el caso se materializaran,</w:t>
      </w:r>
      <w:r w:rsidR="0023596B" w:rsidRPr="00E055CB">
        <w:rPr>
          <w:rFonts w:ascii="Verdana" w:hAnsi="Verdana"/>
          <w:bCs/>
        </w:rPr>
        <w:t xml:space="preserve"> particularmente del derecho a la familia,</w:t>
      </w:r>
      <w:r w:rsidR="00786A8F" w:rsidRPr="00E055CB">
        <w:rPr>
          <w:rFonts w:ascii="Verdana" w:hAnsi="Verdana"/>
          <w:bCs/>
        </w:rPr>
        <w:t xml:space="preserve"> y es e</w:t>
      </w:r>
      <w:r w:rsidR="0023596B" w:rsidRPr="00E055CB">
        <w:rPr>
          <w:rFonts w:ascii="Verdana" w:hAnsi="Verdana"/>
          <w:bCs/>
        </w:rPr>
        <w:t>n</w:t>
      </w:r>
      <w:r w:rsidR="00786A8F" w:rsidRPr="00E055CB">
        <w:rPr>
          <w:rFonts w:ascii="Verdana" w:hAnsi="Verdana"/>
          <w:bCs/>
        </w:rPr>
        <w:t xml:space="preserve"> este sentido que </w:t>
      </w:r>
      <w:r w:rsidR="0023596B" w:rsidRPr="00E055CB">
        <w:rPr>
          <w:rFonts w:ascii="Verdana" w:hAnsi="Verdana"/>
          <w:bCs/>
        </w:rPr>
        <w:t xml:space="preserve">consideramos que </w:t>
      </w:r>
      <w:r w:rsidR="00786A8F" w:rsidRPr="00E055CB">
        <w:rPr>
          <w:rFonts w:ascii="Verdana" w:hAnsi="Verdana"/>
          <w:bCs/>
        </w:rPr>
        <w:t>resulta indispensable la creación de normas que permitan la eficacia de los derechos</w:t>
      </w:r>
      <w:r w:rsidR="0023596B" w:rsidRPr="00E055CB">
        <w:rPr>
          <w:rFonts w:ascii="Verdana" w:hAnsi="Verdana"/>
          <w:bCs/>
        </w:rPr>
        <w:t xml:space="preserve">, tanto para los padres de personas que deban ser </w:t>
      </w:r>
      <w:r w:rsidR="007D3CBD" w:rsidRPr="00E055CB">
        <w:rPr>
          <w:rFonts w:ascii="Verdana" w:hAnsi="Verdana"/>
          <w:bCs/>
        </w:rPr>
        <w:t>restituidas</w:t>
      </w:r>
      <w:r w:rsidR="002A0587" w:rsidRPr="002A0587">
        <w:rPr>
          <w:rFonts w:ascii="Verdana" w:hAnsi="Verdana"/>
          <w:bCs/>
        </w:rPr>
        <w:t xml:space="preserve"> </w:t>
      </w:r>
      <w:r w:rsidR="002A0587" w:rsidRPr="00E055CB">
        <w:rPr>
          <w:rFonts w:ascii="Verdana" w:hAnsi="Verdana"/>
          <w:bCs/>
        </w:rPr>
        <w:t>como para los hijos</w:t>
      </w:r>
      <w:r w:rsidR="0023596B" w:rsidRPr="00E055CB">
        <w:rPr>
          <w:rFonts w:ascii="Verdana" w:hAnsi="Verdana"/>
          <w:bCs/>
        </w:rPr>
        <w:t>,</w:t>
      </w:r>
      <w:r w:rsidR="00786A8F" w:rsidRPr="00E055CB">
        <w:rPr>
          <w:rFonts w:ascii="Verdana" w:hAnsi="Verdana"/>
          <w:bCs/>
        </w:rPr>
        <w:t xml:space="preserve"> y evitar</w:t>
      </w:r>
      <w:r w:rsidR="0023596B" w:rsidRPr="00E055CB">
        <w:rPr>
          <w:rFonts w:ascii="Verdana" w:hAnsi="Verdana"/>
          <w:bCs/>
        </w:rPr>
        <w:t xml:space="preserve"> así</w:t>
      </w:r>
      <w:r w:rsidR="00786A8F" w:rsidRPr="00E055CB">
        <w:rPr>
          <w:rFonts w:ascii="Verdana" w:hAnsi="Verdana"/>
          <w:bCs/>
        </w:rPr>
        <w:t xml:space="preserve"> que se produzcan </w:t>
      </w:r>
      <w:r w:rsidR="0023596B" w:rsidRPr="00E055CB">
        <w:rPr>
          <w:rFonts w:ascii="Verdana" w:hAnsi="Verdana"/>
          <w:bCs/>
        </w:rPr>
        <w:t xml:space="preserve">nuevamente </w:t>
      </w:r>
      <w:r w:rsidR="00786A8F" w:rsidRPr="00E055CB">
        <w:rPr>
          <w:rFonts w:ascii="Verdana" w:hAnsi="Verdana"/>
          <w:bCs/>
        </w:rPr>
        <w:t xml:space="preserve">situaciones como la ocurrida en el presente caso. </w:t>
      </w:r>
    </w:p>
    <w:p w14:paraId="4976F2E8" w14:textId="77777777" w:rsidR="0023596B" w:rsidRPr="00E055CB" w:rsidRDefault="0023596B" w:rsidP="00CC0B4C">
      <w:pPr>
        <w:pStyle w:val="Prrafodelista"/>
        <w:ind w:left="0" w:right="615"/>
        <w:rPr>
          <w:rFonts w:ascii="Verdana" w:hAnsi="Verdana"/>
          <w:bCs/>
        </w:rPr>
      </w:pPr>
    </w:p>
    <w:p w14:paraId="7351880B" w14:textId="3DEAE4D1" w:rsidR="005075B9" w:rsidRPr="00E055CB" w:rsidRDefault="00786A8F" w:rsidP="00CC0B4C">
      <w:pPr>
        <w:pStyle w:val="Prrafodelista"/>
        <w:numPr>
          <w:ilvl w:val="0"/>
          <w:numId w:val="1"/>
        </w:numPr>
        <w:ind w:left="0" w:right="615" w:firstLine="0"/>
        <w:jc w:val="both"/>
        <w:rPr>
          <w:rFonts w:ascii="Verdana" w:hAnsi="Verdana"/>
          <w:b/>
        </w:rPr>
      </w:pPr>
      <w:r w:rsidRPr="00E055CB">
        <w:rPr>
          <w:rFonts w:ascii="Verdana" w:hAnsi="Verdana"/>
          <w:bCs/>
        </w:rPr>
        <w:t>Para explicar est</w:t>
      </w:r>
      <w:r w:rsidR="0023596B" w:rsidRPr="00E055CB">
        <w:rPr>
          <w:rFonts w:ascii="Verdana" w:hAnsi="Verdana"/>
          <w:bCs/>
        </w:rPr>
        <w:t>e</w:t>
      </w:r>
      <w:r w:rsidRPr="00E055CB">
        <w:rPr>
          <w:rFonts w:ascii="Verdana" w:hAnsi="Verdana"/>
          <w:bCs/>
        </w:rPr>
        <w:t xml:space="preserve"> </w:t>
      </w:r>
      <w:r w:rsidR="0023596B" w:rsidRPr="00E055CB">
        <w:rPr>
          <w:rFonts w:ascii="Verdana" w:hAnsi="Verdana"/>
          <w:bCs/>
        </w:rPr>
        <w:t>criterio mayoritario</w:t>
      </w:r>
      <w:r w:rsidRPr="00E055CB">
        <w:rPr>
          <w:rFonts w:ascii="Verdana" w:hAnsi="Verdana"/>
          <w:bCs/>
        </w:rPr>
        <w:t xml:space="preserve"> </w:t>
      </w:r>
      <w:r w:rsidR="00DB65DF" w:rsidRPr="00E055CB">
        <w:rPr>
          <w:rFonts w:ascii="Verdana" w:hAnsi="Verdana"/>
          <w:bCs/>
        </w:rPr>
        <w:t>abordaremos en nuestro voto dos temas centrales</w:t>
      </w:r>
      <w:r w:rsidRPr="00E055CB">
        <w:rPr>
          <w:rFonts w:ascii="Verdana" w:hAnsi="Verdana"/>
          <w:bCs/>
        </w:rPr>
        <w:t>: primero, nos referiremos al alcance del artículo 2 de la Convención</w:t>
      </w:r>
      <w:r w:rsidR="0023596B" w:rsidRPr="00E055CB">
        <w:rPr>
          <w:rFonts w:ascii="Verdana" w:hAnsi="Verdana"/>
          <w:bCs/>
        </w:rPr>
        <w:t>, para demostrar cómo la decisión de la Corte de analizar una violación al deber de adecuamiento del derecho interno por ausencia de legislación tiene amplio arraigo jurisprudencial</w:t>
      </w:r>
      <w:r w:rsidRPr="00E055CB">
        <w:rPr>
          <w:rFonts w:ascii="Verdana" w:hAnsi="Verdana"/>
          <w:bCs/>
        </w:rPr>
        <w:t xml:space="preserve">. </w:t>
      </w:r>
      <w:r w:rsidR="00DB65DF" w:rsidRPr="00E055CB">
        <w:rPr>
          <w:rFonts w:ascii="Verdana" w:hAnsi="Verdana"/>
          <w:bCs/>
        </w:rPr>
        <w:t>En esta misma lógica</w:t>
      </w:r>
      <w:r w:rsidRPr="00E055CB">
        <w:rPr>
          <w:rFonts w:ascii="Verdana" w:hAnsi="Verdana"/>
          <w:bCs/>
        </w:rPr>
        <w:t>, abordaremos cómo resultaba fundamental la regulación por ley de</w:t>
      </w:r>
      <w:r w:rsidR="0023596B" w:rsidRPr="00E055CB">
        <w:rPr>
          <w:rFonts w:ascii="Verdana" w:hAnsi="Verdana"/>
          <w:bCs/>
        </w:rPr>
        <w:t>l proceso de</w:t>
      </w:r>
      <w:r w:rsidRPr="00E055CB">
        <w:rPr>
          <w:rFonts w:ascii="Verdana" w:hAnsi="Verdana"/>
          <w:bCs/>
        </w:rPr>
        <w:t xml:space="preserve"> repatriación internacional</w:t>
      </w:r>
      <w:r w:rsidR="0023596B" w:rsidRPr="00E055CB">
        <w:rPr>
          <w:rFonts w:ascii="Verdana" w:hAnsi="Verdana"/>
          <w:bCs/>
        </w:rPr>
        <w:t xml:space="preserve"> en el presente caso</w:t>
      </w:r>
      <w:r w:rsidRPr="00E055CB">
        <w:rPr>
          <w:rFonts w:ascii="Verdana" w:hAnsi="Verdana"/>
          <w:bCs/>
        </w:rPr>
        <w:t xml:space="preserve">. </w:t>
      </w:r>
      <w:r w:rsidR="00DB65DF" w:rsidRPr="00E055CB">
        <w:rPr>
          <w:rFonts w:ascii="Verdana" w:hAnsi="Verdana"/>
          <w:bCs/>
        </w:rPr>
        <w:t>Segundo, reflexionaremos sobre la importancia de respetar el plazo razonable en los procesos de restitución internacional.</w:t>
      </w:r>
    </w:p>
    <w:p w14:paraId="19DCFF11" w14:textId="77777777" w:rsidR="0023596B" w:rsidRPr="00E055CB" w:rsidRDefault="0023596B" w:rsidP="00CC0B4C">
      <w:pPr>
        <w:pStyle w:val="Prrafodelista"/>
        <w:ind w:left="0" w:right="615"/>
        <w:jc w:val="both"/>
        <w:rPr>
          <w:rFonts w:ascii="Verdana" w:hAnsi="Verdana"/>
          <w:b/>
        </w:rPr>
      </w:pPr>
    </w:p>
    <w:p w14:paraId="4E31E666" w14:textId="77777777" w:rsidR="00240394" w:rsidRPr="00E055CB" w:rsidRDefault="00240394" w:rsidP="00CC0B4C">
      <w:pPr>
        <w:ind w:right="615"/>
        <w:jc w:val="center"/>
        <w:rPr>
          <w:rFonts w:ascii="Verdana" w:hAnsi="Verdana"/>
          <w:b/>
          <w:sz w:val="20"/>
          <w:szCs w:val="20"/>
        </w:rPr>
      </w:pPr>
      <w:r w:rsidRPr="00E055CB">
        <w:rPr>
          <w:rFonts w:ascii="Verdana" w:hAnsi="Verdana"/>
          <w:b/>
          <w:sz w:val="20"/>
          <w:szCs w:val="20"/>
        </w:rPr>
        <w:t xml:space="preserve">II. </w:t>
      </w:r>
      <w:r w:rsidR="002455F5" w:rsidRPr="00E055CB">
        <w:rPr>
          <w:rFonts w:ascii="Verdana" w:hAnsi="Verdana"/>
          <w:b/>
          <w:sz w:val="20"/>
          <w:szCs w:val="20"/>
        </w:rPr>
        <w:t>LOS ALCANCES DEL ARTÍCULO 2 DE LA CONVENCIÓN AMERICANA EN LA JURISPRUDENCIA DE LA CORTE</w:t>
      </w:r>
    </w:p>
    <w:p w14:paraId="6B60ABDF" w14:textId="77777777" w:rsidR="007E0AEE" w:rsidRPr="00E055CB" w:rsidRDefault="007E0AEE" w:rsidP="00CC0B4C">
      <w:pPr>
        <w:pStyle w:val="Prrafodelista"/>
        <w:ind w:left="0" w:right="615"/>
        <w:contextualSpacing w:val="0"/>
        <w:jc w:val="both"/>
        <w:rPr>
          <w:rFonts w:ascii="Verdana" w:hAnsi="Verdana"/>
        </w:rPr>
      </w:pPr>
    </w:p>
    <w:p w14:paraId="76AE7B86" w14:textId="77777777" w:rsidR="007E0AEE" w:rsidRPr="00E055CB" w:rsidRDefault="007E0AEE" w:rsidP="00CC0B4C">
      <w:pPr>
        <w:pStyle w:val="Prrafodelista"/>
        <w:numPr>
          <w:ilvl w:val="0"/>
          <w:numId w:val="1"/>
        </w:numPr>
        <w:ind w:left="0" w:right="615" w:firstLine="0"/>
        <w:contextualSpacing w:val="0"/>
        <w:jc w:val="both"/>
        <w:rPr>
          <w:rFonts w:ascii="Verdana" w:hAnsi="Verdana"/>
        </w:rPr>
      </w:pPr>
      <w:r w:rsidRPr="00E055CB">
        <w:rPr>
          <w:rFonts w:ascii="Verdana" w:hAnsi="Verdana"/>
        </w:rPr>
        <w:t>El artículo 2 de la Convención Americana señala lo siguiente:</w:t>
      </w:r>
    </w:p>
    <w:p w14:paraId="1EC5CB14" w14:textId="77777777" w:rsidR="007E0AEE" w:rsidRPr="00E055CB" w:rsidRDefault="007E0AEE" w:rsidP="00CC0B4C">
      <w:pPr>
        <w:pStyle w:val="Prrafodelista"/>
        <w:ind w:left="0" w:right="615"/>
        <w:contextualSpacing w:val="0"/>
        <w:jc w:val="both"/>
        <w:rPr>
          <w:rFonts w:ascii="Verdana" w:hAnsi="Verdana"/>
        </w:rPr>
      </w:pPr>
    </w:p>
    <w:p w14:paraId="250C7A6F" w14:textId="77777777" w:rsidR="007E0AEE" w:rsidRPr="0079249C" w:rsidRDefault="007E0AEE" w:rsidP="0079249C">
      <w:pPr>
        <w:ind w:left="708" w:right="1182"/>
        <w:jc w:val="both"/>
        <w:rPr>
          <w:rFonts w:ascii="Verdana" w:hAnsi="Verdana" w:cs="Tahoma"/>
          <w:color w:val="000000"/>
          <w:sz w:val="18"/>
          <w:szCs w:val="18"/>
          <w:lang w:val="es-ES"/>
        </w:rPr>
      </w:pPr>
      <w:r w:rsidRPr="0079249C">
        <w:rPr>
          <w:rFonts w:ascii="Verdana" w:hAnsi="Verdana" w:cs="Tahoma"/>
          <w:color w:val="000000"/>
          <w:sz w:val="18"/>
          <w:szCs w:val="18"/>
          <w:lang w:val="es-ES"/>
        </w:rPr>
        <w:t xml:space="preserve">Artículo 2. Deber de Adoptar Disposiciones de Derecho Interno. Si el ejercicio de los derechos y libertades mencionados en el artículo 1 no estuviere ya garantizado por disposiciones legislativas o de otro carácter, los </w:t>
      </w:r>
      <w:proofErr w:type="gramStart"/>
      <w:r w:rsidRPr="0079249C">
        <w:rPr>
          <w:rFonts w:ascii="Verdana" w:hAnsi="Verdana" w:cs="Tahoma"/>
          <w:color w:val="000000"/>
          <w:sz w:val="18"/>
          <w:szCs w:val="18"/>
          <w:lang w:val="es-ES"/>
        </w:rPr>
        <w:t>Estados Partes</w:t>
      </w:r>
      <w:proofErr w:type="gramEnd"/>
      <w:r w:rsidRPr="0079249C">
        <w:rPr>
          <w:rFonts w:ascii="Verdana" w:hAnsi="Verdana" w:cs="Tahoma"/>
          <w:color w:val="000000"/>
          <w:sz w:val="18"/>
          <w:szCs w:val="18"/>
          <w:lang w:val="es-ES"/>
        </w:rPr>
        <w:t xml:space="preserve"> se comprometen a adoptar, con arreglo a sus procedimientos constitucionales y a las disposiciones de esta Convención, las medidas legislativas o de otro carácter que fueren necesarias para hacer efectivos tales derechos y libertades.</w:t>
      </w:r>
    </w:p>
    <w:p w14:paraId="6AC1C8B1" w14:textId="77777777" w:rsidR="007E0AEE" w:rsidRPr="00E055CB" w:rsidRDefault="007E0AEE" w:rsidP="00CC0B4C">
      <w:pPr>
        <w:pStyle w:val="Prrafodelista"/>
        <w:ind w:left="0" w:right="615"/>
        <w:contextualSpacing w:val="0"/>
        <w:jc w:val="both"/>
        <w:rPr>
          <w:rFonts w:ascii="Verdana" w:hAnsi="Verdana"/>
        </w:rPr>
      </w:pPr>
    </w:p>
    <w:p w14:paraId="273D1C5F" w14:textId="77777777" w:rsidR="003938E7" w:rsidRPr="00E055CB" w:rsidRDefault="007E0AEE" w:rsidP="00CC0B4C">
      <w:pPr>
        <w:pStyle w:val="Prrafodelista"/>
        <w:numPr>
          <w:ilvl w:val="0"/>
          <w:numId w:val="1"/>
        </w:numPr>
        <w:ind w:left="0" w:right="615" w:firstLine="0"/>
        <w:contextualSpacing w:val="0"/>
        <w:jc w:val="both"/>
        <w:rPr>
          <w:rFonts w:ascii="Verdana" w:hAnsi="Verdana"/>
        </w:rPr>
      </w:pPr>
      <w:r w:rsidRPr="00E055CB">
        <w:rPr>
          <w:rFonts w:ascii="Verdana" w:hAnsi="Verdana"/>
        </w:rPr>
        <w:t xml:space="preserve">En relación con este dispositivo, la Corte ha sostenido que “[e]n el derecho de gentes, una norma consuetudinaria prescribe que un Estado que ha celebrado un convenio internacional, debe introducir en su derecho interno las modificaciones necesarias para asegurar la ejecución de las obligaciones asumidas”. Así, el artículo 2 de la Convención establece la obligación general de cada Estado Parte de adecuar su derecho interno a las disposiciones de </w:t>
      </w:r>
      <w:proofErr w:type="gramStart"/>
      <w:r w:rsidRPr="00E055CB">
        <w:rPr>
          <w:rFonts w:ascii="Verdana" w:hAnsi="Verdana"/>
        </w:rPr>
        <w:t>la misma</w:t>
      </w:r>
      <w:proofErr w:type="gramEnd"/>
      <w:r w:rsidRPr="00E055CB">
        <w:rPr>
          <w:rFonts w:ascii="Verdana" w:hAnsi="Verdana"/>
        </w:rPr>
        <w:t xml:space="preserve"> para garantizar los derechos en ella reconocidos, lo cual implica que las medidas de derecho interno han de ser efectivas (principio de </w:t>
      </w:r>
      <w:proofErr w:type="spellStart"/>
      <w:r w:rsidRPr="00E055CB">
        <w:rPr>
          <w:rFonts w:ascii="Verdana" w:hAnsi="Verdana"/>
          <w:i/>
        </w:rPr>
        <w:t>effet</w:t>
      </w:r>
      <w:proofErr w:type="spellEnd"/>
      <w:r w:rsidRPr="00E055CB">
        <w:rPr>
          <w:rFonts w:ascii="Verdana" w:hAnsi="Verdana"/>
          <w:i/>
        </w:rPr>
        <w:t xml:space="preserve"> </w:t>
      </w:r>
      <w:proofErr w:type="spellStart"/>
      <w:r w:rsidRPr="00E055CB">
        <w:rPr>
          <w:rFonts w:ascii="Verdana" w:hAnsi="Verdana"/>
          <w:i/>
        </w:rPr>
        <w:t>utile</w:t>
      </w:r>
      <w:proofErr w:type="spellEnd"/>
      <w:r w:rsidRPr="00E055CB">
        <w:rPr>
          <w:rFonts w:ascii="Verdana" w:hAnsi="Verdana"/>
        </w:rPr>
        <w:t>)</w:t>
      </w:r>
      <w:r w:rsidRPr="00E055CB">
        <w:rPr>
          <w:rFonts w:ascii="Verdana" w:hAnsi="Verdana"/>
          <w:shd w:val="clear" w:color="auto" w:fill="FFFFFF"/>
          <w:vertAlign w:val="superscript"/>
        </w:rPr>
        <w:footnoteReference w:id="1"/>
      </w:r>
      <w:r w:rsidRPr="00E055CB">
        <w:rPr>
          <w:rFonts w:ascii="Verdana" w:hAnsi="Verdana"/>
        </w:rPr>
        <w:t>.</w:t>
      </w:r>
      <w:r w:rsidR="003938E7" w:rsidRPr="00E055CB">
        <w:rPr>
          <w:rFonts w:ascii="Verdana" w:hAnsi="Verdana"/>
        </w:rPr>
        <w:t xml:space="preserve"> </w:t>
      </w:r>
    </w:p>
    <w:p w14:paraId="6E763BD4" w14:textId="77777777" w:rsidR="003938E7" w:rsidRPr="00E055CB" w:rsidRDefault="003938E7" w:rsidP="00CC0B4C">
      <w:pPr>
        <w:pStyle w:val="Prrafodelista"/>
        <w:ind w:left="0" w:right="615"/>
        <w:contextualSpacing w:val="0"/>
        <w:jc w:val="both"/>
        <w:rPr>
          <w:rFonts w:ascii="Verdana" w:hAnsi="Verdana"/>
        </w:rPr>
      </w:pPr>
    </w:p>
    <w:p w14:paraId="48E2339E" w14:textId="348EC7E3" w:rsidR="007E0AEE" w:rsidRPr="00E055CB" w:rsidRDefault="007E0AEE" w:rsidP="00CC0B4C">
      <w:pPr>
        <w:pStyle w:val="Prrafodelista"/>
        <w:numPr>
          <w:ilvl w:val="0"/>
          <w:numId w:val="1"/>
        </w:numPr>
        <w:ind w:left="0" w:right="615" w:firstLine="0"/>
        <w:contextualSpacing w:val="0"/>
        <w:jc w:val="both"/>
        <w:rPr>
          <w:rFonts w:ascii="Verdana" w:hAnsi="Verdana"/>
        </w:rPr>
      </w:pPr>
      <w:r w:rsidRPr="00E055CB">
        <w:rPr>
          <w:rFonts w:ascii="Verdana" w:hAnsi="Verdana"/>
        </w:rPr>
        <w:t xml:space="preserve">De </w:t>
      </w:r>
      <w:r w:rsidR="003938E7" w:rsidRPr="00E055CB">
        <w:rPr>
          <w:rFonts w:ascii="Verdana" w:hAnsi="Verdana"/>
        </w:rPr>
        <w:t xml:space="preserve">este </w:t>
      </w:r>
      <w:r w:rsidRPr="00E055CB">
        <w:rPr>
          <w:rFonts w:ascii="Verdana" w:hAnsi="Verdana"/>
        </w:rPr>
        <w:t>modo que, el deber de adoptar disposiciones de derecho interno se presenta en dos vertientes. Por una parte, la supresión de las normas y prácticas de cualquier naturaleza que entrañen violación a las garantías previstas en la Convención, que desconozcan los derechos allí reconocidos u obstaculicen su ejercicio. Por la otra, la expedición de normas y el desarrollo de prácticas conducentes a la efectiva observancia de dichas garantías”</w:t>
      </w:r>
      <w:r w:rsidRPr="00E055CB">
        <w:rPr>
          <w:rFonts w:ascii="Verdana" w:hAnsi="Verdana"/>
          <w:shd w:val="clear" w:color="auto" w:fill="FFFFFF"/>
          <w:vertAlign w:val="superscript"/>
        </w:rPr>
        <w:footnoteReference w:id="2"/>
      </w:r>
      <w:r w:rsidRPr="00E055CB">
        <w:rPr>
          <w:rFonts w:ascii="Verdana" w:hAnsi="Verdana"/>
        </w:rPr>
        <w:t>. Cabe aclarar que dicha disposición convencional no define cuáles son las medidas pertinentes para la adecuación del derecho interno a la misma, obviamente por depender ello del carácter de la norma que la requiera y las circunstancias de la situación concreta</w:t>
      </w:r>
      <w:r w:rsidRPr="00E055CB">
        <w:rPr>
          <w:rFonts w:ascii="Verdana" w:hAnsi="Verdana"/>
          <w:shd w:val="clear" w:color="auto" w:fill="FFFFFF"/>
          <w:vertAlign w:val="superscript"/>
        </w:rPr>
        <w:footnoteReference w:id="3"/>
      </w:r>
      <w:r w:rsidRPr="00E055CB">
        <w:rPr>
          <w:rFonts w:ascii="Verdana" w:hAnsi="Verdana"/>
        </w:rPr>
        <w:t xml:space="preserve">. </w:t>
      </w:r>
    </w:p>
    <w:p w14:paraId="28E31B20" w14:textId="77777777" w:rsidR="007E0AEE" w:rsidRPr="00E055CB" w:rsidRDefault="007E0AEE" w:rsidP="00CC0B4C">
      <w:pPr>
        <w:pStyle w:val="Prrafodelista"/>
        <w:ind w:left="0" w:right="615"/>
        <w:rPr>
          <w:rFonts w:ascii="Verdana" w:hAnsi="Verdana"/>
        </w:rPr>
      </w:pPr>
    </w:p>
    <w:p w14:paraId="2B947597" w14:textId="77777777" w:rsidR="007E0AEE" w:rsidRPr="00E055CB" w:rsidRDefault="007E0AEE" w:rsidP="00CC0B4C">
      <w:pPr>
        <w:pStyle w:val="Prrafodelista"/>
        <w:numPr>
          <w:ilvl w:val="0"/>
          <w:numId w:val="1"/>
        </w:numPr>
        <w:ind w:left="0" w:right="615" w:firstLine="0"/>
        <w:contextualSpacing w:val="0"/>
        <w:jc w:val="both"/>
        <w:rPr>
          <w:rFonts w:ascii="Verdana" w:hAnsi="Verdana"/>
        </w:rPr>
      </w:pPr>
      <w:r w:rsidRPr="00E055CB">
        <w:rPr>
          <w:rFonts w:ascii="Verdana" w:hAnsi="Verdana"/>
        </w:rPr>
        <w:t>Sobre esa base</w:t>
      </w:r>
      <w:r w:rsidR="00E31134" w:rsidRPr="00E055CB">
        <w:rPr>
          <w:rFonts w:ascii="Verdana" w:hAnsi="Verdana"/>
        </w:rPr>
        <w:t xml:space="preserve"> la Corte ha calificado la responsabilidad del Estado y ordenado modificaciones legislativas cuando en el marco del litigio se ha demostrado que una ley interna es violatoria de los derechos previstos en la Convención, pero también lo ha hecho en casos donde existen omisiones legislativas que implicaron un incumplimiento de las obligaciones internacionales del Estado. Para explicar de manera clara este</w:t>
      </w:r>
      <w:r w:rsidR="003938E7" w:rsidRPr="00E055CB">
        <w:rPr>
          <w:rFonts w:ascii="Verdana" w:hAnsi="Verdana"/>
        </w:rPr>
        <w:t xml:space="preserve"> último</w:t>
      </w:r>
      <w:r w:rsidR="00E31134" w:rsidRPr="00E055CB">
        <w:rPr>
          <w:rFonts w:ascii="Verdana" w:hAnsi="Verdana"/>
        </w:rPr>
        <w:t xml:space="preserve"> punto, a </w:t>
      </w:r>
      <w:r w:rsidR="00C9632D" w:rsidRPr="00E055CB">
        <w:rPr>
          <w:rFonts w:ascii="Verdana" w:hAnsi="Verdana"/>
        </w:rPr>
        <w:t>continuación,</w:t>
      </w:r>
      <w:r w:rsidR="00E31134" w:rsidRPr="00E055CB">
        <w:rPr>
          <w:rFonts w:ascii="Verdana" w:hAnsi="Verdana"/>
        </w:rPr>
        <w:t xml:space="preserve"> nos referiremos a las diferentes formas en que la Corte ha abordado casos que impliquen violaciones al artículo 2 de la Convención. </w:t>
      </w:r>
    </w:p>
    <w:p w14:paraId="796FE8F6" w14:textId="77777777" w:rsidR="007E0AEE" w:rsidRPr="00E055CB" w:rsidRDefault="007E0AEE" w:rsidP="00CC0B4C">
      <w:pPr>
        <w:ind w:right="615"/>
        <w:jc w:val="both"/>
        <w:rPr>
          <w:rFonts w:ascii="Verdana" w:hAnsi="Verdana"/>
          <w:sz w:val="20"/>
          <w:szCs w:val="20"/>
        </w:rPr>
      </w:pPr>
    </w:p>
    <w:p w14:paraId="55490DAB" w14:textId="77777777" w:rsidR="007E0AEE" w:rsidRPr="00E055CB" w:rsidRDefault="00E31134" w:rsidP="00CC0B4C">
      <w:pPr>
        <w:pStyle w:val="Prrafodelista"/>
        <w:ind w:left="0" w:right="615"/>
        <w:contextualSpacing w:val="0"/>
        <w:jc w:val="both"/>
        <w:rPr>
          <w:rFonts w:ascii="Verdana" w:hAnsi="Verdana"/>
          <w:b/>
          <w:i/>
        </w:rPr>
      </w:pPr>
      <w:r w:rsidRPr="00E055CB">
        <w:rPr>
          <w:rFonts w:ascii="Verdana" w:hAnsi="Verdana"/>
          <w:b/>
          <w:i/>
        </w:rPr>
        <w:t>A.</w:t>
      </w:r>
      <w:r w:rsidR="007E0AEE" w:rsidRPr="00E055CB">
        <w:rPr>
          <w:rFonts w:ascii="Verdana" w:hAnsi="Verdana"/>
          <w:b/>
          <w:i/>
        </w:rPr>
        <w:tab/>
        <w:t xml:space="preserve">Infracción al artículo 2 por la mera vigencia de leyes incompatibles con la </w:t>
      </w:r>
      <w:r w:rsidR="003938E7" w:rsidRPr="00E055CB">
        <w:rPr>
          <w:rFonts w:ascii="Verdana" w:hAnsi="Verdana"/>
          <w:b/>
          <w:i/>
        </w:rPr>
        <w:t>Convención</w:t>
      </w:r>
    </w:p>
    <w:p w14:paraId="6E9E2CF7" w14:textId="77777777" w:rsidR="007E0AEE" w:rsidRPr="00E055CB" w:rsidRDefault="007E0AEE" w:rsidP="00CC0B4C">
      <w:pPr>
        <w:pStyle w:val="Prrafodelista"/>
        <w:ind w:left="0" w:right="615"/>
        <w:contextualSpacing w:val="0"/>
        <w:jc w:val="both"/>
        <w:rPr>
          <w:rFonts w:ascii="Verdana" w:hAnsi="Verdana"/>
        </w:rPr>
      </w:pPr>
    </w:p>
    <w:p w14:paraId="452FE363" w14:textId="77777777" w:rsidR="007E0AEE" w:rsidRPr="00E055CB" w:rsidRDefault="007E0AEE" w:rsidP="00CC0B4C">
      <w:pPr>
        <w:pStyle w:val="Prrafodelista"/>
        <w:numPr>
          <w:ilvl w:val="0"/>
          <w:numId w:val="1"/>
        </w:numPr>
        <w:ind w:left="0" w:right="615" w:firstLine="0"/>
        <w:contextualSpacing w:val="0"/>
        <w:jc w:val="both"/>
        <w:rPr>
          <w:rFonts w:ascii="Verdana" w:hAnsi="Verdana"/>
        </w:rPr>
      </w:pPr>
      <w:r w:rsidRPr="00E055CB">
        <w:rPr>
          <w:rFonts w:ascii="Verdana" w:hAnsi="Verdana"/>
        </w:rPr>
        <w:t>En ese orden</w:t>
      </w:r>
      <w:r w:rsidR="003938E7" w:rsidRPr="00E055CB">
        <w:rPr>
          <w:rFonts w:ascii="Verdana" w:hAnsi="Verdana"/>
        </w:rPr>
        <w:t xml:space="preserve"> de ideas</w:t>
      </w:r>
      <w:r w:rsidRPr="00E055CB">
        <w:rPr>
          <w:rFonts w:ascii="Verdana" w:hAnsi="Verdana"/>
        </w:rPr>
        <w:t xml:space="preserve">, la Corte ha señalado la incompatibilidad de disposiciones legales que –por su mera existencia– contravienen los postulados de la CADH, a través de la figura de la nulidad </w:t>
      </w:r>
      <w:r w:rsidRPr="00E055CB">
        <w:rPr>
          <w:rFonts w:ascii="Verdana" w:hAnsi="Verdana"/>
          <w:i/>
        </w:rPr>
        <w:t>ab initio</w:t>
      </w:r>
      <w:r w:rsidRPr="00E055CB">
        <w:rPr>
          <w:rFonts w:ascii="Verdana" w:hAnsi="Verdana"/>
        </w:rPr>
        <w:t xml:space="preserve"> y su consecuente ausencia de efectos jurídicos. </w:t>
      </w:r>
      <w:r w:rsidR="00E31134" w:rsidRPr="00E055CB">
        <w:rPr>
          <w:rFonts w:ascii="Verdana" w:hAnsi="Verdana"/>
        </w:rPr>
        <w:t xml:space="preserve">El </w:t>
      </w:r>
      <w:r w:rsidR="00E31134" w:rsidRPr="00E055CB">
        <w:rPr>
          <w:rFonts w:ascii="Verdana" w:hAnsi="Verdana"/>
        </w:rPr>
        <w:lastRenderedPageBreak/>
        <w:t>efecto más claro de esta aproximación es respecto de</w:t>
      </w:r>
      <w:r w:rsidRPr="00E055CB">
        <w:rPr>
          <w:rFonts w:ascii="Verdana" w:hAnsi="Verdana"/>
        </w:rPr>
        <w:t xml:space="preserve"> aquellos asuntos donde se ha abordado la cuestión de las leyes de amnistía respecto a violaciones graves a derechos humanos.</w:t>
      </w:r>
      <w:r w:rsidR="00E31134" w:rsidRPr="00E055CB">
        <w:rPr>
          <w:rFonts w:ascii="Verdana" w:hAnsi="Verdana"/>
        </w:rPr>
        <w:t xml:space="preserve"> </w:t>
      </w:r>
      <w:r w:rsidRPr="00E055CB">
        <w:rPr>
          <w:rFonts w:ascii="Verdana" w:hAnsi="Verdana"/>
        </w:rPr>
        <w:t xml:space="preserve">De manera ejemplificativa, en los </w:t>
      </w:r>
      <w:r w:rsidRPr="00E055CB">
        <w:rPr>
          <w:rFonts w:ascii="Verdana" w:hAnsi="Verdana"/>
          <w:i/>
        </w:rPr>
        <w:t>Casos Barrios Altos Vs. Perú</w:t>
      </w:r>
      <w:r w:rsidRPr="00E055CB">
        <w:rPr>
          <w:rFonts w:ascii="Verdana" w:hAnsi="Verdana"/>
        </w:rPr>
        <w:t xml:space="preserve">, </w:t>
      </w:r>
      <w:r w:rsidRPr="00E055CB">
        <w:rPr>
          <w:rFonts w:ascii="Verdana" w:hAnsi="Verdana"/>
          <w:i/>
        </w:rPr>
        <w:t>Almonacid Arellano y otros Vs. Chile</w:t>
      </w:r>
      <w:r w:rsidRPr="00E055CB">
        <w:rPr>
          <w:rFonts w:ascii="Verdana" w:hAnsi="Verdana"/>
        </w:rPr>
        <w:t xml:space="preserve"> y</w:t>
      </w:r>
      <w:r w:rsidRPr="00E055CB">
        <w:rPr>
          <w:rFonts w:ascii="Verdana" w:hAnsi="Verdana"/>
          <w:i/>
        </w:rPr>
        <w:t xml:space="preserve"> </w:t>
      </w:r>
      <w:proofErr w:type="spellStart"/>
      <w:r w:rsidRPr="00E055CB">
        <w:rPr>
          <w:rFonts w:ascii="Verdana" w:hAnsi="Verdana"/>
          <w:i/>
        </w:rPr>
        <w:t>Gómes</w:t>
      </w:r>
      <w:proofErr w:type="spellEnd"/>
      <w:r w:rsidRPr="00E055CB">
        <w:rPr>
          <w:rFonts w:ascii="Verdana" w:hAnsi="Verdana"/>
          <w:i/>
        </w:rPr>
        <w:t xml:space="preserve"> Lund y otros (“</w:t>
      </w:r>
      <w:proofErr w:type="spellStart"/>
      <w:r w:rsidRPr="00E055CB">
        <w:rPr>
          <w:rFonts w:ascii="Verdana" w:hAnsi="Verdana"/>
          <w:i/>
        </w:rPr>
        <w:t>Guerrilha</w:t>
      </w:r>
      <w:proofErr w:type="spellEnd"/>
      <w:r w:rsidRPr="00E055CB">
        <w:rPr>
          <w:rFonts w:ascii="Verdana" w:hAnsi="Verdana"/>
          <w:i/>
        </w:rPr>
        <w:t xml:space="preserve"> do </w:t>
      </w:r>
      <w:proofErr w:type="spellStart"/>
      <w:r w:rsidRPr="00E055CB">
        <w:rPr>
          <w:rFonts w:ascii="Verdana" w:hAnsi="Verdana"/>
          <w:i/>
        </w:rPr>
        <w:t>Araguaia</w:t>
      </w:r>
      <w:proofErr w:type="spellEnd"/>
      <w:r w:rsidRPr="00E055CB">
        <w:rPr>
          <w:rFonts w:ascii="Verdana" w:hAnsi="Verdana"/>
          <w:i/>
        </w:rPr>
        <w:t>”) Vs. Brasil</w:t>
      </w:r>
      <w:r w:rsidRPr="00E055CB">
        <w:rPr>
          <w:rFonts w:ascii="Verdana" w:hAnsi="Verdana"/>
        </w:rPr>
        <w:t>, la Corte analizó la compatibilidad de la promulgación y aplicación de diversas leyes de amnistía</w:t>
      </w:r>
      <w:r w:rsidRPr="00E055CB">
        <w:rPr>
          <w:rFonts w:ascii="Verdana" w:hAnsi="Verdana"/>
          <w:shd w:val="clear" w:color="auto" w:fill="FFFFFF"/>
          <w:vertAlign w:val="superscript"/>
        </w:rPr>
        <w:footnoteReference w:id="4"/>
      </w:r>
      <w:r w:rsidRPr="00E055CB">
        <w:rPr>
          <w:rFonts w:ascii="Verdana" w:hAnsi="Verdana"/>
        </w:rPr>
        <w:t>. En ese sentido, el Tribunal sostuvo que resultan inadmisibles las disposiciones de amnistía, las disposiciones de prescripción y el establecimiento de excluyentes de responsabilidad que pretendan impedir la investigación y sanción de los responsables de las violaciones graves de los derechos humanos</w:t>
      </w:r>
      <w:r w:rsidRPr="00E055CB">
        <w:rPr>
          <w:rFonts w:ascii="Verdana" w:hAnsi="Verdana"/>
          <w:shd w:val="clear" w:color="auto" w:fill="FFFFFF"/>
          <w:vertAlign w:val="superscript"/>
        </w:rPr>
        <w:footnoteReference w:id="5"/>
      </w:r>
      <w:r w:rsidRPr="00E055CB">
        <w:rPr>
          <w:rFonts w:ascii="Verdana" w:hAnsi="Verdana"/>
        </w:rPr>
        <w:t>.</w:t>
      </w:r>
      <w:r w:rsidR="00E31134" w:rsidRPr="00E055CB">
        <w:rPr>
          <w:rFonts w:ascii="Verdana" w:hAnsi="Verdana"/>
        </w:rPr>
        <w:t xml:space="preserve"> </w:t>
      </w:r>
      <w:r w:rsidRPr="00E055CB">
        <w:rPr>
          <w:rFonts w:ascii="Verdana" w:hAnsi="Verdana"/>
        </w:rPr>
        <w:t xml:space="preserve">Conforme a lo anterior, la Corte consideró que tales leyes carecían de efectos jurídicos en virtud de su manifiesta incompatibilidad con la Convención Americana y, </w:t>
      </w:r>
      <w:r w:rsidRPr="00E055CB">
        <w:rPr>
          <w:rFonts w:ascii="Verdana" w:hAnsi="Verdana"/>
          <w:iCs/>
        </w:rPr>
        <w:t>por sí mismas</w:t>
      </w:r>
      <w:r w:rsidRPr="00E055CB">
        <w:rPr>
          <w:rFonts w:ascii="Verdana" w:hAnsi="Verdana"/>
        </w:rPr>
        <w:t>, constituían una infracción al artículo 2 de la CADH</w:t>
      </w:r>
      <w:r w:rsidRPr="00E055CB">
        <w:rPr>
          <w:rFonts w:ascii="Verdana" w:hAnsi="Verdana"/>
          <w:shd w:val="clear" w:color="auto" w:fill="FFFFFF"/>
          <w:vertAlign w:val="superscript"/>
        </w:rPr>
        <w:footnoteReference w:id="6"/>
      </w:r>
      <w:r w:rsidRPr="00E055CB">
        <w:rPr>
          <w:rFonts w:ascii="Verdana" w:hAnsi="Verdana"/>
        </w:rPr>
        <w:t xml:space="preserve">. </w:t>
      </w:r>
    </w:p>
    <w:p w14:paraId="593316EB" w14:textId="77777777" w:rsidR="007E0AEE" w:rsidRPr="00E055CB" w:rsidRDefault="007E0AEE" w:rsidP="00CC0B4C">
      <w:pPr>
        <w:pStyle w:val="Prrafodelista"/>
        <w:ind w:left="0" w:right="615"/>
        <w:contextualSpacing w:val="0"/>
        <w:jc w:val="both"/>
        <w:rPr>
          <w:rFonts w:ascii="Verdana" w:hAnsi="Verdana"/>
        </w:rPr>
      </w:pPr>
    </w:p>
    <w:p w14:paraId="180319ED" w14:textId="3FED4DEE" w:rsidR="007E0AEE" w:rsidRPr="00E055CB" w:rsidRDefault="006B5F52" w:rsidP="00CC0B4C">
      <w:pPr>
        <w:pStyle w:val="Prrafodelista"/>
        <w:numPr>
          <w:ilvl w:val="0"/>
          <w:numId w:val="1"/>
        </w:numPr>
        <w:ind w:left="0" w:right="615" w:firstLine="0"/>
        <w:contextualSpacing w:val="0"/>
        <w:jc w:val="both"/>
        <w:rPr>
          <w:rFonts w:ascii="Verdana" w:hAnsi="Verdana"/>
        </w:rPr>
      </w:pPr>
      <w:r w:rsidRPr="00E055CB">
        <w:rPr>
          <w:rFonts w:ascii="Verdana" w:hAnsi="Verdana"/>
        </w:rPr>
        <w:t xml:space="preserve">El caso de las leyes de amnistía puede ser considerado como el aspecto de mayor gravedad </w:t>
      </w:r>
      <w:r w:rsidR="003938E7" w:rsidRPr="00E055CB">
        <w:rPr>
          <w:rFonts w:ascii="Verdana" w:hAnsi="Verdana"/>
        </w:rPr>
        <w:t xml:space="preserve">-y fuerza normativa- </w:t>
      </w:r>
      <w:r w:rsidRPr="00E055CB">
        <w:rPr>
          <w:rFonts w:ascii="Verdana" w:hAnsi="Verdana"/>
        </w:rPr>
        <w:t xml:space="preserve">que se </w:t>
      </w:r>
      <w:proofErr w:type="gramStart"/>
      <w:r w:rsidRPr="00E055CB">
        <w:rPr>
          <w:rFonts w:ascii="Verdana" w:hAnsi="Verdana"/>
        </w:rPr>
        <w:t>le</w:t>
      </w:r>
      <w:proofErr w:type="gramEnd"/>
      <w:r w:rsidRPr="00E055CB">
        <w:rPr>
          <w:rFonts w:ascii="Verdana" w:hAnsi="Verdana"/>
        </w:rPr>
        <w:t xml:space="preserve"> ha dado a los efectos del artículo 2 de la Convención. No solo ha implicado la declaración de responsabilidad internacional del Estado por la existencia de una norma, sino que también se ha establecido la nulidad de esas normas como una cuestión de derecho internacional. En un sentido similar, </w:t>
      </w:r>
      <w:r w:rsidR="007E0AEE" w:rsidRPr="00E055CB">
        <w:rPr>
          <w:rFonts w:ascii="Verdana" w:hAnsi="Verdana"/>
        </w:rPr>
        <w:t xml:space="preserve">la Corte ha señalado que, por su carácter especialmente grave y manifiestamente violatorio, existen otro tipo de disposiciones legales que por su </w:t>
      </w:r>
      <w:r w:rsidR="007E0AEE" w:rsidRPr="00E055CB">
        <w:rPr>
          <w:rFonts w:ascii="Verdana" w:hAnsi="Verdana"/>
          <w:iCs/>
        </w:rPr>
        <w:t>sola vigencia</w:t>
      </w:r>
      <w:r w:rsidR="007E0AEE" w:rsidRPr="00E055CB">
        <w:rPr>
          <w:rFonts w:ascii="Verdana" w:hAnsi="Verdana"/>
        </w:rPr>
        <w:t xml:space="preserve"> en el ordenamiento jurídico constituyen un incumplimiento al deber de adoptar disposiciones de derecho interno. </w:t>
      </w:r>
      <w:r w:rsidRPr="00E055CB">
        <w:rPr>
          <w:rFonts w:ascii="Verdana" w:hAnsi="Verdana"/>
        </w:rPr>
        <w:t xml:space="preserve">En estos casos no se ha establecido la nulidad directa, pero sí se ha hecho un fuerte reproche al Estado -sobre la base del artículo 2 de la Convención- por la existencia de estas normas y se ha ordenado su modificación. </w:t>
      </w:r>
      <w:r w:rsidR="007E0AEE" w:rsidRPr="00E055CB">
        <w:rPr>
          <w:rFonts w:ascii="Verdana" w:hAnsi="Verdana"/>
        </w:rPr>
        <w:t>Concretamente</w:t>
      </w:r>
      <w:r w:rsidRPr="00E055CB">
        <w:rPr>
          <w:rFonts w:ascii="Verdana" w:hAnsi="Verdana"/>
        </w:rPr>
        <w:t xml:space="preserve"> podemos observar esta aproximación</w:t>
      </w:r>
      <w:r w:rsidR="007E0AEE" w:rsidRPr="00E055CB">
        <w:rPr>
          <w:rFonts w:ascii="Verdana" w:hAnsi="Verdana"/>
        </w:rPr>
        <w:t xml:space="preserve"> en lo referente a las normas que autorizan la </w:t>
      </w:r>
      <w:r w:rsidR="007E0AEE" w:rsidRPr="00E055CB">
        <w:rPr>
          <w:rFonts w:ascii="Verdana" w:hAnsi="Verdana"/>
        </w:rPr>
        <w:lastRenderedPageBreak/>
        <w:t>imposición obligatoria de la pena de muerte</w:t>
      </w:r>
      <w:r w:rsidR="007E0AEE" w:rsidRPr="00E055CB">
        <w:rPr>
          <w:rFonts w:ascii="Verdana" w:hAnsi="Verdana"/>
          <w:shd w:val="clear" w:color="auto" w:fill="FFFFFF"/>
          <w:vertAlign w:val="superscript"/>
        </w:rPr>
        <w:footnoteReference w:id="7"/>
      </w:r>
      <w:r w:rsidR="007E0AEE" w:rsidRPr="00E055CB">
        <w:rPr>
          <w:rFonts w:ascii="Verdana" w:hAnsi="Verdana"/>
        </w:rPr>
        <w:t>,</w:t>
      </w:r>
      <w:r w:rsidRPr="00E055CB">
        <w:rPr>
          <w:rFonts w:ascii="Verdana" w:hAnsi="Verdana"/>
        </w:rPr>
        <w:t xml:space="preserve"> o</w:t>
      </w:r>
      <w:r w:rsidR="007E0AEE" w:rsidRPr="00E055CB">
        <w:rPr>
          <w:rFonts w:ascii="Verdana" w:hAnsi="Verdana"/>
        </w:rPr>
        <w:t xml:space="preserve"> las normas que autorizan la detención con fines de investigación fuera del proceso penal</w:t>
      </w:r>
      <w:r w:rsidR="007E0AEE" w:rsidRPr="00E055CB">
        <w:rPr>
          <w:rFonts w:ascii="Verdana" w:hAnsi="Verdana"/>
          <w:shd w:val="clear" w:color="auto" w:fill="FFFFFF"/>
          <w:vertAlign w:val="superscript"/>
        </w:rPr>
        <w:footnoteReference w:id="8"/>
      </w:r>
      <w:r w:rsidR="007E0AEE" w:rsidRPr="00E055CB">
        <w:rPr>
          <w:rFonts w:ascii="Verdana" w:hAnsi="Verdana"/>
        </w:rPr>
        <w:t>.</w:t>
      </w:r>
    </w:p>
    <w:p w14:paraId="4A0669CC" w14:textId="77777777" w:rsidR="007E0AEE" w:rsidRPr="00E055CB" w:rsidRDefault="007E0AEE" w:rsidP="00CC0B4C">
      <w:pPr>
        <w:pStyle w:val="Prrafodelista"/>
        <w:ind w:left="0" w:right="615"/>
        <w:contextualSpacing w:val="0"/>
        <w:jc w:val="both"/>
        <w:rPr>
          <w:rFonts w:ascii="Verdana" w:hAnsi="Verdana"/>
        </w:rPr>
      </w:pPr>
    </w:p>
    <w:p w14:paraId="731582A2" w14:textId="77777777" w:rsidR="007E0AEE" w:rsidRPr="00E055CB" w:rsidRDefault="006B5F52" w:rsidP="00CC0B4C">
      <w:pPr>
        <w:pStyle w:val="Prrafodelista"/>
        <w:ind w:left="0" w:right="615"/>
        <w:contextualSpacing w:val="0"/>
        <w:jc w:val="both"/>
        <w:rPr>
          <w:rFonts w:ascii="Verdana" w:hAnsi="Verdana"/>
          <w:b/>
          <w:i/>
        </w:rPr>
      </w:pPr>
      <w:r w:rsidRPr="00E055CB">
        <w:rPr>
          <w:rFonts w:ascii="Verdana" w:hAnsi="Verdana"/>
          <w:b/>
          <w:i/>
        </w:rPr>
        <w:t>B.</w:t>
      </w:r>
      <w:r w:rsidR="007E0AEE" w:rsidRPr="00E055CB">
        <w:rPr>
          <w:rFonts w:ascii="Verdana" w:hAnsi="Verdana"/>
          <w:b/>
          <w:i/>
        </w:rPr>
        <w:tab/>
        <w:t xml:space="preserve">Infracción al artículo 2 por la aplicación de leyes incompatibles con la </w:t>
      </w:r>
      <w:r w:rsidR="003938E7" w:rsidRPr="00E055CB">
        <w:rPr>
          <w:rFonts w:ascii="Verdana" w:hAnsi="Verdana"/>
          <w:b/>
          <w:i/>
        </w:rPr>
        <w:t>Convención</w:t>
      </w:r>
    </w:p>
    <w:p w14:paraId="1B4184A7" w14:textId="77777777" w:rsidR="007E0AEE" w:rsidRPr="00E055CB" w:rsidRDefault="007E0AEE" w:rsidP="00CC0B4C">
      <w:pPr>
        <w:pStyle w:val="Prrafodelista"/>
        <w:ind w:left="0" w:right="615"/>
        <w:contextualSpacing w:val="0"/>
        <w:jc w:val="both"/>
        <w:rPr>
          <w:rFonts w:ascii="Verdana" w:hAnsi="Verdana"/>
        </w:rPr>
      </w:pPr>
    </w:p>
    <w:p w14:paraId="3B8AC1A0" w14:textId="530A7D1E" w:rsidR="003938E7" w:rsidRPr="00E055CB" w:rsidRDefault="007E0AEE" w:rsidP="00CC0B4C">
      <w:pPr>
        <w:pStyle w:val="Prrafodelista"/>
        <w:numPr>
          <w:ilvl w:val="0"/>
          <w:numId w:val="1"/>
        </w:numPr>
        <w:ind w:left="0" w:right="615" w:firstLine="0"/>
        <w:contextualSpacing w:val="0"/>
        <w:jc w:val="both"/>
        <w:rPr>
          <w:rFonts w:ascii="Verdana" w:hAnsi="Verdana"/>
        </w:rPr>
      </w:pPr>
      <w:r w:rsidRPr="00E055CB">
        <w:rPr>
          <w:rFonts w:ascii="Verdana" w:eastAsia="Verdana" w:hAnsi="Verdana" w:cs="Verdana"/>
        </w:rPr>
        <w:t>En lo referente al análisis que la Corte ha realizado sobre normas internas que, una vez aplicadas en el marco fáctico del caso sometido a su jurisdicción, resultaron contrarias al artículo 2 de la Convención, debe indicarse que el abordaje tradicional parte de la premisa que</w:t>
      </w:r>
      <w:r w:rsidR="006B5F52" w:rsidRPr="00E055CB">
        <w:rPr>
          <w:rFonts w:ascii="Verdana" w:eastAsia="Verdana" w:hAnsi="Verdana" w:cs="Verdana"/>
        </w:rPr>
        <w:t xml:space="preserve"> “la</w:t>
      </w:r>
      <w:r w:rsidRPr="00E055CB">
        <w:rPr>
          <w:rFonts w:ascii="Verdana" w:eastAsia="Verdana" w:hAnsi="Verdana" w:cs="Verdana"/>
        </w:rPr>
        <w:t xml:space="preserve"> competencia contenciosa de la Corte no tiene por objeto la revisión de las legislaciones nacionales en abstracto, sino que es ejercida para resolver casos concretos en que se alegue que un acto u omisión del Estado, ejecutado contra personas determinadas, es contrario a la Convención</w:t>
      </w:r>
      <w:r w:rsidR="006B5F52" w:rsidRPr="00E055CB">
        <w:rPr>
          <w:rFonts w:ascii="Verdana" w:eastAsia="Verdana" w:hAnsi="Verdana" w:cs="Verdana"/>
        </w:rPr>
        <w:t>”. De esta forma, al conocer el fondo del asunto</w:t>
      </w:r>
      <w:r w:rsidR="003938E7" w:rsidRPr="00E055CB">
        <w:rPr>
          <w:rFonts w:ascii="Verdana" w:eastAsia="Verdana" w:hAnsi="Verdana" w:cs="Verdana"/>
        </w:rPr>
        <w:t>,</w:t>
      </w:r>
      <w:r w:rsidR="006B5F52" w:rsidRPr="00E055CB">
        <w:rPr>
          <w:rFonts w:ascii="Verdana" w:eastAsia="Verdana" w:hAnsi="Verdana" w:cs="Verdana"/>
        </w:rPr>
        <w:t xml:space="preserve"> la Corte examina “</w:t>
      </w:r>
      <w:r w:rsidRPr="00E055CB">
        <w:rPr>
          <w:rFonts w:ascii="Verdana" w:eastAsia="Verdana" w:hAnsi="Verdana" w:cs="Verdana"/>
        </w:rPr>
        <w:t>si la conducta del Estado se ajustó o no a la Convención en relación con la legislación vigente al momento de los hechos”</w:t>
      </w:r>
      <w:r w:rsidRPr="00E055CB">
        <w:rPr>
          <w:rFonts w:ascii="Verdana" w:hAnsi="Verdana"/>
          <w:vertAlign w:val="superscript"/>
        </w:rPr>
        <w:footnoteReference w:id="9"/>
      </w:r>
      <w:r w:rsidRPr="00E055CB">
        <w:rPr>
          <w:rFonts w:ascii="Verdana" w:eastAsia="Verdana" w:hAnsi="Verdana" w:cs="Verdana"/>
        </w:rPr>
        <w:t>.</w:t>
      </w:r>
      <w:r w:rsidR="00B050A4" w:rsidRPr="00E055CB">
        <w:rPr>
          <w:rFonts w:ascii="Verdana" w:hAnsi="Verdana"/>
        </w:rPr>
        <w:t xml:space="preserve"> </w:t>
      </w:r>
    </w:p>
    <w:p w14:paraId="5532F17D" w14:textId="77777777" w:rsidR="003938E7" w:rsidRPr="00E055CB" w:rsidRDefault="003938E7" w:rsidP="00CC0B4C">
      <w:pPr>
        <w:pStyle w:val="Prrafodelista"/>
        <w:ind w:left="0" w:right="615"/>
        <w:contextualSpacing w:val="0"/>
        <w:jc w:val="both"/>
        <w:rPr>
          <w:rFonts w:ascii="Verdana" w:hAnsi="Verdana"/>
        </w:rPr>
      </w:pPr>
    </w:p>
    <w:p w14:paraId="1E672480" w14:textId="419C34B5" w:rsidR="007E0AEE" w:rsidRPr="00E055CB" w:rsidRDefault="007E0AEE" w:rsidP="00CC0B4C">
      <w:pPr>
        <w:pStyle w:val="Prrafodelista"/>
        <w:numPr>
          <w:ilvl w:val="0"/>
          <w:numId w:val="1"/>
        </w:numPr>
        <w:ind w:left="0" w:right="615" w:firstLine="0"/>
        <w:contextualSpacing w:val="0"/>
        <w:jc w:val="both"/>
        <w:rPr>
          <w:rFonts w:ascii="Verdana" w:hAnsi="Verdana"/>
        </w:rPr>
      </w:pPr>
      <w:r w:rsidRPr="00E055CB">
        <w:rPr>
          <w:rFonts w:ascii="Verdana" w:eastAsia="Verdana" w:hAnsi="Verdana" w:cs="Verdana"/>
        </w:rPr>
        <w:t>Este enfoque puede observarse con gran amplitud en casos relacionados con las garantías judicial</w:t>
      </w:r>
      <w:r w:rsidR="00A274E4" w:rsidRPr="00E055CB">
        <w:rPr>
          <w:rFonts w:ascii="Verdana" w:eastAsia="Verdana" w:hAnsi="Verdana" w:cs="Verdana"/>
        </w:rPr>
        <w:t>es</w:t>
      </w:r>
      <w:r w:rsidRPr="00E055CB">
        <w:rPr>
          <w:rFonts w:ascii="Verdana" w:eastAsia="Verdana" w:hAnsi="Verdana" w:cs="Verdana"/>
        </w:rPr>
        <w:t xml:space="preserve"> y su relación con el debido proceso, así como el derecho a contar con un recurso judicial efectivo</w:t>
      </w:r>
      <w:r w:rsidR="00B050A4" w:rsidRPr="00E055CB">
        <w:rPr>
          <w:rFonts w:ascii="Verdana" w:hAnsi="Verdana"/>
          <w:shd w:val="clear" w:color="auto" w:fill="FFFFFF"/>
          <w:vertAlign w:val="superscript"/>
        </w:rPr>
        <w:footnoteReference w:id="10"/>
      </w:r>
      <w:r w:rsidRPr="00E055CB">
        <w:rPr>
          <w:rFonts w:ascii="Verdana" w:eastAsia="Verdana" w:hAnsi="Verdana" w:cs="Verdana"/>
        </w:rPr>
        <w:t>.</w:t>
      </w:r>
      <w:r w:rsidR="003938E7" w:rsidRPr="00E055CB">
        <w:rPr>
          <w:rFonts w:ascii="Verdana" w:hAnsi="Verdana"/>
        </w:rPr>
        <w:t xml:space="preserve"> </w:t>
      </w:r>
      <w:r w:rsidRPr="00E055CB">
        <w:rPr>
          <w:rFonts w:ascii="Verdana" w:eastAsia="Verdana" w:hAnsi="Verdana" w:cs="Verdana"/>
        </w:rPr>
        <w:t xml:space="preserve">Muestra de lo anterior son los asuntos relativos a la extensión del fuero castrense a delitos que no tienen estricta conexión con la disciplina </w:t>
      </w:r>
      <w:r w:rsidRPr="00E055CB">
        <w:rPr>
          <w:rFonts w:ascii="Verdana" w:eastAsia="Verdana" w:hAnsi="Verdana" w:cs="Verdana"/>
        </w:rPr>
        <w:lastRenderedPageBreak/>
        <w:t>militar</w:t>
      </w:r>
      <w:r w:rsidRPr="00E055CB">
        <w:rPr>
          <w:rFonts w:ascii="Verdana" w:hAnsi="Verdana"/>
          <w:vertAlign w:val="superscript"/>
        </w:rPr>
        <w:footnoteReference w:id="11"/>
      </w:r>
      <w:r w:rsidR="00B050A4" w:rsidRPr="00E055CB">
        <w:rPr>
          <w:rFonts w:ascii="Verdana" w:eastAsia="Verdana" w:hAnsi="Verdana" w:cs="Verdana"/>
        </w:rPr>
        <w:t>;</w:t>
      </w:r>
      <w:r w:rsidRPr="00E055CB">
        <w:rPr>
          <w:rFonts w:ascii="Verdana" w:eastAsia="Verdana" w:hAnsi="Verdana" w:cs="Verdana"/>
        </w:rPr>
        <w:t xml:space="preserve"> al principio de taxatividad en la tipificación de delitos</w:t>
      </w:r>
      <w:r w:rsidRPr="00E055CB">
        <w:rPr>
          <w:rFonts w:ascii="Verdana" w:hAnsi="Verdana"/>
          <w:vertAlign w:val="superscript"/>
        </w:rPr>
        <w:footnoteReference w:id="12"/>
      </w:r>
      <w:r w:rsidR="00B050A4" w:rsidRPr="00E055CB">
        <w:rPr>
          <w:rFonts w:ascii="Verdana" w:eastAsia="Verdana" w:hAnsi="Verdana" w:cs="Verdana"/>
        </w:rPr>
        <w:t>;</w:t>
      </w:r>
      <w:r w:rsidRPr="00E055CB">
        <w:rPr>
          <w:rFonts w:ascii="Verdana" w:eastAsia="Verdana" w:hAnsi="Verdana" w:cs="Verdana"/>
        </w:rPr>
        <w:t xml:space="preserve"> el establecimiento de tipos penales discriminatorios</w:t>
      </w:r>
      <w:r w:rsidRPr="00E055CB">
        <w:rPr>
          <w:rFonts w:ascii="Verdana" w:hAnsi="Verdana"/>
          <w:vertAlign w:val="superscript"/>
        </w:rPr>
        <w:footnoteReference w:id="13"/>
      </w:r>
      <w:r w:rsidRPr="00E055CB">
        <w:rPr>
          <w:rFonts w:ascii="Verdana" w:eastAsia="Verdana" w:hAnsi="Verdana" w:cs="Verdana"/>
        </w:rPr>
        <w:t>, que vulneran el principio de presunción de inocencia con motivo de una presunción legal establecida en su formulación</w:t>
      </w:r>
      <w:r w:rsidRPr="00E055CB">
        <w:rPr>
          <w:rFonts w:ascii="Verdana" w:hAnsi="Verdana"/>
          <w:shd w:val="clear" w:color="auto" w:fill="FFFFFF"/>
          <w:vertAlign w:val="superscript"/>
        </w:rPr>
        <w:footnoteReference w:id="14"/>
      </w:r>
      <w:r w:rsidR="003938E7" w:rsidRPr="00E055CB">
        <w:rPr>
          <w:rFonts w:ascii="Verdana" w:eastAsia="Verdana" w:hAnsi="Verdana" w:cs="Verdana"/>
        </w:rPr>
        <w:t>,</w:t>
      </w:r>
      <w:r w:rsidRPr="00E055CB">
        <w:rPr>
          <w:rFonts w:ascii="Verdana" w:eastAsia="Verdana" w:hAnsi="Verdana" w:cs="Verdana"/>
        </w:rPr>
        <w:t xml:space="preserve"> o que no resultan adecuados para sancionar actos constitutivos de tortura</w:t>
      </w:r>
      <w:r w:rsidRPr="00E055CB">
        <w:rPr>
          <w:rFonts w:ascii="Verdana" w:hAnsi="Verdana"/>
          <w:shd w:val="clear" w:color="auto" w:fill="FFFFFF"/>
          <w:vertAlign w:val="superscript"/>
        </w:rPr>
        <w:footnoteReference w:id="15"/>
      </w:r>
      <w:r w:rsidR="00B050A4" w:rsidRPr="00E055CB">
        <w:rPr>
          <w:rFonts w:ascii="Verdana" w:eastAsia="Verdana" w:hAnsi="Verdana" w:cs="Verdana"/>
        </w:rPr>
        <w:t>;</w:t>
      </w:r>
      <w:r w:rsidRPr="00E055CB">
        <w:rPr>
          <w:rFonts w:ascii="Verdana" w:eastAsia="Verdana" w:hAnsi="Verdana" w:cs="Verdana"/>
        </w:rPr>
        <w:t xml:space="preserve"> la falta de certeza y claridad de la procedencia del recurso idóneo con motivo de una regulación contradictoria y confusa</w:t>
      </w:r>
      <w:r w:rsidRPr="00E055CB">
        <w:rPr>
          <w:rFonts w:ascii="Verdana" w:hAnsi="Verdana"/>
          <w:shd w:val="clear" w:color="auto" w:fill="FFFFFF"/>
          <w:vertAlign w:val="superscript"/>
        </w:rPr>
        <w:footnoteReference w:id="16"/>
      </w:r>
      <w:r w:rsidRPr="00E055CB">
        <w:rPr>
          <w:rFonts w:ascii="Verdana" w:eastAsia="Verdana" w:hAnsi="Verdana" w:cs="Verdana"/>
        </w:rPr>
        <w:t>,</w:t>
      </w:r>
      <w:r w:rsidR="00B050A4" w:rsidRPr="00E055CB">
        <w:rPr>
          <w:rFonts w:ascii="Verdana" w:eastAsia="Verdana" w:hAnsi="Verdana" w:cs="Verdana"/>
        </w:rPr>
        <w:t xml:space="preserve"> o</w:t>
      </w:r>
      <w:r w:rsidRPr="00E055CB">
        <w:rPr>
          <w:rFonts w:ascii="Verdana" w:eastAsia="Verdana" w:hAnsi="Verdana" w:cs="Verdana"/>
        </w:rPr>
        <w:t xml:space="preserve"> la prescripción de la acción penal en conductas que constituyen formas contemporáneas de esclavitud</w:t>
      </w:r>
      <w:r w:rsidRPr="00E055CB">
        <w:rPr>
          <w:rFonts w:ascii="Verdana" w:hAnsi="Verdana"/>
          <w:shd w:val="clear" w:color="auto" w:fill="FFFFFF"/>
          <w:vertAlign w:val="superscript"/>
        </w:rPr>
        <w:footnoteReference w:id="17"/>
      </w:r>
      <w:r w:rsidRPr="00E055CB">
        <w:rPr>
          <w:rFonts w:ascii="Verdana" w:eastAsia="Verdana" w:hAnsi="Verdana" w:cs="Verdana"/>
        </w:rPr>
        <w:t>, entre otros.</w:t>
      </w:r>
    </w:p>
    <w:p w14:paraId="75EFFF0A" w14:textId="77777777" w:rsidR="007E0AEE" w:rsidRPr="00E055CB" w:rsidRDefault="007E0AEE" w:rsidP="00CC0B4C">
      <w:pPr>
        <w:pStyle w:val="Prrafodelista"/>
        <w:ind w:left="0" w:right="615"/>
        <w:contextualSpacing w:val="0"/>
        <w:jc w:val="both"/>
        <w:rPr>
          <w:rFonts w:ascii="Verdana" w:hAnsi="Verdana"/>
        </w:rPr>
      </w:pPr>
    </w:p>
    <w:p w14:paraId="131819D9" w14:textId="3B32FCFE" w:rsidR="00AD7F87" w:rsidRPr="00E055CB" w:rsidRDefault="00C9632D" w:rsidP="00CC0B4C">
      <w:pPr>
        <w:pStyle w:val="Prrafodelista"/>
        <w:numPr>
          <w:ilvl w:val="0"/>
          <w:numId w:val="1"/>
        </w:numPr>
        <w:ind w:left="0" w:right="615" w:firstLine="0"/>
        <w:contextualSpacing w:val="0"/>
        <w:jc w:val="both"/>
        <w:rPr>
          <w:rFonts w:ascii="Verdana" w:hAnsi="Verdana"/>
        </w:rPr>
      </w:pPr>
      <w:r w:rsidRPr="00E055CB">
        <w:rPr>
          <w:rFonts w:ascii="Verdana" w:hAnsi="Verdana"/>
        </w:rPr>
        <w:t>En tales situaciones</w:t>
      </w:r>
      <w:r w:rsidR="00AD7F87" w:rsidRPr="00E055CB">
        <w:rPr>
          <w:rFonts w:ascii="Verdana" w:hAnsi="Verdana"/>
        </w:rPr>
        <w:t>, a</w:t>
      </w:r>
      <w:r w:rsidR="00CF6504" w:rsidRPr="00E055CB">
        <w:rPr>
          <w:rFonts w:ascii="Verdana" w:eastAsia="Verdana" w:hAnsi="Verdana" w:cs="Verdana"/>
        </w:rPr>
        <w:t xml:space="preserve"> Corte ha considerado que la violación al artículo 2 de la Convención debe suponer </w:t>
      </w:r>
      <w:r w:rsidR="00CF6504" w:rsidRPr="00E055CB">
        <w:rPr>
          <w:rFonts w:ascii="Verdana" w:eastAsia="Verdana" w:hAnsi="Verdana" w:cs="Verdana"/>
          <w:iCs/>
        </w:rPr>
        <w:t>necesariamente</w:t>
      </w:r>
      <w:r w:rsidR="00CF6504" w:rsidRPr="00E055CB">
        <w:rPr>
          <w:rFonts w:ascii="Verdana" w:eastAsia="Verdana" w:hAnsi="Verdana" w:cs="Verdana"/>
        </w:rPr>
        <w:t xml:space="preserve"> la aplicación de la norma o el impacto de sus efectos en el caso concreto contra la parte que acude a la jurisdicción interamericana, y es tal situación la que habilita al Tribunal emitir un pronunciamiento al respecto.</w:t>
      </w:r>
      <w:r w:rsidR="00AD7F87" w:rsidRPr="00E055CB">
        <w:rPr>
          <w:rFonts w:ascii="Verdana" w:eastAsia="Verdana" w:hAnsi="Verdana" w:cs="Verdana"/>
        </w:rPr>
        <w:t xml:space="preserve"> </w:t>
      </w:r>
    </w:p>
    <w:p w14:paraId="1EA44D03" w14:textId="77777777" w:rsidR="00AD7F87" w:rsidRPr="00E055CB" w:rsidRDefault="00AD7F87" w:rsidP="00AC4B92">
      <w:pPr>
        <w:pStyle w:val="Prrafodelista"/>
        <w:ind w:left="0" w:right="615"/>
        <w:contextualSpacing w:val="0"/>
        <w:jc w:val="both"/>
        <w:rPr>
          <w:rFonts w:ascii="Verdana" w:hAnsi="Verdana"/>
        </w:rPr>
      </w:pPr>
    </w:p>
    <w:p w14:paraId="202B21E4" w14:textId="545941D3" w:rsidR="007E0AEE" w:rsidRPr="00E055CB" w:rsidRDefault="00335B0B" w:rsidP="00CC0B4C">
      <w:pPr>
        <w:pStyle w:val="Prrafodelista"/>
        <w:numPr>
          <w:ilvl w:val="0"/>
          <w:numId w:val="1"/>
        </w:numPr>
        <w:ind w:left="0" w:right="615" w:firstLine="0"/>
        <w:contextualSpacing w:val="0"/>
        <w:jc w:val="both"/>
        <w:rPr>
          <w:rFonts w:ascii="Verdana" w:hAnsi="Verdana"/>
        </w:rPr>
      </w:pPr>
      <w:r w:rsidRPr="00E055CB">
        <w:rPr>
          <w:rFonts w:ascii="Verdana" w:eastAsia="Verdana" w:hAnsi="Verdana" w:cs="Verdana"/>
          <w:lang w:val="es-CL"/>
        </w:rPr>
        <w:t>Ahora bien, este criterio no es absoluto</w:t>
      </w:r>
      <w:r w:rsidR="00AD7F87" w:rsidRPr="00E055CB">
        <w:rPr>
          <w:rFonts w:ascii="Verdana" w:eastAsia="Verdana" w:hAnsi="Verdana" w:cs="Verdana"/>
          <w:lang w:val="es-CL"/>
        </w:rPr>
        <w:t xml:space="preserve"> </w:t>
      </w:r>
      <w:r w:rsidR="00C9632D" w:rsidRPr="00E055CB">
        <w:rPr>
          <w:rFonts w:ascii="Verdana" w:eastAsia="Verdana" w:hAnsi="Verdana" w:cs="Verdana"/>
          <w:lang w:val="es-CL"/>
        </w:rPr>
        <w:t xml:space="preserve">y debe combinarse debidamente con lo dispuesto en el artículo 63.1 de la Convención Americana, que a su vez no es sino una enunciación de la norma consuetudinaria internacional que indica que toda violación de una obligación internacional que haya producido un daño conlleva el deber de repararlo adecuadamente. Precisamente por ello, </w:t>
      </w:r>
      <w:r w:rsidR="00C9632D" w:rsidRPr="00E055CB">
        <w:rPr>
          <w:rFonts w:ascii="Verdana" w:eastAsia="Verdana" w:hAnsi="Verdana" w:cs="Verdana"/>
        </w:rPr>
        <w:t>que,</w:t>
      </w:r>
      <w:r w:rsidR="005747D7" w:rsidRPr="00E055CB">
        <w:rPr>
          <w:rFonts w:ascii="Verdana" w:eastAsia="Verdana" w:hAnsi="Verdana" w:cs="Verdana"/>
        </w:rPr>
        <w:t xml:space="preserve"> </w:t>
      </w:r>
      <w:r w:rsidR="0061492E" w:rsidRPr="00E055CB">
        <w:rPr>
          <w:rFonts w:ascii="Verdana" w:eastAsia="Verdana" w:hAnsi="Verdana" w:cs="Verdana"/>
        </w:rPr>
        <w:t>l</w:t>
      </w:r>
      <w:r w:rsidRPr="00E055CB">
        <w:rPr>
          <w:rFonts w:ascii="Verdana" w:eastAsia="Verdana" w:hAnsi="Verdana" w:cs="Verdana"/>
        </w:rPr>
        <w:t>a Corte</w:t>
      </w:r>
      <w:r w:rsidR="007E0AEE" w:rsidRPr="00E055CB">
        <w:rPr>
          <w:rFonts w:ascii="Verdana" w:eastAsia="Verdana" w:hAnsi="Verdana" w:cs="Verdana"/>
        </w:rPr>
        <w:t>, en aras de asegurar una adecuada reparación de los derechos conculcados,</w:t>
      </w:r>
      <w:r w:rsidR="007E0AEE" w:rsidRPr="00E055CB">
        <w:rPr>
          <w:rFonts w:ascii="Verdana" w:hAnsi="Verdana"/>
        </w:rPr>
        <w:t xml:space="preserve"> ha flexibilizado </w:t>
      </w:r>
      <w:r w:rsidRPr="00E055CB">
        <w:rPr>
          <w:rFonts w:ascii="Verdana" w:hAnsi="Verdana"/>
        </w:rPr>
        <w:t>la necesidad de aplicación de una norma en el caso concreto para establecer consecuencias en términos del artículo 2</w:t>
      </w:r>
      <w:r w:rsidR="007E0AEE" w:rsidRPr="00E055CB">
        <w:rPr>
          <w:rFonts w:ascii="Verdana" w:hAnsi="Verdana"/>
        </w:rPr>
        <w:t>.</w:t>
      </w:r>
      <w:r w:rsidRPr="00E055CB">
        <w:rPr>
          <w:rFonts w:ascii="Verdana" w:hAnsi="Verdana"/>
        </w:rPr>
        <w:t xml:space="preserve"> E</w:t>
      </w:r>
      <w:r w:rsidR="007E0AEE" w:rsidRPr="00E055CB">
        <w:rPr>
          <w:rFonts w:ascii="Verdana" w:hAnsi="Verdana"/>
        </w:rPr>
        <w:t xml:space="preserve">n los </w:t>
      </w:r>
      <w:r w:rsidR="007E0AEE" w:rsidRPr="00E055CB">
        <w:rPr>
          <w:rFonts w:ascii="Verdana" w:hAnsi="Verdana"/>
          <w:i/>
        </w:rPr>
        <w:t xml:space="preserve">Casos </w:t>
      </w:r>
      <w:proofErr w:type="spellStart"/>
      <w:r w:rsidR="007E0AEE" w:rsidRPr="00E055CB">
        <w:rPr>
          <w:rFonts w:ascii="Verdana" w:hAnsi="Verdana"/>
          <w:i/>
        </w:rPr>
        <w:t>Gorigoitía</w:t>
      </w:r>
      <w:proofErr w:type="spellEnd"/>
      <w:r w:rsidR="007E0AEE" w:rsidRPr="00E055CB">
        <w:rPr>
          <w:rFonts w:ascii="Verdana" w:hAnsi="Verdana"/>
          <w:i/>
        </w:rPr>
        <w:t xml:space="preserve"> </w:t>
      </w:r>
      <w:r w:rsidR="007E0AEE" w:rsidRPr="00E055CB">
        <w:rPr>
          <w:rFonts w:ascii="Verdana" w:hAnsi="Verdana"/>
        </w:rPr>
        <w:t xml:space="preserve">y </w:t>
      </w:r>
      <w:r w:rsidR="007E0AEE" w:rsidRPr="00E055CB">
        <w:rPr>
          <w:rFonts w:ascii="Verdana" w:hAnsi="Verdana"/>
          <w:i/>
        </w:rPr>
        <w:t xml:space="preserve">Fernández Prieto y </w:t>
      </w:r>
      <w:proofErr w:type="spellStart"/>
      <w:r w:rsidR="007E0AEE" w:rsidRPr="00E055CB">
        <w:rPr>
          <w:rFonts w:ascii="Verdana" w:hAnsi="Verdana"/>
          <w:i/>
        </w:rPr>
        <w:t>Tumbeiro</w:t>
      </w:r>
      <w:proofErr w:type="spellEnd"/>
      <w:r w:rsidR="007E0AEE" w:rsidRPr="00E055CB">
        <w:rPr>
          <w:rFonts w:ascii="Verdana" w:hAnsi="Verdana"/>
        </w:rPr>
        <w:t xml:space="preserve">, ambos contra Argentina, el Tribunal abordó la cuestión sobre diversas disposiciones legales que, al momento de resolverse los asuntos, ya no se encontraban vigentes. De modo que, el marco regulatorio </w:t>
      </w:r>
      <w:r w:rsidRPr="00E055CB">
        <w:rPr>
          <w:rFonts w:ascii="Verdana" w:hAnsi="Verdana"/>
        </w:rPr>
        <w:t>a la fecha de resolución</w:t>
      </w:r>
      <w:r w:rsidR="007E0AEE" w:rsidRPr="00E055CB">
        <w:rPr>
          <w:rFonts w:ascii="Verdana" w:hAnsi="Verdana"/>
        </w:rPr>
        <w:t xml:space="preserve"> no había sido aplicado en los hechos sometidos a su jurisdicción</w:t>
      </w:r>
      <w:r w:rsidR="007E0AEE" w:rsidRPr="00E055CB">
        <w:rPr>
          <w:rFonts w:ascii="Verdana" w:hAnsi="Verdana"/>
          <w:shd w:val="clear" w:color="auto" w:fill="FFFFFF"/>
          <w:vertAlign w:val="superscript"/>
        </w:rPr>
        <w:footnoteReference w:id="18"/>
      </w:r>
      <w:r w:rsidR="007E0AEE" w:rsidRPr="00E055CB">
        <w:rPr>
          <w:rFonts w:ascii="Verdana" w:hAnsi="Verdana"/>
        </w:rPr>
        <w:t>.</w:t>
      </w:r>
      <w:r w:rsidRPr="00E055CB">
        <w:rPr>
          <w:rFonts w:ascii="Verdana" w:hAnsi="Verdana"/>
        </w:rPr>
        <w:t xml:space="preserve"> </w:t>
      </w:r>
      <w:r w:rsidR="007E0AEE" w:rsidRPr="00E055CB">
        <w:rPr>
          <w:rFonts w:ascii="Verdana" w:hAnsi="Verdana"/>
        </w:rPr>
        <w:t xml:space="preserve">Sin embargo, la Corte estimó que subsistían los problemas de </w:t>
      </w:r>
      <w:r w:rsidR="007E0AEE" w:rsidRPr="00E055CB">
        <w:rPr>
          <w:rFonts w:ascii="Verdana" w:hAnsi="Verdana"/>
        </w:rPr>
        <w:lastRenderedPageBreak/>
        <w:t>convencionalidad examinados</w:t>
      </w:r>
      <w:r w:rsidRPr="00E055CB">
        <w:rPr>
          <w:rFonts w:ascii="Verdana" w:hAnsi="Verdana"/>
        </w:rPr>
        <w:t xml:space="preserve"> en las normas que habían sustituido las aplicadas</w:t>
      </w:r>
      <w:r w:rsidR="007E0AEE" w:rsidRPr="00E055CB">
        <w:rPr>
          <w:rFonts w:ascii="Verdana" w:hAnsi="Verdana"/>
        </w:rPr>
        <w:t>. De modo que emitió un pronunciamiento sobre el contenido normativo de las disposiciones vigentes</w:t>
      </w:r>
      <w:r w:rsidRPr="00E055CB">
        <w:rPr>
          <w:rFonts w:ascii="Verdana" w:hAnsi="Verdana"/>
        </w:rPr>
        <w:t xml:space="preserve"> por sus problemas de </w:t>
      </w:r>
      <w:proofErr w:type="spellStart"/>
      <w:r w:rsidRPr="00E055CB">
        <w:rPr>
          <w:rFonts w:ascii="Verdana" w:hAnsi="Verdana"/>
        </w:rPr>
        <w:t>inconvencionalidad</w:t>
      </w:r>
      <w:proofErr w:type="spellEnd"/>
      <w:r w:rsidR="007E0AEE" w:rsidRPr="00E055CB">
        <w:rPr>
          <w:rFonts w:ascii="Verdana" w:hAnsi="Verdana"/>
          <w:shd w:val="clear" w:color="auto" w:fill="FFFFFF"/>
          <w:vertAlign w:val="superscript"/>
        </w:rPr>
        <w:footnoteReference w:id="19"/>
      </w:r>
      <w:r w:rsidR="007E0AEE" w:rsidRPr="00E055CB">
        <w:rPr>
          <w:rFonts w:ascii="Verdana" w:hAnsi="Verdana"/>
        </w:rPr>
        <w:t>. Dicha posición fue igualmente asumida en casos recientes sobre normas que autorizaban las detenciones arbitrarias</w:t>
      </w:r>
      <w:r w:rsidR="007E0AEE" w:rsidRPr="00E055CB">
        <w:rPr>
          <w:rFonts w:ascii="Verdana" w:hAnsi="Verdana"/>
          <w:shd w:val="clear" w:color="auto" w:fill="FFFFFF"/>
          <w:vertAlign w:val="superscript"/>
        </w:rPr>
        <w:footnoteReference w:id="20"/>
      </w:r>
      <w:r w:rsidR="007E0AEE" w:rsidRPr="00E055CB">
        <w:rPr>
          <w:rFonts w:ascii="Verdana" w:hAnsi="Verdana"/>
        </w:rPr>
        <w:t xml:space="preserve"> o descripciones del tipo penal de violación sexual</w:t>
      </w:r>
      <w:r w:rsidR="007E0AEE" w:rsidRPr="00E055CB">
        <w:rPr>
          <w:rFonts w:ascii="Verdana" w:hAnsi="Verdana"/>
          <w:shd w:val="clear" w:color="auto" w:fill="FFFFFF"/>
          <w:vertAlign w:val="superscript"/>
        </w:rPr>
        <w:footnoteReference w:id="21"/>
      </w:r>
      <w:r w:rsidR="007E0AEE" w:rsidRPr="00E055CB">
        <w:rPr>
          <w:rFonts w:ascii="Verdana" w:hAnsi="Verdana"/>
        </w:rPr>
        <w:t>.</w:t>
      </w:r>
    </w:p>
    <w:p w14:paraId="31BFEB57" w14:textId="77777777" w:rsidR="002B3B56" w:rsidRPr="00E055CB" w:rsidRDefault="002B3B56" w:rsidP="00AC4B92">
      <w:pPr>
        <w:pStyle w:val="Prrafodelista"/>
        <w:ind w:left="0" w:right="615"/>
        <w:contextualSpacing w:val="0"/>
        <w:jc w:val="both"/>
        <w:rPr>
          <w:rFonts w:ascii="Verdana" w:hAnsi="Verdana"/>
        </w:rPr>
      </w:pPr>
    </w:p>
    <w:p w14:paraId="2AB43555" w14:textId="6B5FDF5D" w:rsidR="007E0AEE" w:rsidRPr="00E055CB" w:rsidRDefault="00C9632D" w:rsidP="0007029E">
      <w:pPr>
        <w:pStyle w:val="Prrafodelista"/>
        <w:numPr>
          <w:ilvl w:val="0"/>
          <w:numId w:val="1"/>
        </w:numPr>
        <w:ind w:left="0" w:right="615" w:firstLine="0"/>
        <w:contextualSpacing w:val="0"/>
        <w:jc w:val="both"/>
        <w:rPr>
          <w:rFonts w:ascii="Verdana" w:hAnsi="Verdana"/>
          <w:lang w:val="es-CL"/>
        </w:rPr>
      </w:pPr>
      <w:r w:rsidRPr="00E055CB">
        <w:rPr>
          <w:rFonts w:ascii="Verdana" w:hAnsi="Verdana"/>
        </w:rPr>
        <w:t xml:space="preserve">Al fin y al cabo, la jurisprudencia sobre la violación del artículo 2 por la aplicación de leyes incompatibles con la Convención Americana no autoriza razonamientos que, de manera aislacionista, reduzcan la "aplicación" a la subsunción de una norma a un caso, en el curso de un proceso judicial. Dado que muchas de las sentencias que integran esta clase jurisprudencial fueron dictadas al examinar violaciones a las garantías judiciales y al debido proceso, es comprensible que la Corte, en muchas de ellas, no considerara necesario examinar una violación al artículo 2 cuando la ley nacional aplicada ya no estaba vigente. Pero no se puede confundir causa y efecto. El criterio realmente decisivo es la existencia de un daño causado por una conducta estatal (acción u omisión) y la necesidad de una reparación adecuada y completa (ya sea poniendo fin a un exceso o eliminando una protección insuficiente). Todo muy en línea con la postura tradicional de que </w:t>
      </w:r>
      <w:r w:rsidR="006C2BBF" w:rsidRPr="00E055CB">
        <w:rPr>
          <w:rFonts w:ascii="Verdana" w:hAnsi="Verdana"/>
        </w:rPr>
        <w:t>las reparaciones deben tener un nexo causal con los hechos del caso, las violaciones declaradas, los daños acreditados, así como las medidas solicitadas para reparar los daños respectivos</w:t>
      </w:r>
      <w:r w:rsidR="006C2BBF" w:rsidRPr="00E055CB">
        <w:rPr>
          <w:rFonts w:ascii="Verdana" w:hAnsi="Verdana"/>
          <w:vertAlign w:val="superscript"/>
        </w:rPr>
        <w:footnoteReference w:id="22"/>
      </w:r>
      <w:r w:rsidR="006C2BBF" w:rsidRPr="00E055CB">
        <w:rPr>
          <w:rFonts w:ascii="Verdana" w:hAnsi="Verdana"/>
        </w:rPr>
        <w:t xml:space="preserve">. </w:t>
      </w:r>
      <w:r w:rsidRPr="00E055CB">
        <w:rPr>
          <w:rFonts w:ascii="Verdana" w:hAnsi="Verdana"/>
        </w:rPr>
        <w:t>Si no fuera así, la derogación de una disposición normativa o su declaración de inconstitucionalidad por un tribunal nacional serían causas suficientes para impedir que la jurisdicción interamericana analizara una violación del derecho internacional.</w:t>
      </w:r>
    </w:p>
    <w:p w14:paraId="5E6ED7B7" w14:textId="77777777" w:rsidR="00C9632D" w:rsidRPr="00E055CB" w:rsidRDefault="00C9632D" w:rsidP="00C9632D">
      <w:pPr>
        <w:pStyle w:val="Prrafodelista"/>
        <w:ind w:left="0" w:right="615"/>
        <w:contextualSpacing w:val="0"/>
        <w:jc w:val="both"/>
        <w:rPr>
          <w:rFonts w:ascii="Verdana" w:hAnsi="Verdana"/>
          <w:lang w:val="es-CL"/>
        </w:rPr>
      </w:pPr>
    </w:p>
    <w:p w14:paraId="5D567F84" w14:textId="77777777" w:rsidR="007E0AEE" w:rsidRPr="00E055CB" w:rsidRDefault="00335B0B" w:rsidP="00CC0B4C">
      <w:pPr>
        <w:pStyle w:val="Prrafodelista"/>
        <w:ind w:left="0" w:right="615"/>
        <w:contextualSpacing w:val="0"/>
        <w:jc w:val="both"/>
        <w:rPr>
          <w:rFonts w:ascii="Verdana" w:hAnsi="Verdana"/>
          <w:b/>
          <w:i/>
        </w:rPr>
      </w:pPr>
      <w:r w:rsidRPr="00E055CB">
        <w:rPr>
          <w:rFonts w:ascii="Verdana" w:hAnsi="Verdana"/>
          <w:b/>
          <w:i/>
        </w:rPr>
        <w:t xml:space="preserve">C. </w:t>
      </w:r>
      <w:r w:rsidRPr="00E055CB">
        <w:rPr>
          <w:rFonts w:ascii="Verdana" w:hAnsi="Verdana"/>
          <w:b/>
          <w:i/>
        </w:rPr>
        <w:tab/>
      </w:r>
      <w:r w:rsidR="007E0AEE" w:rsidRPr="00E055CB">
        <w:rPr>
          <w:rFonts w:ascii="Verdana" w:hAnsi="Verdana"/>
          <w:b/>
          <w:i/>
        </w:rPr>
        <w:t>Infracción al artículo 2 por la adopción de prácticas incompatibles con la CADH</w:t>
      </w:r>
    </w:p>
    <w:p w14:paraId="5A66C457" w14:textId="77777777" w:rsidR="007E0AEE" w:rsidRPr="00E055CB" w:rsidRDefault="007E0AEE" w:rsidP="00CC0B4C">
      <w:pPr>
        <w:pStyle w:val="Prrafodelista"/>
        <w:ind w:left="0" w:right="615"/>
        <w:contextualSpacing w:val="0"/>
        <w:jc w:val="both"/>
        <w:rPr>
          <w:rFonts w:ascii="Verdana" w:hAnsi="Verdana"/>
        </w:rPr>
      </w:pPr>
    </w:p>
    <w:p w14:paraId="33873232" w14:textId="5D1B02DA" w:rsidR="007E0AEE" w:rsidRPr="00E055CB" w:rsidRDefault="00335B0B" w:rsidP="00CC0B4C">
      <w:pPr>
        <w:pStyle w:val="Prrafodelista"/>
        <w:numPr>
          <w:ilvl w:val="0"/>
          <w:numId w:val="1"/>
        </w:numPr>
        <w:ind w:left="0" w:right="615" w:firstLine="0"/>
        <w:contextualSpacing w:val="0"/>
        <w:jc w:val="both"/>
        <w:rPr>
          <w:rFonts w:ascii="Verdana" w:hAnsi="Verdana"/>
        </w:rPr>
      </w:pPr>
      <w:r w:rsidRPr="00E055CB">
        <w:rPr>
          <w:rFonts w:ascii="Verdana" w:hAnsi="Verdana"/>
        </w:rPr>
        <w:t>Sobre la base del artículo 2 de la Convención la Corte también</w:t>
      </w:r>
      <w:r w:rsidR="007E0AEE" w:rsidRPr="00E055CB">
        <w:rPr>
          <w:rFonts w:ascii="Verdana" w:hAnsi="Verdana"/>
        </w:rPr>
        <w:t xml:space="preserve"> </w:t>
      </w:r>
      <w:r w:rsidRPr="00E055CB">
        <w:rPr>
          <w:rFonts w:ascii="Verdana" w:hAnsi="Verdana"/>
        </w:rPr>
        <w:t>se ha pronunciado respecto de</w:t>
      </w:r>
      <w:r w:rsidR="007E0AEE" w:rsidRPr="00E055CB">
        <w:rPr>
          <w:rFonts w:ascii="Verdana" w:hAnsi="Verdana"/>
        </w:rPr>
        <w:t xml:space="preserve"> prácticas</w:t>
      </w:r>
      <w:r w:rsidRPr="00E055CB">
        <w:rPr>
          <w:rFonts w:ascii="Verdana" w:hAnsi="Verdana"/>
        </w:rPr>
        <w:t xml:space="preserve"> -no leyes-</w:t>
      </w:r>
      <w:r w:rsidR="007E0AEE" w:rsidRPr="00E055CB">
        <w:rPr>
          <w:rFonts w:ascii="Verdana" w:hAnsi="Verdana"/>
        </w:rPr>
        <w:t xml:space="preserve"> que constituyen un incumplimiento a la Convención Americana. Al respecto, </w:t>
      </w:r>
      <w:r w:rsidRPr="00E055CB">
        <w:rPr>
          <w:rFonts w:ascii="Verdana" w:hAnsi="Verdana"/>
        </w:rPr>
        <w:t>se</w:t>
      </w:r>
      <w:r w:rsidR="007E0AEE" w:rsidRPr="00E055CB">
        <w:rPr>
          <w:rFonts w:ascii="Verdana" w:hAnsi="Verdana"/>
        </w:rPr>
        <w:t xml:space="preserve"> ha considerado que la ausencia de capacitación y sensibilización a funcionarios para entender la gravedad de la violencia contra la mujer, incluid</w:t>
      </w:r>
      <w:r w:rsidR="002A0587">
        <w:rPr>
          <w:rFonts w:ascii="Verdana" w:hAnsi="Verdana"/>
        </w:rPr>
        <w:t>a</w:t>
      </w:r>
      <w:r w:rsidR="007E0AEE" w:rsidRPr="00E055CB">
        <w:rPr>
          <w:rFonts w:ascii="Verdana" w:hAnsi="Verdana"/>
        </w:rPr>
        <w:t xml:space="preserve"> la ausencia de entrenamiento para actuar de manera inmediata y eficaz</w:t>
      </w:r>
      <w:r w:rsidRPr="00E055CB">
        <w:rPr>
          <w:rFonts w:ascii="Verdana" w:hAnsi="Verdana"/>
        </w:rPr>
        <w:t>,</w:t>
      </w:r>
      <w:r w:rsidR="007E0AEE" w:rsidRPr="00E055CB">
        <w:rPr>
          <w:rFonts w:ascii="Verdana" w:hAnsi="Verdana"/>
        </w:rPr>
        <w:t xml:space="preserve"> y la ausencia de una respuesta inmediata ante las denuncias de desaparición</w:t>
      </w:r>
      <w:r w:rsidR="007E0AEE" w:rsidRPr="00E055CB">
        <w:rPr>
          <w:rFonts w:ascii="Verdana" w:hAnsi="Verdana"/>
          <w:shd w:val="clear" w:color="auto" w:fill="FFFFFF"/>
          <w:vertAlign w:val="superscript"/>
        </w:rPr>
        <w:footnoteReference w:id="23"/>
      </w:r>
      <w:r w:rsidR="007E0AEE" w:rsidRPr="00E055CB">
        <w:rPr>
          <w:rFonts w:ascii="Verdana" w:hAnsi="Verdana"/>
        </w:rPr>
        <w:t xml:space="preserve">, así como la ausencia de mecanismos de reacción o políticas públicas que dotaran a las instituciones </w:t>
      </w:r>
      <w:r w:rsidR="007E0AEE" w:rsidRPr="00E055CB">
        <w:rPr>
          <w:rFonts w:ascii="Verdana" w:hAnsi="Verdana"/>
        </w:rPr>
        <w:lastRenderedPageBreak/>
        <w:t>de herramientas necesarias para garantizar los derechos de las niñas desaparecidas</w:t>
      </w:r>
      <w:r w:rsidR="007E0AEE" w:rsidRPr="00E055CB">
        <w:rPr>
          <w:rFonts w:ascii="Verdana" w:hAnsi="Verdana"/>
          <w:shd w:val="clear" w:color="auto" w:fill="FFFFFF"/>
          <w:vertAlign w:val="superscript"/>
        </w:rPr>
        <w:footnoteReference w:id="24"/>
      </w:r>
      <w:r w:rsidRPr="00E055CB">
        <w:rPr>
          <w:rFonts w:ascii="Verdana" w:hAnsi="Verdana"/>
        </w:rPr>
        <w:t>,</w:t>
      </w:r>
      <w:r w:rsidR="007E0AEE" w:rsidRPr="00E055CB">
        <w:rPr>
          <w:rFonts w:ascii="Verdana" w:hAnsi="Verdana"/>
        </w:rPr>
        <w:t xml:space="preserve"> constituyen una infracción al artículo 2 de la Convención Americana.</w:t>
      </w:r>
      <w:r w:rsidRPr="00E055CB">
        <w:rPr>
          <w:rFonts w:ascii="Verdana" w:hAnsi="Verdana"/>
        </w:rPr>
        <w:t xml:space="preserve"> </w:t>
      </w:r>
      <w:r w:rsidR="007E0AEE" w:rsidRPr="00E055CB">
        <w:rPr>
          <w:rFonts w:ascii="Verdana" w:hAnsi="Verdana"/>
        </w:rPr>
        <w:t xml:space="preserve">Además, se ha considerado violatorio a dicha disposición convencional la práctica a cargo de los tribunales de convalidar detenciones arbitrarias sobre la base de criterios generales como la prevención del delito o </w:t>
      </w:r>
      <w:r w:rsidR="007E0AEE" w:rsidRPr="00E055CB">
        <w:rPr>
          <w:rFonts w:ascii="Verdana" w:hAnsi="Verdana"/>
          <w:i/>
          <w:iCs/>
        </w:rPr>
        <w:t>ex post</w:t>
      </w:r>
      <w:r w:rsidR="007E0AEE" w:rsidRPr="00E055CB">
        <w:rPr>
          <w:rFonts w:ascii="Verdana" w:hAnsi="Verdana"/>
        </w:rPr>
        <w:t xml:space="preserve"> por las pruebas obtenidas a través de dicha detención</w:t>
      </w:r>
      <w:r w:rsidR="007E0AEE" w:rsidRPr="00E055CB">
        <w:rPr>
          <w:rFonts w:ascii="Verdana" w:hAnsi="Verdana"/>
          <w:shd w:val="clear" w:color="auto" w:fill="FFFFFF"/>
          <w:vertAlign w:val="superscript"/>
        </w:rPr>
        <w:footnoteReference w:id="25"/>
      </w:r>
      <w:r w:rsidR="00975AF2">
        <w:rPr>
          <w:rFonts w:ascii="Verdana" w:hAnsi="Verdana"/>
        </w:rPr>
        <w:t>.</w:t>
      </w:r>
      <w:r w:rsidR="007E0AEE" w:rsidRPr="00E055CB">
        <w:rPr>
          <w:rFonts w:ascii="Verdana" w:hAnsi="Verdana"/>
        </w:rPr>
        <w:t xml:space="preserve"> </w:t>
      </w:r>
    </w:p>
    <w:p w14:paraId="649D73EA" w14:textId="77777777" w:rsidR="007E0AEE" w:rsidRPr="00E055CB" w:rsidRDefault="007E0AEE" w:rsidP="00CC0B4C">
      <w:pPr>
        <w:pStyle w:val="Prrafodelista"/>
        <w:ind w:left="0" w:right="615"/>
        <w:contextualSpacing w:val="0"/>
        <w:jc w:val="both"/>
        <w:rPr>
          <w:rFonts w:ascii="Verdana" w:hAnsi="Verdana"/>
        </w:rPr>
      </w:pPr>
    </w:p>
    <w:p w14:paraId="0774CA5A" w14:textId="54594706" w:rsidR="007E0AEE" w:rsidRPr="00E055CB" w:rsidRDefault="007E0AEE" w:rsidP="00CC0B4C">
      <w:pPr>
        <w:pStyle w:val="Prrafodelista"/>
        <w:numPr>
          <w:ilvl w:val="0"/>
          <w:numId w:val="1"/>
        </w:numPr>
        <w:ind w:left="0" w:right="615" w:firstLine="0"/>
        <w:contextualSpacing w:val="0"/>
        <w:jc w:val="both"/>
        <w:rPr>
          <w:rFonts w:ascii="Verdana" w:hAnsi="Verdana"/>
        </w:rPr>
      </w:pPr>
      <w:r w:rsidRPr="00E055CB">
        <w:rPr>
          <w:rFonts w:ascii="Verdana" w:hAnsi="Verdana"/>
        </w:rPr>
        <w:t>En el contexto del ejercicio abusivo del recurso de amparo</w:t>
      </w:r>
      <w:r w:rsidR="003938E7" w:rsidRPr="00E055CB">
        <w:rPr>
          <w:rFonts w:ascii="Verdana" w:hAnsi="Verdana"/>
        </w:rPr>
        <w:t>,</w:t>
      </w:r>
      <w:r w:rsidRPr="00E055CB">
        <w:rPr>
          <w:rFonts w:ascii="Verdana" w:hAnsi="Verdana"/>
        </w:rPr>
        <w:t xml:space="preserve"> en tanto práctica dilatoria que busca obstaculizar la persecución y sanciones de las personas responsables por violaciones graves a derechos humanos, la Corte </w:t>
      </w:r>
      <w:r w:rsidR="00335B0B" w:rsidRPr="00E055CB">
        <w:rPr>
          <w:rFonts w:ascii="Verdana" w:hAnsi="Verdana"/>
        </w:rPr>
        <w:t>ha estimado</w:t>
      </w:r>
      <w:r w:rsidRPr="00E055CB">
        <w:rPr>
          <w:rFonts w:ascii="Verdana" w:hAnsi="Verdana"/>
        </w:rPr>
        <w:t xml:space="preserve"> que la falta de debida diligencia y la tolerancia por parte de los tribunales constituía un incumplimiento al artículo 2 de la Convención Americana</w:t>
      </w:r>
      <w:r w:rsidRPr="00E055CB">
        <w:rPr>
          <w:rFonts w:ascii="Verdana" w:hAnsi="Verdana"/>
          <w:shd w:val="clear" w:color="auto" w:fill="FFFFFF"/>
          <w:vertAlign w:val="superscript"/>
        </w:rPr>
        <w:footnoteReference w:id="26"/>
      </w:r>
      <w:r w:rsidRPr="00E055CB">
        <w:rPr>
          <w:rFonts w:ascii="Verdana" w:hAnsi="Verdana"/>
        </w:rPr>
        <w:t>.</w:t>
      </w:r>
      <w:r w:rsidR="00335B0B" w:rsidRPr="00E055CB">
        <w:rPr>
          <w:rFonts w:ascii="Verdana" w:hAnsi="Verdana"/>
        </w:rPr>
        <w:t xml:space="preserve"> La Corte ha</w:t>
      </w:r>
      <w:r w:rsidRPr="00E055CB">
        <w:rPr>
          <w:rFonts w:ascii="Verdana" w:hAnsi="Verdana"/>
        </w:rPr>
        <w:t xml:space="preserve"> </w:t>
      </w:r>
      <w:r w:rsidR="00335B0B" w:rsidRPr="00E055CB">
        <w:rPr>
          <w:rFonts w:ascii="Verdana" w:hAnsi="Verdana"/>
        </w:rPr>
        <w:t>señalado</w:t>
      </w:r>
      <w:r w:rsidRPr="00E055CB">
        <w:rPr>
          <w:rFonts w:ascii="Verdana" w:hAnsi="Verdana"/>
        </w:rPr>
        <w:t xml:space="preserve"> que la utilización de los perfiles raciales por parte de agentes encargados de hacer cumplir la ley para la detención de personas constituye una práctica discriminatoria incompatible con el deber de adoptar disposiciones de derecho interno</w:t>
      </w:r>
      <w:r w:rsidRPr="00E055CB">
        <w:rPr>
          <w:rFonts w:ascii="Verdana" w:hAnsi="Verdana"/>
          <w:shd w:val="clear" w:color="auto" w:fill="FFFFFF"/>
          <w:vertAlign w:val="superscript"/>
        </w:rPr>
        <w:footnoteReference w:id="27"/>
      </w:r>
      <w:r w:rsidRPr="00E055CB">
        <w:rPr>
          <w:rFonts w:ascii="Verdana" w:hAnsi="Verdana"/>
        </w:rPr>
        <w:t>.</w:t>
      </w:r>
      <w:r w:rsidR="00335B0B" w:rsidRPr="00E055CB">
        <w:rPr>
          <w:rFonts w:ascii="Verdana" w:hAnsi="Verdana"/>
        </w:rPr>
        <w:t xml:space="preserve"> En definitiva, este tipo de análisis </w:t>
      </w:r>
      <w:r w:rsidR="008E6ECD" w:rsidRPr="00E055CB">
        <w:rPr>
          <w:rFonts w:ascii="Verdana" w:hAnsi="Verdana"/>
        </w:rPr>
        <w:t xml:space="preserve">le ha permitido a la Corte analizar el artículo 2 en consonancia con las obligaciones previstas en el artículo 1.1 de la Convención, específicamente respecto del deber de garantía de los derechos. Cabe aquí referirse al caso </w:t>
      </w:r>
      <w:r w:rsidR="008E6ECD" w:rsidRPr="00E055CB">
        <w:rPr>
          <w:rFonts w:ascii="Verdana" w:hAnsi="Verdana"/>
          <w:i/>
          <w:iCs/>
        </w:rPr>
        <w:t>Velásquez Rodríguez Vs. Honduras</w:t>
      </w:r>
      <w:r w:rsidR="008E6ECD" w:rsidRPr="00E055CB">
        <w:rPr>
          <w:rFonts w:ascii="Verdana" w:hAnsi="Verdana"/>
        </w:rPr>
        <w:t>, donde la Corte célebremente señal</w:t>
      </w:r>
      <w:r w:rsidR="00A274E4" w:rsidRPr="00E055CB">
        <w:rPr>
          <w:rFonts w:ascii="Verdana" w:hAnsi="Verdana"/>
        </w:rPr>
        <w:t>ó</w:t>
      </w:r>
      <w:r w:rsidR="008E6ECD" w:rsidRPr="00E055CB">
        <w:rPr>
          <w:rFonts w:ascii="Verdana" w:hAnsi="Verdana"/>
        </w:rPr>
        <w:t xml:space="preserve"> que:</w:t>
      </w:r>
    </w:p>
    <w:p w14:paraId="26839937" w14:textId="77777777" w:rsidR="008E6ECD" w:rsidRPr="00E055CB" w:rsidRDefault="008E6ECD" w:rsidP="00CC0B4C">
      <w:pPr>
        <w:pStyle w:val="Prrafodelista"/>
        <w:ind w:left="0" w:right="615"/>
        <w:contextualSpacing w:val="0"/>
        <w:jc w:val="both"/>
        <w:rPr>
          <w:rFonts w:ascii="Verdana" w:hAnsi="Verdana"/>
        </w:rPr>
      </w:pPr>
    </w:p>
    <w:p w14:paraId="2199A780" w14:textId="4BA2940B" w:rsidR="00B20C22" w:rsidRPr="00E055CB" w:rsidRDefault="00B20C22" w:rsidP="00D023FD">
      <w:pPr>
        <w:ind w:left="708" w:right="1466"/>
        <w:jc w:val="both"/>
        <w:rPr>
          <w:rFonts w:ascii="Verdana" w:hAnsi="Verdana"/>
          <w:sz w:val="18"/>
          <w:szCs w:val="18"/>
        </w:rPr>
      </w:pPr>
      <w:r w:rsidRPr="00E055CB">
        <w:rPr>
          <w:rFonts w:ascii="Verdana" w:hAnsi="Verdana"/>
          <w:sz w:val="18"/>
          <w:szCs w:val="18"/>
        </w:rPr>
        <w:t xml:space="preserve">La segunda obligación de los </w:t>
      </w:r>
      <w:proofErr w:type="gramStart"/>
      <w:r w:rsidRPr="00E055CB">
        <w:rPr>
          <w:rFonts w:ascii="Verdana" w:hAnsi="Verdana"/>
          <w:sz w:val="18"/>
          <w:szCs w:val="18"/>
        </w:rPr>
        <w:t>Estados Partes</w:t>
      </w:r>
      <w:proofErr w:type="gramEnd"/>
      <w:r w:rsidRPr="00E055CB">
        <w:rPr>
          <w:rFonts w:ascii="Verdana" w:hAnsi="Verdana"/>
          <w:sz w:val="18"/>
          <w:szCs w:val="18"/>
        </w:rPr>
        <w:t xml:space="preserve"> es la de “garantizar” el libre y pleno ejercicio de los derechos reconocidos en la Convención a toda persona sujeta a su jurisdicción. Esta obligación implica el deber de los </w:t>
      </w:r>
      <w:proofErr w:type="gramStart"/>
      <w:r w:rsidRPr="00E055CB">
        <w:rPr>
          <w:rFonts w:ascii="Verdana" w:hAnsi="Verdana"/>
          <w:sz w:val="18"/>
          <w:szCs w:val="18"/>
        </w:rPr>
        <w:t>Estados Partes</w:t>
      </w:r>
      <w:proofErr w:type="gramEnd"/>
      <w:r w:rsidRPr="00E055CB">
        <w:rPr>
          <w:rFonts w:ascii="Verdana" w:hAnsi="Verdana"/>
          <w:sz w:val="18"/>
          <w:szCs w:val="18"/>
        </w:rPr>
        <w:t xml:space="preserve"> de organizar todo el aparato gubernamental y, en general, todas las estructuras a través de las cuales se manifiesta el ejercicio del poder público, de manera tal que sean capaces de asegurar jurídicamente el libre y pleno ejercicio de los derechos humanos. Como consecuencia de esta obligación los Estados deben prevenir, investigar y sancionar toda violación de los derechos reconocidos por la Convención y procurar, además, el restablecimiento, si es posible, del derecho conculcado y, en su caso, la reparación de los daños producidos por la violación de los derechos humanos</w:t>
      </w:r>
      <w:r w:rsidRPr="00E055CB">
        <w:rPr>
          <w:rStyle w:val="Refdenotaalpie"/>
          <w:rFonts w:ascii="Verdana" w:hAnsi="Verdana"/>
          <w:sz w:val="18"/>
          <w:szCs w:val="18"/>
        </w:rPr>
        <w:footnoteReference w:id="28"/>
      </w:r>
      <w:r w:rsidRPr="00E055CB">
        <w:rPr>
          <w:rFonts w:ascii="Verdana" w:hAnsi="Verdana"/>
          <w:sz w:val="18"/>
          <w:szCs w:val="18"/>
        </w:rPr>
        <w:t>.</w:t>
      </w:r>
    </w:p>
    <w:p w14:paraId="1EBBAF25" w14:textId="77777777" w:rsidR="007E0AEE" w:rsidRPr="00E055CB" w:rsidRDefault="007E0AEE" w:rsidP="00CC0B4C">
      <w:pPr>
        <w:pStyle w:val="Prrafodelista"/>
        <w:ind w:left="0" w:right="615"/>
        <w:contextualSpacing w:val="0"/>
        <w:jc w:val="both"/>
        <w:rPr>
          <w:rFonts w:ascii="Verdana" w:hAnsi="Verdana"/>
        </w:rPr>
      </w:pPr>
    </w:p>
    <w:p w14:paraId="213AE986" w14:textId="77777777" w:rsidR="007E0AEE" w:rsidRPr="00E055CB" w:rsidRDefault="007E0AEE" w:rsidP="00CC0B4C">
      <w:pPr>
        <w:pStyle w:val="Prrafodelista"/>
        <w:numPr>
          <w:ilvl w:val="0"/>
          <w:numId w:val="5"/>
        </w:numPr>
        <w:ind w:left="0" w:right="615" w:firstLine="0"/>
        <w:contextualSpacing w:val="0"/>
        <w:jc w:val="both"/>
        <w:rPr>
          <w:rFonts w:ascii="Verdana" w:hAnsi="Verdana"/>
        </w:rPr>
      </w:pPr>
      <w:r w:rsidRPr="00E055CB">
        <w:rPr>
          <w:rFonts w:ascii="Verdana" w:hAnsi="Verdana"/>
          <w:b/>
          <w:i/>
        </w:rPr>
        <w:t>Caracterizaciones de las violaciones al artículo 2 por ausencia o insuficiencia regulatoria</w:t>
      </w:r>
    </w:p>
    <w:p w14:paraId="6C1D6D4E" w14:textId="77777777" w:rsidR="007E0AEE" w:rsidRPr="00E055CB" w:rsidRDefault="007E0AEE" w:rsidP="00CC0B4C">
      <w:pPr>
        <w:ind w:right="615"/>
        <w:jc w:val="both"/>
        <w:rPr>
          <w:rFonts w:ascii="Verdana" w:hAnsi="Verdana"/>
          <w:sz w:val="20"/>
          <w:szCs w:val="20"/>
        </w:rPr>
      </w:pPr>
    </w:p>
    <w:p w14:paraId="3FF728F2" w14:textId="55B4DD7E" w:rsidR="00CA6254" w:rsidRPr="00E055CB" w:rsidRDefault="00DF7384" w:rsidP="00CC0B4C">
      <w:pPr>
        <w:pStyle w:val="Prrafodelista"/>
        <w:numPr>
          <w:ilvl w:val="0"/>
          <w:numId w:val="1"/>
        </w:numPr>
        <w:ind w:left="0" w:right="615" w:firstLine="0"/>
        <w:contextualSpacing w:val="0"/>
        <w:jc w:val="both"/>
        <w:rPr>
          <w:rFonts w:ascii="Verdana" w:hAnsi="Verdana"/>
        </w:rPr>
      </w:pPr>
      <w:r w:rsidRPr="00E055CB">
        <w:rPr>
          <w:rFonts w:ascii="Verdana" w:hAnsi="Verdana"/>
        </w:rPr>
        <w:t>La mayor parte de los casos que implican violaciones al artículo 2 de la Convención se refieren a la existencia de normas o prácticas que son contrarias a los derechos protegidos por la Convención Americana</w:t>
      </w:r>
      <w:r w:rsidR="003938E7" w:rsidRPr="00E055CB">
        <w:rPr>
          <w:rFonts w:ascii="Verdana" w:hAnsi="Verdana"/>
        </w:rPr>
        <w:t>,</w:t>
      </w:r>
      <w:r w:rsidRPr="00E055CB">
        <w:rPr>
          <w:rFonts w:ascii="Verdana" w:hAnsi="Verdana"/>
        </w:rPr>
        <w:t xml:space="preserve"> y que han tenido un impacto en los derechos de las personas. Ahora bien, no son solo las acciones del Estado l</w:t>
      </w:r>
      <w:r w:rsidR="00964269">
        <w:rPr>
          <w:rFonts w:ascii="Verdana" w:hAnsi="Verdana"/>
        </w:rPr>
        <w:t>as</w:t>
      </w:r>
      <w:r w:rsidRPr="00E055CB">
        <w:rPr>
          <w:rFonts w:ascii="Verdana" w:hAnsi="Verdana"/>
        </w:rPr>
        <w:t xml:space="preserve"> que habilita</w:t>
      </w:r>
      <w:r w:rsidR="00964269">
        <w:rPr>
          <w:rFonts w:ascii="Verdana" w:hAnsi="Verdana"/>
        </w:rPr>
        <w:t>n</w:t>
      </w:r>
      <w:r w:rsidRPr="00E055CB">
        <w:rPr>
          <w:rFonts w:ascii="Verdana" w:hAnsi="Verdana"/>
        </w:rPr>
        <w:t xml:space="preserve"> a la Corte a analizar violaciones al artículo 2</w:t>
      </w:r>
      <w:r w:rsidR="00CA6254" w:rsidRPr="00E055CB">
        <w:rPr>
          <w:rFonts w:ascii="Verdana" w:hAnsi="Verdana"/>
        </w:rPr>
        <w:t>. Estas violaciones t</w:t>
      </w:r>
      <w:r w:rsidRPr="00E055CB">
        <w:rPr>
          <w:rFonts w:ascii="Verdana" w:hAnsi="Verdana"/>
        </w:rPr>
        <w:t>ambién</w:t>
      </w:r>
      <w:r w:rsidR="00CA6254" w:rsidRPr="00E055CB">
        <w:rPr>
          <w:rFonts w:ascii="Verdana" w:hAnsi="Verdana"/>
        </w:rPr>
        <w:t xml:space="preserve"> pueden producirse por las</w:t>
      </w:r>
      <w:r w:rsidRPr="00E055CB">
        <w:rPr>
          <w:rFonts w:ascii="Verdana" w:hAnsi="Verdana"/>
        </w:rPr>
        <w:t xml:space="preserve"> omisiones</w:t>
      </w:r>
      <w:r w:rsidR="00CA6254" w:rsidRPr="00E055CB">
        <w:rPr>
          <w:rFonts w:ascii="Verdana" w:hAnsi="Verdana"/>
        </w:rPr>
        <w:t xml:space="preserve"> del Estado</w:t>
      </w:r>
      <w:r w:rsidRPr="00E055CB">
        <w:rPr>
          <w:rFonts w:ascii="Verdana" w:hAnsi="Verdana"/>
        </w:rPr>
        <w:t>. En esta lógica, l</w:t>
      </w:r>
      <w:r w:rsidR="007E0AEE" w:rsidRPr="00E055CB">
        <w:rPr>
          <w:rFonts w:ascii="Verdana" w:hAnsi="Verdana"/>
        </w:rPr>
        <w:t>a ausencia o insuficiencia de un marco regulatorio –especialmente legal–</w:t>
      </w:r>
      <w:r w:rsidR="00CA6254" w:rsidRPr="00E055CB">
        <w:rPr>
          <w:rFonts w:ascii="Verdana" w:hAnsi="Verdana"/>
        </w:rPr>
        <w:t xml:space="preserve"> </w:t>
      </w:r>
      <w:r w:rsidR="007E0AEE" w:rsidRPr="00E055CB">
        <w:rPr>
          <w:rFonts w:ascii="Verdana" w:hAnsi="Verdana"/>
        </w:rPr>
        <w:t xml:space="preserve">ha sido una cuestión que la Corte ha </w:t>
      </w:r>
      <w:r w:rsidR="007E0AEE" w:rsidRPr="00E055CB">
        <w:rPr>
          <w:rFonts w:ascii="Verdana" w:hAnsi="Verdana"/>
        </w:rPr>
        <w:lastRenderedPageBreak/>
        <w:t>abordado desde diversos contextos y violaciones a diferentes derechos reconocidos en la CADH</w:t>
      </w:r>
      <w:r w:rsidRPr="00E055CB">
        <w:rPr>
          <w:rFonts w:ascii="Verdana" w:hAnsi="Verdana"/>
        </w:rPr>
        <w:t>, todo esto en relación con el deber del Estado de adecuamiento de su derecho interno</w:t>
      </w:r>
      <w:r w:rsidR="007E0AEE" w:rsidRPr="00E055CB">
        <w:rPr>
          <w:rFonts w:ascii="Verdana" w:hAnsi="Verdana"/>
        </w:rPr>
        <w:t>. Destacadamente, los derechos de los pueblos indígenas y sus miembros ha sido uno de los ámbitos en lo que se ha explorado, con mayor frecuencia, este supuesto.</w:t>
      </w:r>
      <w:r w:rsidR="00CA6254" w:rsidRPr="00E055CB">
        <w:rPr>
          <w:rFonts w:ascii="Verdana" w:hAnsi="Verdana"/>
        </w:rPr>
        <w:t xml:space="preserve"> </w:t>
      </w:r>
    </w:p>
    <w:p w14:paraId="07EA9D11" w14:textId="77777777" w:rsidR="00CA6254" w:rsidRPr="00E055CB" w:rsidRDefault="00CA6254" w:rsidP="00CC0B4C">
      <w:pPr>
        <w:pStyle w:val="Prrafodelista"/>
        <w:ind w:left="0" w:right="615"/>
        <w:contextualSpacing w:val="0"/>
        <w:jc w:val="both"/>
        <w:rPr>
          <w:rFonts w:ascii="Verdana" w:hAnsi="Verdana"/>
        </w:rPr>
      </w:pPr>
    </w:p>
    <w:p w14:paraId="4E983DC9" w14:textId="77777777" w:rsidR="00CA6254" w:rsidRPr="00E055CB" w:rsidRDefault="00CA6254" w:rsidP="00CC0B4C">
      <w:pPr>
        <w:pStyle w:val="Prrafodelista"/>
        <w:numPr>
          <w:ilvl w:val="0"/>
          <w:numId w:val="1"/>
        </w:numPr>
        <w:ind w:left="0" w:right="615" w:firstLine="0"/>
        <w:contextualSpacing w:val="0"/>
        <w:jc w:val="both"/>
        <w:rPr>
          <w:rFonts w:ascii="Verdana" w:hAnsi="Verdana"/>
        </w:rPr>
      </w:pPr>
      <w:r w:rsidRPr="00E055CB">
        <w:rPr>
          <w:rFonts w:ascii="Verdana" w:hAnsi="Verdana"/>
        </w:rPr>
        <w:t>La Corte</w:t>
      </w:r>
      <w:r w:rsidR="007E0AEE" w:rsidRPr="00E055CB">
        <w:rPr>
          <w:rFonts w:ascii="Verdana" w:hAnsi="Verdana"/>
        </w:rPr>
        <w:t xml:space="preserve"> ha señalado la ausencia o insuficiencia normativa de un marco regulatorio en los procedimientos para la titulación de territorio indígena. </w:t>
      </w:r>
      <w:r w:rsidRPr="00E055CB">
        <w:rPr>
          <w:rFonts w:ascii="Verdana" w:hAnsi="Verdana"/>
        </w:rPr>
        <w:t>E</w:t>
      </w:r>
      <w:r w:rsidR="007E0AEE" w:rsidRPr="00E055CB">
        <w:rPr>
          <w:rFonts w:ascii="Verdana" w:hAnsi="Verdana"/>
        </w:rPr>
        <w:t xml:space="preserve">n el </w:t>
      </w:r>
      <w:r w:rsidR="007E0AEE" w:rsidRPr="00E055CB">
        <w:rPr>
          <w:rFonts w:ascii="Verdana" w:hAnsi="Verdana"/>
          <w:i/>
        </w:rPr>
        <w:t xml:space="preserve">Caso de la Comunidad </w:t>
      </w:r>
      <w:proofErr w:type="spellStart"/>
      <w:r w:rsidR="007E0AEE" w:rsidRPr="00E055CB">
        <w:rPr>
          <w:rFonts w:ascii="Verdana" w:hAnsi="Verdana"/>
          <w:i/>
        </w:rPr>
        <w:t>Mayagna</w:t>
      </w:r>
      <w:proofErr w:type="spellEnd"/>
      <w:r w:rsidR="007E0AEE" w:rsidRPr="00E055CB">
        <w:rPr>
          <w:rFonts w:ascii="Verdana" w:hAnsi="Verdana"/>
          <w:i/>
        </w:rPr>
        <w:t xml:space="preserve"> (Sumo) </w:t>
      </w:r>
      <w:proofErr w:type="spellStart"/>
      <w:r w:rsidR="007E0AEE" w:rsidRPr="00E055CB">
        <w:rPr>
          <w:rFonts w:ascii="Verdana" w:hAnsi="Verdana"/>
          <w:i/>
        </w:rPr>
        <w:t>Awas</w:t>
      </w:r>
      <w:proofErr w:type="spellEnd"/>
      <w:r w:rsidR="007E0AEE" w:rsidRPr="00E055CB">
        <w:rPr>
          <w:rFonts w:ascii="Verdana" w:hAnsi="Verdana"/>
          <w:i/>
        </w:rPr>
        <w:t xml:space="preserve"> </w:t>
      </w:r>
      <w:proofErr w:type="spellStart"/>
      <w:r w:rsidR="007E0AEE" w:rsidRPr="00E055CB">
        <w:rPr>
          <w:rFonts w:ascii="Verdana" w:hAnsi="Verdana"/>
          <w:i/>
        </w:rPr>
        <w:t>Tingni</w:t>
      </w:r>
      <w:proofErr w:type="spellEnd"/>
      <w:r w:rsidR="007E0AEE" w:rsidRPr="00E055CB">
        <w:rPr>
          <w:rFonts w:ascii="Verdana" w:hAnsi="Verdana"/>
          <w:i/>
        </w:rPr>
        <w:t xml:space="preserve"> Vs. Nicaragua</w:t>
      </w:r>
      <w:r w:rsidR="007E0AEE" w:rsidRPr="00E055CB">
        <w:rPr>
          <w:rFonts w:ascii="Verdana" w:hAnsi="Verdana"/>
        </w:rPr>
        <w:t xml:space="preserve">, </w:t>
      </w:r>
      <w:r w:rsidRPr="00E055CB">
        <w:rPr>
          <w:rFonts w:ascii="Verdana" w:hAnsi="Verdana"/>
        </w:rPr>
        <w:t>se</w:t>
      </w:r>
      <w:r w:rsidR="007E0AEE" w:rsidRPr="00E055CB">
        <w:rPr>
          <w:rFonts w:ascii="Verdana" w:hAnsi="Verdana"/>
        </w:rPr>
        <w:t xml:space="preserve"> estimó que “el procedimiento para la titulación de tierras ocupadas por grupos indígenas no </w:t>
      </w:r>
      <w:proofErr w:type="spellStart"/>
      <w:r w:rsidR="007E0AEE" w:rsidRPr="00E055CB">
        <w:rPr>
          <w:rFonts w:ascii="Verdana" w:hAnsi="Verdana"/>
        </w:rPr>
        <w:t>est</w:t>
      </w:r>
      <w:proofErr w:type="spellEnd"/>
      <w:r w:rsidR="007E0AEE" w:rsidRPr="00E055CB">
        <w:rPr>
          <w:rFonts w:ascii="Verdana" w:hAnsi="Verdana"/>
        </w:rPr>
        <w:t xml:space="preserve">[aba] claramente regulado en la legislación nicaragüense”, en tanto que “la Ley No. 14 no </w:t>
      </w:r>
      <w:proofErr w:type="spellStart"/>
      <w:r w:rsidR="007E0AEE" w:rsidRPr="00E055CB">
        <w:rPr>
          <w:rFonts w:ascii="Verdana" w:hAnsi="Verdana"/>
        </w:rPr>
        <w:t>establec</w:t>
      </w:r>
      <w:proofErr w:type="spellEnd"/>
      <w:r w:rsidR="007E0AEE" w:rsidRPr="00E055CB">
        <w:rPr>
          <w:rFonts w:ascii="Verdana" w:hAnsi="Verdana"/>
        </w:rPr>
        <w:t>[</w:t>
      </w:r>
      <w:proofErr w:type="spellStart"/>
      <w:r w:rsidR="007E0AEE" w:rsidRPr="00E055CB">
        <w:rPr>
          <w:rFonts w:ascii="Verdana" w:hAnsi="Verdana"/>
        </w:rPr>
        <w:t>ía</w:t>
      </w:r>
      <w:proofErr w:type="spellEnd"/>
      <w:r w:rsidR="007E0AEE" w:rsidRPr="00E055CB">
        <w:rPr>
          <w:rFonts w:ascii="Verdana" w:hAnsi="Verdana"/>
        </w:rPr>
        <w:t xml:space="preserve">] un procedimiento específico para la demarcación y la titulación de las tierras ocupadas por comunidades indígenas, atendiendo a sus características particulares”. Consecuentemente, el Tribunal declaró que “no </w:t>
      </w:r>
      <w:proofErr w:type="spellStart"/>
      <w:r w:rsidR="007E0AEE" w:rsidRPr="00E055CB">
        <w:rPr>
          <w:rFonts w:ascii="Verdana" w:hAnsi="Verdana"/>
        </w:rPr>
        <w:t>exist</w:t>
      </w:r>
      <w:proofErr w:type="spellEnd"/>
      <w:r w:rsidR="007E0AEE" w:rsidRPr="00E055CB">
        <w:rPr>
          <w:rFonts w:ascii="Verdana" w:hAnsi="Verdana"/>
        </w:rPr>
        <w:t>[</w:t>
      </w:r>
      <w:proofErr w:type="spellStart"/>
      <w:r w:rsidR="007E0AEE" w:rsidRPr="00E055CB">
        <w:rPr>
          <w:rFonts w:ascii="Verdana" w:hAnsi="Verdana"/>
        </w:rPr>
        <w:t>ía</w:t>
      </w:r>
      <w:proofErr w:type="spellEnd"/>
      <w:r w:rsidR="007E0AEE" w:rsidRPr="00E055CB">
        <w:rPr>
          <w:rFonts w:ascii="Verdana" w:hAnsi="Verdana"/>
        </w:rPr>
        <w:t>] un procedimiento efectivo para delimitar, demarcar y titular las tierras comunales indígenas”</w:t>
      </w:r>
      <w:r w:rsidR="007E0AEE" w:rsidRPr="00E055CB">
        <w:rPr>
          <w:rFonts w:ascii="Verdana" w:hAnsi="Verdana"/>
          <w:shd w:val="clear" w:color="auto" w:fill="FFFFFF"/>
          <w:vertAlign w:val="superscript"/>
        </w:rPr>
        <w:footnoteReference w:id="29"/>
      </w:r>
      <w:r w:rsidR="007E0AEE" w:rsidRPr="00E055CB">
        <w:rPr>
          <w:rFonts w:ascii="Verdana" w:hAnsi="Verdana"/>
        </w:rPr>
        <w:t>.</w:t>
      </w:r>
      <w:r w:rsidRPr="00E055CB">
        <w:rPr>
          <w:rFonts w:ascii="Verdana" w:hAnsi="Verdana"/>
        </w:rPr>
        <w:t xml:space="preserve"> </w:t>
      </w:r>
    </w:p>
    <w:p w14:paraId="41873318" w14:textId="77777777" w:rsidR="00CA6254" w:rsidRPr="00E055CB" w:rsidRDefault="00CA6254" w:rsidP="00CC0B4C">
      <w:pPr>
        <w:pStyle w:val="Prrafodelista"/>
        <w:ind w:right="615"/>
        <w:rPr>
          <w:rFonts w:ascii="Verdana" w:hAnsi="Verdana"/>
        </w:rPr>
      </w:pPr>
    </w:p>
    <w:p w14:paraId="7ABFE8D8" w14:textId="1027B5BC" w:rsidR="007E0AEE" w:rsidRPr="00E055CB" w:rsidRDefault="00CA6254" w:rsidP="00CC0B4C">
      <w:pPr>
        <w:pStyle w:val="Prrafodelista"/>
        <w:numPr>
          <w:ilvl w:val="0"/>
          <w:numId w:val="1"/>
        </w:numPr>
        <w:ind w:left="0" w:right="615" w:firstLine="0"/>
        <w:contextualSpacing w:val="0"/>
        <w:jc w:val="both"/>
        <w:rPr>
          <w:rFonts w:ascii="Verdana" w:hAnsi="Verdana"/>
        </w:rPr>
      </w:pPr>
      <w:r w:rsidRPr="00E055CB">
        <w:rPr>
          <w:rFonts w:ascii="Verdana" w:hAnsi="Verdana"/>
        </w:rPr>
        <w:t xml:space="preserve">En el mismo sentido, </w:t>
      </w:r>
      <w:r w:rsidR="007E0AEE" w:rsidRPr="00E055CB">
        <w:rPr>
          <w:rFonts w:ascii="Verdana" w:hAnsi="Verdana"/>
        </w:rPr>
        <w:t xml:space="preserve">en el </w:t>
      </w:r>
      <w:r w:rsidR="007E0AEE" w:rsidRPr="00E055CB">
        <w:rPr>
          <w:rFonts w:ascii="Verdana" w:hAnsi="Verdana"/>
          <w:i/>
        </w:rPr>
        <w:t xml:space="preserve">Caso del Pueblo </w:t>
      </w:r>
      <w:proofErr w:type="spellStart"/>
      <w:r w:rsidR="007E0AEE" w:rsidRPr="00E055CB">
        <w:rPr>
          <w:rFonts w:ascii="Verdana" w:hAnsi="Verdana"/>
          <w:i/>
        </w:rPr>
        <w:t>Saramaka</w:t>
      </w:r>
      <w:proofErr w:type="spellEnd"/>
      <w:r w:rsidR="007E0AEE" w:rsidRPr="00E055CB">
        <w:rPr>
          <w:rFonts w:ascii="Verdana" w:hAnsi="Verdana"/>
          <w:i/>
        </w:rPr>
        <w:t xml:space="preserve"> Vs. Surinam</w:t>
      </w:r>
      <w:r w:rsidR="007E0AEE" w:rsidRPr="00E055CB">
        <w:rPr>
          <w:rFonts w:ascii="Verdana" w:hAnsi="Verdana"/>
        </w:rPr>
        <w:t xml:space="preserve">, la Corte afirmó, luego de advertir el contenido de normas constitucionales, legales y contenidas en decretos, que “el marco legal del Estado meramente </w:t>
      </w:r>
      <w:proofErr w:type="gramStart"/>
      <w:r w:rsidR="007E0AEE" w:rsidRPr="00E055CB">
        <w:rPr>
          <w:rFonts w:ascii="Verdana" w:hAnsi="Verdana"/>
        </w:rPr>
        <w:t>le</w:t>
      </w:r>
      <w:proofErr w:type="gramEnd"/>
      <w:r w:rsidR="007E0AEE" w:rsidRPr="00E055CB">
        <w:rPr>
          <w:rFonts w:ascii="Verdana" w:hAnsi="Verdana"/>
        </w:rPr>
        <w:t xml:space="preserve"> otorga a los integrantes del pueblo </w:t>
      </w:r>
      <w:proofErr w:type="spellStart"/>
      <w:r w:rsidR="007E0AEE" w:rsidRPr="00E055CB">
        <w:rPr>
          <w:rFonts w:ascii="Verdana" w:hAnsi="Verdana"/>
        </w:rPr>
        <w:t>Saramaka</w:t>
      </w:r>
      <w:proofErr w:type="spellEnd"/>
      <w:r w:rsidR="007E0AEE" w:rsidRPr="00E055CB">
        <w:rPr>
          <w:rFonts w:ascii="Verdana" w:hAnsi="Verdana"/>
        </w:rPr>
        <w:t xml:space="preserve"> un privilegio para usar la tierra, el cual no le garantiza el derecho de controlar efectivamente y ser propietarios de su territorio sin ningún tipo de interferencia externa”. De modo que, declaró el incumplimiento al artículo 2 de la CADH con motivo que “el sistema legal del Estado s[</w:t>
      </w:r>
      <w:proofErr w:type="spellStart"/>
      <w:r w:rsidR="007E0AEE" w:rsidRPr="00E055CB">
        <w:rPr>
          <w:rFonts w:ascii="Verdana" w:hAnsi="Verdana"/>
        </w:rPr>
        <w:t>eguía</w:t>
      </w:r>
      <w:proofErr w:type="spellEnd"/>
      <w:r w:rsidR="007E0AEE" w:rsidRPr="00E055CB">
        <w:rPr>
          <w:rFonts w:ascii="Verdana" w:hAnsi="Verdana"/>
        </w:rPr>
        <w:t xml:space="preserve">] sin reconocer el derecho a la propiedad de los miembros del pueblo </w:t>
      </w:r>
      <w:proofErr w:type="spellStart"/>
      <w:r w:rsidR="007E0AEE" w:rsidRPr="00E055CB">
        <w:rPr>
          <w:rFonts w:ascii="Verdana" w:hAnsi="Verdana"/>
        </w:rPr>
        <w:t>Saramaka</w:t>
      </w:r>
      <w:proofErr w:type="spellEnd"/>
      <w:r w:rsidR="007E0AEE" w:rsidRPr="00E055CB">
        <w:rPr>
          <w:rFonts w:ascii="Verdana" w:hAnsi="Verdana"/>
        </w:rPr>
        <w:t xml:space="preserve"> en relación con su territorio”</w:t>
      </w:r>
      <w:r w:rsidR="007E0AEE" w:rsidRPr="00E055CB">
        <w:rPr>
          <w:rFonts w:ascii="Verdana" w:hAnsi="Verdana"/>
          <w:shd w:val="clear" w:color="auto" w:fill="FFFFFF"/>
          <w:vertAlign w:val="superscript"/>
        </w:rPr>
        <w:footnoteReference w:id="30"/>
      </w:r>
      <w:r w:rsidR="007E0AEE" w:rsidRPr="00E055CB">
        <w:rPr>
          <w:rFonts w:ascii="Verdana" w:hAnsi="Verdana"/>
        </w:rPr>
        <w:t>.</w:t>
      </w:r>
    </w:p>
    <w:p w14:paraId="2F54B176" w14:textId="77777777" w:rsidR="007E0AEE" w:rsidRPr="00E055CB" w:rsidRDefault="007E0AEE" w:rsidP="00CC0B4C">
      <w:pPr>
        <w:pStyle w:val="Prrafodelista"/>
        <w:ind w:left="0" w:right="615"/>
        <w:contextualSpacing w:val="0"/>
        <w:jc w:val="both"/>
        <w:rPr>
          <w:rFonts w:ascii="Verdana" w:hAnsi="Verdana"/>
        </w:rPr>
      </w:pPr>
    </w:p>
    <w:p w14:paraId="5F28D39B" w14:textId="77777777" w:rsidR="007E0AEE" w:rsidRPr="00E055CB" w:rsidRDefault="007E0AEE" w:rsidP="00CC0B4C">
      <w:pPr>
        <w:pStyle w:val="Prrafodelista"/>
        <w:numPr>
          <w:ilvl w:val="0"/>
          <w:numId w:val="1"/>
        </w:numPr>
        <w:ind w:left="0" w:right="615" w:firstLine="0"/>
        <w:contextualSpacing w:val="0"/>
        <w:jc w:val="both"/>
        <w:rPr>
          <w:rFonts w:ascii="Verdana" w:hAnsi="Verdana"/>
        </w:rPr>
      </w:pPr>
      <w:r w:rsidRPr="00E055CB">
        <w:rPr>
          <w:rFonts w:ascii="Verdana" w:hAnsi="Verdana"/>
        </w:rPr>
        <w:t xml:space="preserve">Aunado a lo anterior, en el marco de la regulación al derecho a libertad de expresión, </w:t>
      </w:r>
      <w:r w:rsidR="00CA6254" w:rsidRPr="00E055CB">
        <w:rPr>
          <w:rFonts w:ascii="Verdana" w:hAnsi="Verdana"/>
        </w:rPr>
        <w:t>la Corte</w:t>
      </w:r>
      <w:r w:rsidRPr="00E055CB">
        <w:rPr>
          <w:rFonts w:ascii="Verdana" w:hAnsi="Verdana"/>
        </w:rPr>
        <w:t xml:space="preserve"> ha identificado diversas situaciones que revelan la ausencia de un marco regulatorio que, consecuentemente, implique un incumplimiento al deber de adoptar disposiciones de derecho interno. En el </w:t>
      </w:r>
      <w:r w:rsidRPr="00E055CB">
        <w:rPr>
          <w:rFonts w:ascii="Verdana" w:hAnsi="Verdana"/>
          <w:i/>
        </w:rPr>
        <w:t>Caso Claude Reyes y otros Vs. Chile</w:t>
      </w:r>
      <w:r w:rsidRPr="00E055CB">
        <w:rPr>
          <w:rFonts w:ascii="Verdana" w:hAnsi="Verdana"/>
        </w:rPr>
        <w:t>, la Corte notó que las limitaciones al acceso a la información bajo control del Estado no se encontraban consagradas en una ley, pues “[e]n esa época no existía en Chile legislación que regulara la materia”</w:t>
      </w:r>
      <w:r w:rsidRPr="00E055CB">
        <w:rPr>
          <w:rFonts w:ascii="Verdana" w:hAnsi="Verdana"/>
          <w:shd w:val="clear" w:color="auto" w:fill="FFFFFF"/>
          <w:vertAlign w:val="superscript"/>
        </w:rPr>
        <w:t xml:space="preserve"> </w:t>
      </w:r>
      <w:r w:rsidRPr="00E055CB">
        <w:rPr>
          <w:rFonts w:ascii="Verdana" w:hAnsi="Verdana"/>
          <w:shd w:val="clear" w:color="auto" w:fill="FFFFFF"/>
          <w:vertAlign w:val="superscript"/>
        </w:rPr>
        <w:footnoteReference w:id="31"/>
      </w:r>
      <w:r w:rsidRPr="00E055CB">
        <w:rPr>
          <w:rFonts w:ascii="Verdana" w:hAnsi="Verdana"/>
        </w:rPr>
        <w:t>.</w:t>
      </w:r>
      <w:r w:rsidR="00CA6254" w:rsidRPr="00E055CB">
        <w:rPr>
          <w:rFonts w:ascii="Verdana" w:hAnsi="Verdana"/>
        </w:rPr>
        <w:t xml:space="preserve"> En un sentido similar,</w:t>
      </w:r>
      <w:r w:rsidRPr="00E055CB">
        <w:rPr>
          <w:rFonts w:ascii="Verdana" w:hAnsi="Verdana"/>
        </w:rPr>
        <w:t xml:space="preserve"> en lo relacionado con el derecho a la vida privada y familiar, la Corte estudió el marco normativo relativo al secreto profesional, la confidencialidad de la historia clínica y la excepcionalidad de su divulgación en el contexto de una emergencia obstétrica y consideró que su insuficiencia constituía un</w:t>
      </w:r>
      <w:r w:rsidR="00AF2243" w:rsidRPr="00E055CB">
        <w:rPr>
          <w:rFonts w:ascii="Verdana" w:hAnsi="Verdana"/>
        </w:rPr>
        <w:t>a</w:t>
      </w:r>
      <w:r w:rsidRPr="00E055CB">
        <w:rPr>
          <w:rFonts w:ascii="Verdana" w:hAnsi="Verdana"/>
        </w:rPr>
        <w:t xml:space="preserve"> infracción al artículo 2 de la Convención</w:t>
      </w:r>
      <w:r w:rsidRPr="00E055CB">
        <w:rPr>
          <w:rFonts w:ascii="Verdana" w:hAnsi="Verdana"/>
          <w:shd w:val="clear" w:color="auto" w:fill="FFFFFF"/>
          <w:vertAlign w:val="superscript"/>
        </w:rPr>
        <w:footnoteReference w:id="32"/>
      </w:r>
      <w:r w:rsidRPr="00E055CB">
        <w:rPr>
          <w:rFonts w:ascii="Verdana" w:hAnsi="Verdana"/>
        </w:rPr>
        <w:t>.</w:t>
      </w:r>
    </w:p>
    <w:p w14:paraId="3C4AD60C" w14:textId="77777777" w:rsidR="007E0AEE" w:rsidRPr="00E055CB" w:rsidRDefault="007E0AEE" w:rsidP="00CC0B4C">
      <w:pPr>
        <w:pStyle w:val="Prrafodelista"/>
        <w:ind w:left="0" w:right="615"/>
        <w:contextualSpacing w:val="0"/>
        <w:jc w:val="both"/>
        <w:rPr>
          <w:rFonts w:ascii="Verdana" w:hAnsi="Verdana"/>
        </w:rPr>
      </w:pPr>
    </w:p>
    <w:p w14:paraId="1E02640D" w14:textId="70493F55" w:rsidR="007E0AEE" w:rsidRPr="00E055CB" w:rsidRDefault="007E0AEE" w:rsidP="00CC0B4C">
      <w:pPr>
        <w:pStyle w:val="Prrafodelista"/>
        <w:numPr>
          <w:ilvl w:val="0"/>
          <w:numId w:val="1"/>
        </w:numPr>
        <w:ind w:left="0" w:right="615" w:firstLine="0"/>
        <w:contextualSpacing w:val="0"/>
        <w:jc w:val="both"/>
        <w:rPr>
          <w:rFonts w:ascii="Verdana" w:hAnsi="Verdana"/>
        </w:rPr>
      </w:pPr>
      <w:r w:rsidRPr="00E055CB">
        <w:rPr>
          <w:rFonts w:ascii="Verdana" w:hAnsi="Verdana"/>
        </w:rPr>
        <w:t xml:space="preserve">Además, en el </w:t>
      </w:r>
      <w:r w:rsidRPr="00E055CB">
        <w:rPr>
          <w:rFonts w:ascii="Verdana" w:hAnsi="Verdana"/>
          <w:i/>
        </w:rPr>
        <w:t>Caso Ramírez Escobar y otros Vs. Guatemala</w:t>
      </w:r>
      <w:r w:rsidRPr="00E055CB">
        <w:rPr>
          <w:rFonts w:ascii="Verdana" w:hAnsi="Verdana"/>
        </w:rPr>
        <w:t xml:space="preserve">, la Corte estimó que la ausencia de un marco regulatorio que asegurara la supervisión y fiscalización de las instituciones y los centros de acogimiento residencial para niñas, niños y adolescentes constituía un incumplimiento al deber de adoptar disposiciones de derecho interno, </w:t>
      </w:r>
      <w:r w:rsidRPr="00E055CB">
        <w:rPr>
          <w:rFonts w:ascii="Verdana" w:hAnsi="Verdana"/>
        </w:rPr>
        <w:lastRenderedPageBreak/>
        <w:t>derivado de la vulneración al derecho a la vida familiar, entre otros</w:t>
      </w:r>
      <w:r w:rsidRPr="00E055CB">
        <w:rPr>
          <w:rFonts w:ascii="Verdana" w:hAnsi="Verdana"/>
          <w:shd w:val="clear" w:color="auto" w:fill="FFFFFF"/>
          <w:vertAlign w:val="superscript"/>
        </w:rPr>
        <w:footnoteReference w:id="33"/>
      </w:r>
      <w:r w:rsidRPr="00E055CB">
        <w:rPr>
          <w:rFonts w:ascii="Verdana" w:hAnsi="Verdana"/>
        </w:rPr>
        <w:t>.</w:t>
      </w:r>
      <w:r w:rsidR="00CA6254" w:rsidRPr="00E055CB">
        <w:rPr>
          <w:rFonts w:ascii="Verdana" w:hAnsi="Verdana"/>
        </w:rPr>
        <w:t xml:space="preserve"> </w:t>
      </w:r>
      <w:r w:rsidRPr="00E055CB">
        <w:rPr>
          <w:rFonts w:ascii="Verdana" w:hAnsi="Verdana"/>
        </w:rPr>
        <w:t xml:space="preserve">En lo referente a la libertad personal, </w:t>
      </w:r>
      <w:r w:rsidR="00CA6254" w:rsidRPr="00E055CB">
        <w:rPr>
          <w:rFonts w:ascii="Verdana" w:hAnsi="Verdana"/>
        </w:rPr>
        <w:t>la Corte</w:t>
      </w:r>
      <w:r w:rsidRPr="00E055CB">
        <w:rPr>
          <w:rFonts w:ascii="Verdana" w:hAnsi="Verdana"/>
        </w:rPr>
        <w:t xml:space="preserve"> </w:t>
      </w:r>
      <w:r w:rsidR="00CA6254" w:rsidRPr="00E055CB">
        <w:rPr>
          <w:rFonts w:ascii="Verdana" w:hAnsi="Verdana"/>
        </w:rPr>
        <w:t>identificó</w:t>
      </w:r>
      <w:r w:rsidRPr="00E055CB">
        <w:rPr>
          <w:rFonts w:ascii="Verdana" w:hAnsi="Verdana"/>
        </w:rPr>
        <w:t xml:space="preserve"> que la insuficiencia del marco regulatorio que habilita la detención sin orden judicial con fines de prevención del delito o en flagrancia, por parte de agentes encargados de hacer cumplir la ley, constituye una violación al artículo 2 de la Convención cuando no contempla, además de los requisitos de finalidad legítima, idoneidad y proporcionalidad, “la existencia de elementos objetivos, de forma que no sea la mera intuición policíaca ni criterios subjetivos, que no pueden ser verificados, los que motiven una detención”</w:t>
      </w:r>
      <w:r w:rsidRPr="00E055CB">
        <w:rPr>
          <w:rFonts w:ascii="Verdana" w:hAnsi="Verdana"/>
          <w:shd w:val="clear" w:color="auto" w:fill="FFFFFF"/>
          <w:vertAlign w:val="superscript"/>
        </w:rPr>
        <w:footnoteReference w:id="34"/>
      </w:r>
      <w:r w:rsidR="00FF7391" w:rsidRPr="00E055CB">
        <w:rPr>
          <w:rFonts w:ascii="Verdana" w:hAnsi="Verdana"/>
        </w:rPr>
        <w:t>.</w:t>
      </w:r>
    </w:p>
    <w:p w14:paraId="5CC50A75" w14:textId="77777777" w:rsidR="002455F5" w:rsidRPr="00E055CB" w:rsidRDefault="002455F5" w:rsidP="00CC0B4C">
      <w:pPr>
        <w:ind w:right="615"/>
        <w:jc w:val="center"/>
        <w:rPr>
          <w:rFonts w:ascii="Verdana" w:hAnsi="Verdana"/>
          <w:bCs/>
          <w:sz w:val="20"/>
          <w:szCs w:val="20"/>
        </w:rPr>
      </w:pPr>
    </w:p>
    <w:p w14:paraId="0E2F0C24" w14:textId="77777777" w:rsidR="00CC0B4C" w:rsidRPr="00E055CB" w:rsidRDefault="002455F5" w:rsidP="00CC0B4C">
      <w:pPr>
        <w:ind w:right="615"/>
        <w:jc w:val="center"/>
        <w:rPr>
          <w:rFonts w:ascii="Verdana" w:hAnsi="Verdana"/>
          <w:b/>
          <w:sz w:val="20"/>
          <w:szCs w:val="20"/>
        </w:rPr>
      </w:pPr>
      <w:r w:rsidRPr="00E055CB">
        <w:rPr>
          <w:rFonts w:ascii="Verdana" w:hAnsi="Verdana"/>
          <w:b/>
          <w:sz w:val="20"/>
          <w:szCs w:val="20"/>
        </w:rPr>
        <w:t xml:space="preserve">III. </w:t>
      </w:r>
      <w:r w:rsidR="00AF2243" w:rsidRPr="00E055CB">
        <w:rPr>
          <w:rFonts w:ascii="Verdana" w:hAnsi="Verdana"/>
          <w:b/>
          <w:sz w:val="20"/>
          <w:szCs w:val="20"/>
        </w:rPr>
        <w:t xml:space="preserve">LA VIOLACIÓN AL ARTÍCULO 2 DE LA CONVENCIÓN </w:t>
      </w:r>
    </w:p>
    <w:p w14:paraId="3DF16831" w14:textId="77777777" w:rsidR="00240394" w:rsidRPr="00E055CB" w:rsidRDefault="00AF2243" w:rsidP="00CC0B4C">
      <w:pPr>
        <w:ind w:right="615"/>
        <w:jc w:val="center"/>
        <w:rPr>
          <w:rFonts w:ascii="Verdana" w:hAnsi="Verdana"/>
          <w:b/>
          <w:sz w:val="20"/>
          <w:szCs w:val="20"/>
        </w:rPr>
      </w:pPr>
      <w:r w:rsidRPr="00E055CB">
        <w:rPr>
          <w:rFonts w:ascii="Verdana" w:hAnsi="Verdana"/>
          <w:b/>
          <w:sz w:val="20"/>
          <w:szCs w:val="20"/>
        </w:rPr>
        <w:t>EN EL PRESENTE CASO</w:t>
      </w:r>
    </w:p>
    <w:p w14:paraId="7136F298" w14:textId="77777777" w:rsidR="00240394" w:rsidRPr="00E055CB" w:rsidRDefault="00240394" w:rsidP="00CC0B4C">
      <w:pPr>
        <w:ind w:right="615"/>
        <w:rPr>
          <w:rFonts w:ascii="Verdana" w:hAnsi="Verdana"/>
          <w:sz w:val="20"/>
          <w:szCs w:val="20"/>
        </w:rPr>
      </w:pPr>
    </w:p>
    <w:p w14:paraId="6405A668" w14:textId="59B5613F" w:rsidR="000C6C31" w:rsidRPr="00E055CB" w:rsidRDefault="00BB34D5" w:rsidP="00CC0B4C">
      <w:pPr>
        <w:numPr>
          <w:ilvl w:val="0"/>
          <w:numId w:val="1"/>
        </w:numPr>
        <w:ind w:left="0" w:right="615" w:firstLine="0"/>
        <w:jc w:val="both"/>
        <w:rPr>
          <w:rFonts w:ascii="Verdana" w:hAnsi="Verdana"/>
          <w:sz w:val="20"/>
          <w:szCs w:val="20"/>
        </w:rPr>
      </w:pPr>
      <w:r w:rsidRPr="00E055CB">
        <w:rPr>
          <w:rFonts w:ascii="Verdana" w:hAnsi="Verdana"/>
          <w:sz w:val="20"/>
          <w:szCs w:val="20"/>
        </w:rPr>
        <w:t xml:space="preserve">En el presente caso nos encontramos con un supuesto que encaja precisamente en la violación al artículo 2 de la Convención ante un vacío normativo, a saber: la falta de regulación adecuada del </w:t>
      </w:r>
      <w:r w:rsidR="00752594" w:rsidRPr="00E055CB">
        <w:rPr>
          <w:rFonts w:ascii="Verdana" w:hAnsi="Verdana"/>
          <w:sz w:val="20"/>
          <w:szCs w:val="20"/>
        </w:rPr>
        <w:t>proceso</w:t>
      </w:r>
      <w:r w:rsidRPr="00E055CB">
        <w:rPr>
          <w:rFonts w:ascii="Verdana" w:hAnsi="Verdana"/>
          <w:sz w:val="20"/>
          <w:szCs w:val="20"/>
        </w:rPr>
        <w:t xml:space="preserve"> de restitución internacional </w:t>
      </w:r>
      <w:r w:rsidR="00964269">
        <w:rPr>
          <w:rFonts w:ascii="Verdana" w:hAnsi="Verdana"/>
          <w:sz w:val="20"/>
          <w:szCs w:val="20"/>
        </w:rPr>
        <w:t xml:space="preserve">de </w:t>
      </w:r>
      <w:proofErr w:type="gramStart"/>
      <w:r w:rsidR="00964269">
        <w:rPr>
          <w:rFonts w:ascii="Verdana" w:hAnsi="Verdana"/>
          <w:sz w:val="20"/>
          <w:szCs w:val="20"/>
        </w:rPr>
        <w:t>niños y niñas</w:t>
      </w:r>
      <w:proofErr w:type="gramEnd"/>
      <w:r w:rsidR="00964269">
        <w:rPr>
          <w:rFonts w:ascii="Verdana" w:hAnsi="Verdana"/>
          <w:sz w:val="20"/>
          <w:szCs w:val="20"/>
        </w:rPr>
        <w:t xml:space="preserve"> </w:t>
      </w:r>
      <w:r w:rsidRPr="00E055CB">
        <w:rPr>
          <w:rFonts w:ascii="Verdana" w:hAnsi="Verdana"/>
          <w:sz w:val="20"/>
          <w:szCs w:val="20"/>
        </w:rPr>
        <w:t xml:space="preserve">en Paraguay, lo cual derivó en una ausencia de efectividad en el </w:t>
      </w:r>
      <w:r w:rsidR="00752594" w:rsidRPr="00E055CB">
        <w:rPr>
          <w:rFonts w:ascii="Verdana" w:hAnsi="Verdana"/>
          <w:sz w:val="20"/>
          <w:szCs w:val="20"/>
        </w:rPr>
        <w:t>procedimiento</w:t>
      </w:r>
      <w:r w:rsidRPr="00E055CB">
        <w:rPr>
          <w:rFonts w:ascii="Verdana" w:hAnsi="Verdana"/>
          <w:sz w:val="20"/>
          <w:szCs w:val="20"/>
        </w:rPr>
        <w:t xml:space="preserve"> de restitución del hijo del señor Córdoba.</w:t>
      </w:r>
      <w:r w:rsidR="000C6C31" w:rsidRPr="00E055CB">
        <w:rPr>
          <w:rFonts w:ascii="Verdana" w:hAnsi="Verdana"/>
          <w:sz w:val="20"/>
          <w:szCs w:val="20"/>
        </w:rPr>
        <w:t xml:space="preserve"> En nuestro criterio</w:t>
      </w:r>
      <w:r w:rsidR="007A6509" w:rsidRPr="00E055CB">
        <w:rPr>
          <w:rFonts w:ascii="Verdana" w:hAnsi="Verdana"/>
          <w:sz w:val="20"/>
          <w:szCs w:val="20"/>
        </w:rPr>
        <w:t>,</w:t>
      </w:r>
      <w:r w:rsidR="000C6C31" w:rsidRPr="00E055CB">
        <w:rPr>
          <w:rFonts w:ascii="Verdana" w:hAnsi="Verdana"/>
          <w:sz w:val="20"/>
          <w:szCs w:val="20"/>
        </w:rPr>
        <w:t xml:space="preserve"> la obligación de regulación </w:t>
      </w:r>
      <w:r w:rsidR="00964269">
        <w:rPr>
          <w:rFonts w:ascii="Verdana" w:hAnsi="Verdana"/>
          <w:sz w:val="20"/>
          <w:szCs w:val="20"/>
        </w:rPr>
        <w:t>imponía</w:t>
      </w:r>
      <w:r w:rsidR="000C6C31" w:rsidRPr="00E055CB">
        <w:rPr>
          <w:rFonts w:ascii="Verdana" w:hAnsi="Verdana"/>
          <w:sz w:val="20"/>
          <w:szCs w:val="20"/>
        </w:rPr>
        <w:t xml:space="preserve"> al Estado </w:t>
      </w:r>
      <w:r w:rsidR="00964269">
        <w:rPr>
          <w:rFonts w:ascii="Verdana" w:hAnsi="Verdana"/>
          <w:sz w:val="20"/>
          <w:szCs w:val="20"/>
        </w:rPr>
        <w:t>el deber de</w:t>
      </w:r>
      <w:r w:rsidR="000C6C31" w:rsidRPr="00E055CB">
        <w:rPr>
          <w:rFonts w:ascii="Verdana" w:hAnsi="Verdana"/>
          <w:sz w:val="20"/>
          <w:szCs w:val="20"/>
        </w:rPr>
        <w:t xml:space="preserve"> adoptar una ley que hiciera efectiva la protección de los derechos de los </w:t>
      </w:r>
      <w:r w:rsidR="007903D6" w:rsidRPr="00E055CB">
        <w:rPr>
          <w:rFonts w:ascii="Verdana" w:hAnsi="Verdana"/>
          <w:sz w:val="20"/>
          <w:szCs w:val="20"/>
        </w:rPr>
        <w:t xml:space="preserve">progenitores </w:t>
      </w:r>
      <w:r w:rsidR="000C6C31" w:rsidRPr="00E055CB">
        <w:rPr>
          <w:rFonts w:ascii="Verdana" w:hAnsi="Verdana"/>
          <w:sz w:val="20"/>
          <w:szCs w:val="20"/>
        </w:rPr>
        <w:t xml:space="preserve">y de </w:t>
      </w:r>
      <w:r w:rsidR="007903D6" w:rsidRPr="00E055CB">
        <w:rPr>
          <w:rFonts w:ascii="Verdana" w:hAnsi="Verdana"/>
          <w:sz w:val="20"/>
          <w:szCs w:val="20"/>
        </w:rPr>
        <w:t>las niñas y de los niños</w:t>
      </w:r>
      <w:r w:rsidR="00A13C61" w:rsidRPr="00E055CB">
        <w:rPr>
          <w:rFonts w:ascii="Verdana" w:hAnsi="Verdana"/>
          <w:sz w:val="20"/>
          <w:szCs w:val="20"/>
        </w:rPr>
        <w:t xml:space="preserve"> </w:t>
      </w:r>
      <w:r w:rsidR="000C6C31" w:rsidRPr="00E055CB">
        <w:rPr>
          <w:rFonts w:ascii="Verdana" w:hAnsi="Verdana"/>
          <w:sz w:val="20"/>
          <w:szCs w:val="20"/>
        </w:rPr>
        <w:t xml:space="preserve">en un procedimiento de </w:t>
      </w:r>
      <w:r w:rsidR="007903D6" w:rsidRPr="00E055CB">
        <w:rPr>
          <w:rFonts w:ascii="Verdana" w:hAnsi="Verdana"/>
          <w:sz w:val="20"/>
          <w:szCs w:val="20"/>
        </w:rPr>
        <w:t>restitución</w:t>
      </w:r>
      <w:r w:rsidR="000C6C31" w:rsidRPr="00E055CB">
        <w:rPr>
          <w:rFonts w:ascii="Verdana" w:hAnsi="Verdana"/>
          <w:sz w:val="20"/>
          <w:szCs w:val="20"/>
        </w:rPr>
        <w:t>. Esta obligación se deriva,</w:t>
      </w:r>
      <w:r w:rsidR="007A6509" w:rsidRPr="00E055CB">
        <w:rPr>
          <w:rFonts w:ascii="Verdana" w:hAnsi="Verdana"/>
          <w:sz w:val="20"/>
          <w:szCs w:val="20"/>
        </w:rPr>
        <w:t xml:space="preserve"> en primer lugar, del propio Convenio de La Haya</w:t>
      </w:r>
      <w:r w:rsidR="000C6C31" w:rsidRPr="00E055CB">
        <w:rPr>
          <w:rFonts w:ascii="Verdana" w:hAnsi="Verdana"/>
          <w:sz w:val="20"/>
          <w:szCs w:val="20"/>
        </w:rPr>
        <w:t>, que es el tratado en virtud del cual se han interpretado las obligaciones en materia de restitución internacional,</w:t>
      </w:r>
      <w:r w:rsidR="00752594" w:rsidRPr="00E055CB">
        <w:rPr>
          <w:rFonts w:ascii="Verdana" w:hAnsi="Verdana"/>
          <w:sz w:val="20"/>
          <w:szCs w:val="20"/>
        </w:rPr>
        <w:t xml:space="preserve"> tal como se observa en la sentencia,</w:t>
      </w:r>
      <w:r w:rsidR="000C6C31" w:rsidRPr="00E055CB">
        <w:rPr>
          <w:rFonts w:ascii="Verdana" w:hAnsi="Verdana"/>
          <w:sz w:val="20"/>
          <w:szCs w:val="20"/>
        </w:rPr>
        <w:t xml:space="preserve"> pero también de las obligaciones que </w:t>
      </w:r>
      <w:r w:rsidR="00B01CA2" w:rsidRPr="00E055CB">
        <w:rPr>
          <w:rFonts w:ascii="Verdana" w:hAnsi="Verdana"/>
          <w:sz w:val="20"/>
          <w:szCs w:val="20"/>
        </w:rPr>
        <w:t>surgen para los Estados, en virtud de la Convención Americana, respecto de la protección de los derechos de la niñez -no analizado en el presente caso</w:t>
      </w:r>
      <w:r w:rsidR="00752594" w:rsidRPr="00E055CB">
        <w:rPr>
          <w:rFonts w:ascii="Verdana" w:hAnsi="Verdana"/>
          <w:sz w:val="20"/>
          <w:szCs w:val="20"/>
        </w:rPr>
        <w:t>, por la naturaleza de la litis</w:t>
      </w:r>
      <w:r w:rsidR="00B01CA2" w:rsidRPr="00E055CB">
        <w:rPr>
          <w:rFonts w:ascii="Verdana" w:hAnsi="Verdana"/>
          <w:sz w:val="20"/>
          <w:szCs w:val="20"/>
        </w:rPr>
        <w:t>-</w:t>
      </w:r>
      <w:r w:rsidR="00964269">
        <w:rPr>
          <w:rFonts w:ascii="Verdana" w:hAnsi="Verdana"/>
          <w:sz w:val="20"/>
          <w:szCs w:val="20"/>
        </w:rPr>
        <w:t>, el derecho a la vida privada y familiar</w:t>
      </w:r>
      <w:r w:rsidR="00B01CA2" w:rsidRPr="00E055CB">
        <w:rPr>
          <w:rFonts w:ascii="Verdana" w:hAnsi="Verdana"/>
          <w:sz w:val="20"/>
          <w:szCs w:val="20"/>
        </w:rPr>
        <w:t xml:space="preserve"> y el derecho </w:t>
      </w:r>
      <w:r w:rsidR="00964269">
        <w:rPr>
          <w:rFonts w:ascii="Verdana" w:hAnsi="Verdana"/>
          <w:sz w:val="20"/>
          <w:szCs w:val="20"/>
        </w:rPr>
        <w:t>a la protección a</w:t>
      </w:r>
      <w:r w:rsidR="00964269" w:rsidRPr="00E055CB">
        <w:rPr>
          <w:rFonts w:ascii="Verdana" w:hAnsi="Verdana"/>
          <w:sz w:val="20"/>
          <w:szCs w:val="20"/>
        </w:rPr>
        <w:t xml:space="preserve"> </w:t>
      </w:r>
      <w:r w:rsidR="00B01CA2" w:rsidRPr="00E055CB">
        <w:rPr>
          <w:rFonts w:ascii="Verdana" w:hAnsi="Verdana"/>
          <w:sz w:val="20"/>
          <w:szCs w:val="20"/>
        </w:rPr>
        <w:t>la familia</w:t>
      </w:r>
      <w:r w:rsidR="007A6509" w:rsidRPr="00E055CB">
        <w:rPr>
          <w:rFonts w:ascii="Verdana" w:hAnsi="Verdana"/>
          <w:sz w:val="20"/>
          <w:szCs w:val="20"/>
        </w:rPr>
        <w:t xml:space="preserve">. </w:t>
      </w:r>
    </w:p>
    <w:p w14:paraId="47CDC0EB" w14:textId="77777777" w:rsidR="000C6C31" w:rsidRPr="00E055CB" w:rsidRDefault="000C6C31" w:rsidP="00CC0B4C">
      <w:pPr>
        <w:pStyle w:val="Prrafodelista"/>
        <w:ind w:right="615"/>
        <w:rPr>
          <w:rFonts w:ascii="Verdana" w:hAnsi="Verdana"/>
        </w:rPr>
      </w:pPr>
    </w:p>
    <w:p w14:paraId="3B6EC8BE" w14:textId="77777777" w:rsidR="00B01CA2" w:rsidRPr="00E055CB" w:rsidRDefault="00B01CA2" w:rsidP="00CC0B4C">
      <w:pPr>
        <w:numPr>
          <w:ilvl w:val="0"/>
          <w:numId w:val="1"/>
        </w:numPr>
        <w:ind w:left="0" w:right="615" w:firstLine="0"/>
        <w:jc w:val="both"/>
        <w:rPr>
          <w:rFonts w:ascii="Verdana" w:hAnsi="Verdana"/>
          <w:sz w:val="20"/>
          <w:szCs w:val="20"/>
        </w:rPr>
      </w:pPr>
      <w:r w:rsidRPr="00E055CB">
        <w:rPr>
          <w:rFonts w:ascii="Verdana" w:hAnsi="Verdana"/>
          <w:sz w:val="20"/>
          <w:szCs w:val="20"/>
        </w:rPr>
        <w:t>En relación con lo anterior c</w:t>
      </w:r>
      <w:r w:rsidR="007A6509" w:rsidRPr="00E055CB">
        <w:rPr>
          <w:rFonts w:ascii="Verdana" w:hAnsi="Verdana"/>
          <w:sz w:val="20"/>
          <w:szCs w:val="20"/>
        </w:rPr>
        <w:t xml:space="preserve">abe recordar que, como fue mencionado en la sentencia, la Guía de Buenas Prácticas en virtud del Convenio de La Haya </w:t>
      </w:r>
      <w:r w:rsidR="007903D6" w:rsidRPr="00E055CB">
        <w:rPr>
          <w:rFonts w:ascii="Verdana" w:hAnsi="Verdana"/>
          <w:sz w:val="20"/>
          <w:szCs w:val="20"/>
        </w:rPr>
        <w:t xml:space="preserve">establece </w:t>
      </w:r>
      <w:r w:rsidR="007A6509" w:rsidRPr="00E055CB">
        <w:rPr>
          <w:rFonts w:ascii="Verdana" w:hAnsi="Verdana"/>
          <w:sz w:val="20"/>
          <w:szCs w:val="20"/>
        </w:rPr>
        <w:t>que los Estados deb</w:t>
      </w:r>
      <w:r w:rsidR="007903D6" w:rsidRPr="00E055CB">
        <w:rPr>
          <w:rFonts w:ascii="Verdana" w:hAnsi="Verdana"/>
          <w:sz w:val="20"/>
          <w:szCs w:val="20"/>
        </w:rPr>
        <w:t>e</w:t>
      </w:r>
      <w:r w:rsidR="007A6509" w:rsidRPr="00E055CB">
        <w:rPr>
          <w:rFonts w:ascii="Verdana" w:hAnsi="Verdana"/>
          <w:sz w:val="20"/>
          <w:szCs w:val="20"/>
        </w:rPr>
        <w:t xml:space="preserve">n “promulgar determinadas disposiciones necesarias para la buena aplicación del Convenio”. El Estado en efecto adoptó algunas medidas dirigidas a lograr esta aplicación, como el </w:t>
      </w:r>
      <w:r w:rsidRPr="00E055CB">
        <w:rPr>
          <w:rFonts w:ascii="Verdana" w:hAnsi="Verdana"/>
          <w:sz w:val="20"/>
          <w:szCs w:val="20"/>
        </w:rPr>
        <w:t>“</w:t>
      </w:r>
      <w:r w:rsidR="007A6509" w:rsidRPr="00E055CB">
        <w:rPr>
          <w:rFonts w:ascii="Verdana" w:hAnsi="Verdana"/>
          <w:sz w:val="20"/>
          <w:szCs w:val="20"/>
          <w:lang w:val="es-MX" w:eastAsia="es-MX"/>
        </w:rPr>
        <w:t>Instructivo de procedimiento para la aplicación de los instrumentos internacionales ratificados por la República del Paraguay en materia de Restitución Internacional de Menores</w:t>
      </w:r>
      <w:r w:rsidRPr="00E055CB">
        <w:rPr>
          <w:rFonts w:ascii="Verdana" w:hAnsi="Verdana"/>
          <w:sz w:val="20"/>
          <w:szCs w:val="20"/>
          <w:lang w:val="es-MX" w:eastAsia="es-MX"/>
        </w:rPr>
        <w:t>”,</w:t>
      </w:r>
      <w:r w:rsidR="007A6509" w:rsidRPr="00E055CB">
        <w:rPr>
          <w:rFonts w:ascii="Verdana" w:hAnsi="Verdana"/>
          <w:sz w:val="20"/>
          <w:szCs w:val="20"/>
          <w:lang w:val="es-MX" w:eastAsia="es-MX"/>
        </w:rPr>
        <w:t xml:space="preserve"> y el </w:t>
      </w:r>
      <w:r w:rsidRPr="00E055CB">
        <w:rPr>
          <w:rFonts w:ascii="Verdana" w:hAnsi="Verdana"/>
          <w:sz w:val="20"/>
          <w:szCs w:val="20"/>
          <w:lang w:val="es-MX" w:eastAsia="es-MX"/>
        </w:rPr>
        <w:t>“</w:t>
      </w:r>
      <w:r w:rsidR="007A6509" w:rsidRPr="00E055CB">
        <w:rPr>
          <w:rFonts w:ascii="Verdana" w:hAnsi="Verdana"/>
          <w:sz w:val="20"/>
          <w:szCs w:val="20"/>
          <w:lang w:val="es-MX" w:eastAsia="es-MX"/>
        </w:rPr>
        <w:t>Protocolo y ruta de intervención de restitución internacional de niños, niñas y adolescentes en Paraguay</w:t>
      </w:r>
      <w:r w:rsidRPr="00E055CB">
        <w:rPr>
          <w:rFonts w:ascii="Verdana" w:hAnsi="Verdana"/>
          <w:sz w:val="20"/>
          <w:szCs w:val="20"/>
          <w:lang w:val="es-MX" w:eastAsia="es-MX"/>
        </w:rPr>
        <w:t>”</w:t>
      </w:r>
      <w:r w:rsidR="007A6509" w:rsidRPr="00E055CB">
        <w:rPr>
          <w:rFonts w:ascii="Verdana" w:hAnsi="Verdana"/>
          <w:sz w:val="20"/>
          <w:szCs w:val="20"/>
        </w:rPr>
        <w:t xml:space="preserve">. Sin embargo, </w:t>
      </w:r>
      <w:r w:rsidRPr="00E055CB">
        <w:rPr>
          <w:rFonts w:ascii="Verdana" w:hAnsi="Verdana"/>
          <w:sz w:val="20"/>
          <w:szCs w:val="20"/>
        </w:rPr>
        <w:t xml:space="preserve">ninguna de estas disposiciones fue adoptada por el Congreso, sino </w:t>
      </w:r>
      <w:r w:rsidR="007903D6" w:rsidRPr="00E055CB">
        <w:rPr>
          <w:rFonts w:ascii="Verdana" w:hAnsi="Verdana"/>
          <w:sz w:val="20"/>
          <w:szCs w:val="20"/>
        </w:rPr>
        <w:t xml:space="preserve">que </w:t>
      </w:r>
      <w:r w:rsidRPr="00E055CB">
        <w:rPr>
          <w:rFonts w:ascii="Verdana" w:hAnsi="Verdana"/>
          <w:sz w:val="20"/>
          <w:szCs w:val="20"/>
        </w:rPr>
        <w:t>fueron resultado de acciones llevadas a cabo por la Corte Suprema de Justicia y el Ministerio de la Niñez y la Adolescencia, por lo que su eficacia fue -naturalmente- menor a la de una ley.</w:t>
      </w:r>
    </w:p>
    <w:p w14:paraId="241804E8" w14:textId="77777777" w:rsidR="007A6509" w:rsidRPr="00E055CB" w:rsidRDefault="007A6509" w:rsidP="00CC0B4C">
      <w:pPr>
        <w:ind w:right="615"/>
        <w:jc w:val="both"/>
        <w:rPr>
          <w:rFonts w:ascii="Verdana" w:hAnsi="Verdana"/>
          <w:sz w:val="20"/>
          <w:szCs w:val="20"/>
        </w:rPr>
      </w:pPr>
    </w:p>
    <w:p w14:paraId="68868510" w14:textId="0877C8E4" w:rsidR="00257FFD" w:rsidRPr="00E055CB" w:rsidRDefault="00B01CA2" w:rsidP="00D023FD">
      <w:pPr>
        <w:numPr>
          <w:ilvl w:val="0"/>
          <w:numId w:val="1"/>
        </w:numPr>
        <w:ind w:left="0" w:right="615" w:firstLine="0"/>
        <w:jc w:val="both"/>
        <w:rPr>
          <w:rFonts w:ascii="Verdana" w:hAnsi="Verdana"/>
          <w:sz w:val="20"/>
          <w:szCs w:val="20"/>
        </w:rPr>
      </w:pPr>
      <w:r w:rsidRPr="00E055CB">
        <w:rPr>
          <w:rFonts w:ascii="Verdana" w:hAnsi="Verdana"/>
          <w:sz w:val="20"/>
          <w:szCs w:val="20"/>
        </w:rPr>
        <w:t>Quizás en otras materias ser</w:t>
      </w:r>
      <w:r w:rsidR="00257FFD" w:rsidRPr="00E055CB">
        <w:rPr>
          <w:rFonts w:ascii="Verdana" w:hAnsi="Verdana"/>
          <w:sz w:val="20"/>
          <w:szCs w:val="20"/>
        </w:rPr>
        <w:t>ía</w:t>
      </w:r>
      <w:r w:rsidRPr="00E055CB">
        <w:rPr>
          <w:rFonts w:ascii="Verdana" w:hAnsi="Verdana"/>
          <w:sz w:val="20"/>
          <w:szCs w:val="20"/>
        </w:rPr>
        <w:t xml:space="preserve"> suficiente con la adopción de dichos mecanismos para lograr la efectividad de una norma contenida en un tratado, pero en casos que involucran una materia tan delicada -y donde existe una obligación internacional para adoptar medidas legislativas eficaces- la adopción de </w:t>
      </w:r>
      <w:r w:rsidR="00063964" w:rsidRPr="00E055CB">
        <w:rPr>
          <w:rFonts w:ascii="Verdana" w:hAnsi="Verdana"/>
          <w:sz w:val="20"/>
          <w:szCs w:val="20"/>
        </w:rPr>
        <w:t>“</w:t>
      </w:r>
      <w:r w:rsidRPr="00E055CB">
        <w:rPr>
          <w:rFonts w:ascii="Verdana" w:hAnsi="Verdana"/>
          <w:sz w:val="20"/>
          <w:szCs w:val="20"/>
        </w:rPr>
        <w:t>instructivos</w:t>
      </w:r>
      <w:r w:rsidR="00063964" w:rsidRPr="00E055CB">
        <w:rPr>
          <w:rFonts w:ascii="Verdana" w:hAnsi="Verdana"/>
          <w:sz w:val="20"/>
          <w:szCs w:val="20"/>
        </w:rPr>
        <w:t>”</w:t>
      </w:r>
      <w:r w:rsidRPr="00E055CB">
        <w:rPr>
          <w:rFonts w:ascii="Verdana" w:hAnsi="Verdana"/>
          <w:sz w:val="20"/>
          <w:szCs w:val="20"/>
        </w:rPr>
        <w:t xml:space="preserve"> y </w:t>
      </w:r>
      <w:r w:rsidR="00063964" w:rsidRPr="00E055CB">
        <w:rPr>
          <w:rFonts w:ascii="Verdana" w:hAnsi="Verdana"/>
          <w:sz w:val="20"/>
          <w:szCs w:val="20"/>
        </w:rPr>
        <w:t>“</w:t>
      </w:r>
      <w:r w:rsidRPr="00E055CB">
        <w:rPr>
          <w:rFonts w:ascii="Verdana" w:hAnsi="Verdana"/>
          <w:sz w:val="20"/>
          <w:szCs w:val="20"/>
        </w:rPr>
        <w:t>protocolos</w:t>
      </w:r>
      <w:r w:rsidR="00063964" w:rsidRPr="00E055CB">
        <w:rPr>
          <w:rFonts w:ascii="Verdana" w:hAnsi="Verdana"/>
          <w:sz w:val="20"/>
          <w:szCs w:val="20"/>
        </w:rPr>
        <w:t>”</w:t>
      </w:r>
      <w:r w:rsidRPr="00E055CB">
        <w:rPr>
          <w:rFonts w:ascii="Verdana" w:hAnsi="Verdana"/>
          <w:sz w:val="20"/>
          <w:szCs w:val="20"/>
        </w:rPr>
        <w:t xml:space="preserve"> no resulta suficiente para lograr la plena eficacia de los derechos en juego. </w:t>
      </w:r>
      <w:r w:rsidR="00092836" w:rsidRPr="00E055CB">
        <w:rPr>
          <w:rFonts w:ascii="Verdana" w:hAnsi="Verdana"/>
          <w:sz w:val="20"/>
          <w:szCs w:val="20"/>
        </w:rPr>
        <w:t>En este punto resulta preciso recordar que l</w:t>
      </w:r>
      <w:r w:rsidR="008C7DC0" w:rsidRPr="00E055CB">
        <w:rPr>
          <w:rFonts w:ascii="Verdana" w:hAnsi="Verdana"/>
          <w:sz w:val="20"/>
          <w:szCs w:val="20"/>
        </w:rPr>
        <w:t xml:space="preserve">a Corte ha establecido en su jurisprudencia </w:t>
      </w:r>
      <w:r w:rsidR="00257FFD" w:rsidRPr="00E055CB">
        <w:rPr>
          <w:rFonts w:ascii="Verdana" w:hAnsi="Verdana"/>
          <w:sz w:val="20"/>
          <w:szCs w:val="20"/>
        </w:rPr>
        <w:t xml:space="preserve">respecto de la </w:t>
      </w:r>
      <w:r w:rsidR="009C7F6C">
        <w:rPr>
          <w:rFonts w:ascii="Verdana" w:hAnsi="Verdana"/>
          <w:sz w:val="20"/>
          <w:szCs w:val="20"/>
        </w:rPr>
        <w:t>p</w:t>
      </w:r>
      <w:r w:rsidR="009C7F6C" w:rsidRPr="00E055CB">
        <w:rPr>
          <w:rFonts w:ascii="Verdana" w:hAnsi="Verdana"/>
          <w:sz w:val="20"/>
          <w:szCs w:val="20"/>
        </w:rPr>
        <w:t xml:space="preserve">rotección </w:t>
      </w:r>
      <w:r w:rsidR="009C7F6C">
        <w:rPr>
          <w:rFonts w:ascii="Verdana" w:hAnsi="Verdana"/>
          <w:sz w:val="20"/>
          <w:szCs w:val="20"/>
        </w:rPr>
        <w:t>a</w:t>
      </w:r>
      <w:r w:rsidR="009C7F6C" w:rsidRPr="00E055CB">
        <w:rPr>
          <w:rFonts w:ascii="Verdana" w:hAnsi="Verdana"/>
          <w:sz w:val="20"/>
          <w:szCs w:val="20"/>
        </w:rPr>
        <w:t xml:space="preserve"> </w:t>
      </w:r>
      <w:r w:rsidR="00257FFD" w:rsidRPr="00E055CB">
        <w:rPr>
          <w:rFonts w:ascii="Verdana" w:hAnsi="Verdana"/>
          <w:sz w:val="20"/>
          <w:szCs w:val="20"/>
        </w:rPr>
        <w:t xml:space="preserve">la familia – art. 17 Convención Americana - </w:t>
      </w:r>
      <w:r w:rsidR="008C7DC0" w:rsidRPr="00E055CB">
        <w:rPr>
          <w:rFonts w:ascii="Verdana" w:hAnsi="Verdana"/>
          <w:sz w:val="20"/>
          <w:szCs w:val="20"/>
        </w:rPr>
        <w:t xml:space="preserve">que el Estado </w:t>
      </w:r>
      <w:r w:rsidRPr="00E055CB">
        <w:rPr>
          <w:rFonts w:ascii="Verdana" w:hAnsi="Verdana"/>
          <w:sz w:val="20"/>
          <w:szCs w:val="20"/>
        </w:rPr>
        <w:t>s</w:t>
      </w:r>
      <w:r w:rsidR="008C7DC0" w:rsidRPr="00E055CB">
        <w:rPr>
          <w:rFonts w:ascii="Verdana" w:hAnsi="Verdana"/>
          <w:sz w:val="20"/>
          <w:szCs w:val="20"/>
        </w:rPr>
        <w:t xml:space="preserve">e encuentra obligado a favorecer el desarrollo y la fortaleza del núcleo familiar, y por ello debe realizar acciones positivas para proteger a las personas contra injerencias arbitrarias o </w:t>
      </w:r>
      <w:r w:rsidR="008C7DC0" w:rsidRPr="00E055CB">
        <w:rPr>
          <w:rFonts w:ascii="Verdana" w:hAnsi="Verdana"/>
          <w:sz w:val="20"/>
          <w:szCs w:val="20"/>
        </w:rPr>
        <w:lastRenderedPageBreak/>
        <w:t xml:space="preserve">ilegales en su familia. </w:t>
      </w:r>
      <w:r w:rsidRPr="00E055CB">
        <w:rPr>
          <w:rFonts w:ascii="Verdana" w:hAnsi="Verdana"/>
          <w:sz w:val="20"/>
          <w:szCs w:val="20"/>
        </w:rPr>
        <w:t>La Corte también ha enfatizado que</w:t>
      </w:r>
      <w:r w:rsidR="008C7DC0" w:rsidRPr="00E055CB">
        <w:rPr>
          <w:rFonts w:ascii="Verdana" w:hAnsi="Verdana"/>
          <w:sz w:val="20"/>
          <w:szCs w:val="20"/>
        </w:rPr>
        <w:t xml:space="preserve"> la separación o fraccionamiento de </w:t>
      </w:r>
      <w:r w:rsidRPr="00E055CB">
        <w:rPr>
          <w:rFonts w:ascii="Verdana" w:hAnsi="Verdana"/>
          <w:sz w:val="20"/>
          <w:szCs w:val="20"/>
        </w:rPr>
        <w:t>los</w:t>
      </w:r>
      <w:r w:rsidR="008C7DC0" w:rsidRPr="00E055CB">
        <w:rPr>
          <w:rFonts w:ascii="Verdana" w:hAnsi="Verdana"/>
          <w:sz w:val="20"/>
          <w:szCs w:val="20"/>
        </w:rPr>
        <w:t xml:space="preserve"> miembros</w:t>
      </w:r>
      <w:r w:rsidRPr="00E055CB">
        <w:rPr>
          <w:rFonts w:ascii="Verdana" w:hAnsi="Verdana"/>
          <w:sz w:val="20"/>
          <w:szCs w:val="20"/>
        </w:rPr>
        <w:t xml:space="preserve"> de la familia es especialmente grave</w:t>
      </w:r>
      <w:r w:rsidR="008C7DC0" w:rsidRPr="00E055CB">
        <w:rPr>
          <w:rFonts w:ascii="Verdana" w:hAnsi="Verdana"/>
          <w:sz w:val="20"/>
          <w:szCs w:val="20"/>
        </w:rPr>
        <w:t xml:space="preserve">, </w:t>
      </w:r>
      <w:r w:rsidRPr="00E055CB">
        <w:rPr>
          <w:rFonts w:ascii="Verdana" w:hAnsi="Verdana"/>
          <w:sz w:val="20"/>
          <w:szCs w:val="20"/>
        </w:rPr>
        <w:t xml:space="preserve">más aún para </w:t>
      </w:r>
      <w:r w:rsidR="00752594" w:rsidRPr="00E055CB">
        <w:rPr>
          <w:rFonts w:ascii="Verdana" w:hAnsi="Verdana"/>
          <w:sz w:val="20"/>
          <w:szCs w:val="20"/>
        </w:rPr>
        <w:t>la niñez</w:t>
      </w:r>
      <w:r w:rsidRPr="00E055CB">
        <w:rPr>
          <w:rFonts w:ascii="Verdana" w:hAnsi="Verdana"/>
          <w:sz w:val="20"/>
          <w:szCs w:val="20"/>
        </w:rPr>
        <w:t xml:space="preserve"> -y, por supuesto, también lo es para los padres</w:t>
      </w:r>
      <w:r w:rsidR="00063964" w:rsidRPr="00E055CB">
        <w:rPr>
          <w:rFonts w:ascii="Verdana" w:hAnsi="Verdana"/>
          <w:sz w:val="20"/>
          <w:szCs w:val="20"/>
        </w:rPr>
        <w:t>-</w:t>
      </w:r>
      <w:r w:rsidR="008C7DC0" w:rsidRPr="00E055CB">
        <w:rPr>
          <w:rStyle w:val="Refdenotaalpie"/>
          <w:rFonts w:ascii="Verdana" w:hAnsi="Verdana"/>
          <w:sz w:val="20"/>
          <w:szCs w:val="20"/>
        </w:rPr>
        <w:footnoteReference w:id="35"/>
      </w:r>
      <w:r w:rsidR="008C7DC0" w:rsidRPr="00E055CB">
        <w:rPr>
          <w:rFonts w:ascii="Verdana" w:hAnsi="Verdana"/>
          <w:sz w:val="20"/>
          <w:szCs w:val="20"/>
        </w:rPr>
        <w:t>.</w:t>
      </w:r>
      <w:r w:rsidR="00257FFD" w:rsidRPr="00E055CB">
        <w:rPr>
          <w:rFonts w:ascii="Verdana" w:hAnsi="Verdana"/>
          <w:sz w:val="20"/>
          <w:szCs w:val="20"/>
        </w:rPr>
        <w:t xml:space="preserve"> En el mismo sentido, el artículo 9 de la Convención de los Derechos del Niño establece:</w:t>
      </w:r>
      <w:r w:rsidR="00D023FD" w:rsidRPr="00E055CB">
        <w:rPr>
          <w:rFonts w:ascii="Verdana" w:hAnsi="Verdana"/>
          <w:sz w:val="20"/>
          <w:szCs w:val="20"/>
        </w:rPr>
        <w:t xml:space="preserve"> “[l]</w:t>
      </w:r>
      <w:r w:rsidR="00257FFD" w:rsidRPr="00E055CB">
        <w:rPr>
          <w:rFonts w:ascii="Verdana" w:hAnsi="Verdana"/>
          <w:sz w:val="20"/>
          <w:szCs w:val="20"/>
        </w:rPr>
        <w:t>os Estados Parte velarán porque el niño no sea separado de sus padres contra la voluntad de estos…</w:t>
      </w:r>
      <w:r w:rsidR="00D023FD" w:rsidRPr="00E055CB">
        <w:rPr>
          <w:rFonts w:ascii="Verdana" w:hAnsi="Verdana"/>
          <w:sz w:val="20"/>
          <w:szCs w:val="20"/>
        </w:rPr>
        <w:t>”.</w:t>
      </w:r>
    </w:p>
    <w:p w14:paraId="5406783B" w14:textId="77777777" w:rsidR="008C7DC0" w:rsidRPr="00E055CB" w:rsidRDefault="008C7DC0" w:rsidP="00CC0B4C">
      <w:pPr>
        <w:pStyle w:val="Prrafodelista"/>
        <w:ind w:right="615"/>
        <w:rPr>
          <w:rFonts w:ascii="Verdana" w:hAnsi="Verdana"/>
        </w:rPr>
      </w:pPr>
    </w:p>
    <w:p w14:paraId="173F4A53" w14:textId="6D067ABE" w:rsidR="008C7DC0" w:rsidRPr="00E055CB" w:rsidRDefault="000C6C31" w:rsidP="00CC0B4C">
      <w:pPr>
        <w:numPr>
          <w:ilvl w:val="0"/>
          <w:numId w:val="1"/>
        </w:numPr>
        <w:ind w:left="0" w:right="615" w:firstLine="0"/>
        <w:jc w:val="both"/>
        <w:rPr>
          <w:rFonts w:ascii="Verdana" w:hAnsi="Verdana"/>
          <w:sz w:val="20"/>
          <w:szCs w:val="20"/>
        </w:rPr>
      </w:pPr>
      <w:r w:rsidRPr="00E055CB">
        <w:rPr>
          <w:rFonts w:ascii="Verdana" w:hAnsi="Verdana"/>
          <w:sz w:val="20"/>
          <w:szCs w:val="20"/>
        </w:rPr>
        <w:t xml:space="preserve">Por otra parte, ha sido un criterio constante de la Corte considerar que </w:t>
      </w:r>
      <w:r w:rsidR="008C3369" w:rsidRPr="00E055CB">
        <w:rPr>
          <w:rFonts w:ascii="Verdana" w:hAnsi="Verdana"/>
          <w:sz w:val="20"/>
          <w:szCs w:val="20"/>
        </w:rPr>
        <w:t xml:space="preserve">los derechos de la niñez implican la obligación del </w:t>
      </w:r>
      <w:r w:rsidR="008C7DC0" w:rsidRPr="00E055CB">
        <w:rPr>
          <w:rFonts w:ascii="Verdana" w:hAnsi="Verdana"/>
          <w:sz w:val="20"/>
          <w:szCs w:val="20"/>
        </w:rPr>
        <w:t xml:space="preserve">Estado </w:t>
      </w:r>
      <w:r w:rsidR="008C3369" w:rsidRPr="00E055CB">
        <w:rPr>
          <w:rFonts w:ascii="Verdana" w:hAnsi="Verdana"/>
          <w:sz w:val="20"/>
          <w:szCs w:val="20"/>
        </w:rPr>
        <w:t>de</w:t>
      </w:r>
      <w:r w:rsidR="008C7DC0" w:rsidRPr="00E055CB">
        <w:rPr>
          <w:rFonts w:ascii="Verdana" w:hAnsi="Verdana"/>
          <w:sz w:val="20"/>
          <w:szCs w:val="20"/>
        </w:rPr>
        <w:t xml:space="preserve"> promover las medidas de protección especial orientadas </w:t>
      </w:r>
      <w:r w:rsidR="009C7F6C">
        <w:rPr>
          <w:rFonts w:ascii="Verdana" w:hAnsi="Verdana"/>
          <w:sz w:val="20"/>
          <w:szCs w:val="20"/>
        </w:rPr>
        <w:t>por</w:t>
      </w:r>
      <w:r w:rsidR="009C7F6C" w:rsidRPr="00E055CB">
        <w:rPr>
          <w:rFonts w:ascii="Verdana" w:hAnsi="Verdana"/>
          <w:sz w:val="20"/>
          <w:szCs w:val="20"/>
        </w:rPr>
        <w:t xml:space="preserve"> </w:t>
      </w:r>
      <w:r w:rsidR="008C7DC0" w:rsidRPr="00E055CB">
        <w:rPr>
          <w:rFonts w:ascii="Verdana" w:hAnsi="Verdana"/>
          <w:sz w:val="20"/>
          <w:szCs w:val="20"/>
        </w:rPr>
        <w:t xml:space="preserve">el principio del interés superior de la niñez, asumiendo su posición de garante con mayor cuidado y responsabilidad en consideración a su condición </w:t>
      </w:r>
      <w:r w:rsidR="009C7F6C">
        <w:rPr>
          <w:rFonts w:ascii="Verdana" w:hAnsi="Verdana"/>
          <w:sz w:val="20"/>
          <w:szCs w:val="20"/>
        </w:rPr>
        <w:t>de sujetos de especial protección</w:t>
      </w:r>
      <w:r w:rsidR="008C7DC0" w:rsidRPr="00E055CB">
        <w:rPr>
          <w:rFonts w:ascii="Verdana" w:hAnsi="Verdana"/>
          <w:sz w:val="20"/>
          <w:szCs w:val="20"/>
        </w:rPr>
        <w:t xml:space="preserve">. </w:t>
      </w:r>
      <w:r w:rsidRPr="00E055CB">
        <w:rPr>
          <w:rFonts w:ascii="Verdana" w:hAnsi="Verdana"/>
          <w:sz w:val="20"/>
          <w:szCs w:val="20"/>
        </w:rPr>
        <w:t>El artículo 19 de la Convención -y la aplicación del principio del interés superior</w:t>
      </w:r>
      <w:r w:rsidR="008C3369" w:rsidRPr="00E055CB">
        <w:rPr>
          <w:rFonts w:ascii="Verdana" w:hAnsi="Verdana"/>
          <w:sz w:val="20"/>
          <w:szCs w:val="20"/>
        </w:rPr>
        <w:t>, en la jurisprudencia de la Corte</w:t>
      </w:r>
      <w:r w:rsidRPr="00E055CB">
        <w:rPr>
          <w:rFonts w:ascii="Verdana" w:hAnsi="Verdana"/>
          <w:sz w:val="20"/>
          <w:szCs w:val="20"/>
        </w:rPr>
        <w:t xml:space="preserve">- tiene como objetivo </w:t>
      </w:r>
      <w:r w:rsidR="008C3369" w:rsidRPr="00E055CB">
        <w:rPr>
          <w:rFonts w:ascii="Verdana" w:hAnsi="Verdana"/>
          <w:sz w:val="20"/>
          <w:szCs w:val="20"/>
        </w:rPr>
        <w:t>“</w:t>
      </w:r>
      <w:r w:rsidRPr="00E055CB">
        <w:rPr>
          <w:rFonts w:ascii="Verdana" w:hAnsi="Verdana"/>
          <w:sz w:val="20"/>
          <w:szCs w:val="20"/>
        </w:rPr>
        <w:t>el</w:t>
      </w:r>
      <w:r w:rsidR="008C7DC0" w:rsidRPr="00E055CB">
        <w:rPr>
          <w:rFonts w:ascii="Verdana" w:hAnsi="Verdana"/>
          <w:sz w:val="20"/>
          <w:szCs w:val="20"/>
        </w:rPr>
        <w:t xml:space="preserve"> desarrollo de la personalidad de las niñas y los niños, y el disfrute de los derechos que les han sido reconocidos</w:t>
      </w:r>
      <w:r w:rsidR="008C3369" w:rsidRPr="00E055CB">
        <w:rPr>
          <w:rFonts w:ascii="Verdana" w:hAnsi="Verdana"/>
          <w:sz w:val="20"/>
          <w:szCs w:val="20"/>
        </w:rPr>
        <w:t>”</w:t>
      </w:r>
      <w:r w:rsidR="008C7DC0" w:rsidRPr="00E055CB">
        <w:rPr>
          <w:rFonts w:ascii="Verdana" w:hAnsi="Verdana"/>
          <w:sz w:val="20"/>
          <w:szCs w:val="20"/>
        </w:rPr>
        <w:t xml:space="preserve">. </w:t>
      </w:r>
      <w:r w:rsidR="008C3369" w:rsidRPr="00E055CB">
        <w:rPr>
          <w:rFonts w:ascii="Verdana" w:hAnsi="Verdana"/>
          <w:sz w:val="20"/>
          <w:szCs w:val="20"/>
        </w:rPr>
        <w:t>La niñez</w:t>
      </w:r>
      <w:r w:rsidR="008C7DC0" w:rsidRPr="00E055CB">
        <w:rPr>
          <w:rFonts w:ascii="Verdana" w:hAnsi="Verdana"/>
          <w:sz w:val="20"/>
          <w:szCs w:val="20"/>
        </w:rPr>
        <w:t xml:space="preserve"> tiene</w:t>
      </w:r>
      <w:r w:rsidR="00EF3FE3" w:rsidRPr="00E055CB">
        <w:rPr>
          <w:rFonts w:ascii="Verdana" w:hAnsi="Verdana"/>
          <w:sz w:val="20"/>
          <w:szCs w:val="20"/>
        </w:rPr>
        <w:t xml:space="preserve"> </w:t>
      </w:r>
      <w:r w:rsidR="008C7DC0" w:rsidRPr="00E055CB">
        <w:rPr>
          <w:rFonts w:ascii="Verdana" w:hAnsi="Verdana"/>
          <w:sz w:val="20"/>
          <w:szCs w:val="20"/>
        </w:rPr>
        <w:t>derechos especiales a los que corresponden deberes específicos por parte de la familia, la sociedad y el Estado. Además,</w:t>
      </w:r>
      <w:r w:rsidRPr="00E055CB">
        <w:rPr>
          <w:rFonts w:ascii="Verdana" w:hAnsi="Verdana"/>
          <w:sz w:val="20"/>
          <w:szCs w:val="20"/>
        </w:rPr>
        <w:t xml:space="preserve"> </w:t>
      </w:r>
      <w:r w:rsidR="008C3369" w:rsidRPr="00E055CB">
        <w:rPr>
          <w:rFonts w:ascii="Verdana" w:hAnsi="Verdana"/>
          <w:sz w:val="20"/>
          <w:szCs w:val="20"/>
        </w:rPr>
        <w:t>“</w:t>
      </w:r>
      <w:r w:rsidR="008C7DC0" w:rsidRPr="00E055CB">
        <w:rPr>
          <w:rFonts w:ascii="Verdana" w:hAnsi="Verdana"/>
          <w:sz w:val="20"/>
          <w:szCs w:val="20"/>
        </w:rPr>
        <w:t>su condición exige una protección especial debida por este último y que debe ser entendida como un derecho adicional y complementario a los demás derechos que la Convención reconoce a toda persona</w:t>
      </w:r>
      <w:r w:rsidR="008C3369" w:rsidRPr="00E055CB">
        <w:rPr>
          <w:rFonts w:ascii="Verdana" w:hAnsi="Verdana"/>
          <w:sz w:val="20"/>
          <w:szCs w:val="20"/>
        </w:rPr>
        <w:t>”</w:t>
      </w:r>
      <w:r w:rsidR="002373CB" w:rsidRPr="00E055CB">
        <w:rPr>
          <w:rStyle w:val="Refdenotaalpie"/>
          <w:rFonts w:ascii="Verdana" w:hAnsi="Verdana"/>
          <w:sz w:val="20"/>
          <w:szCs w:val="20"/>
        </w:rPr>
        <w:footnoteReference w:id="36"/>
      </w:r>
      <w:r w:rsidR="002373CB" w:rsidRPr="00E055CB">
        <w:rPr>
          <w:rFonts w:ascii="Verdana" w:hAnsi="Verdana"/>
          <w:sz w:val="20"/>
          <w:szCs w:val="20"/>
        </w:rPr>
        <w:t>.</w:t>
      </w:r>
    </w:p>
    <w:p w14:paraId="7213124A" w14:textId="77777777" w:rsidR="008C7DC0" w:rsidRPr="00E055CB" w:rsidRDefault="008C7DC0" w:rsidP="00CC0B4C">
      <w:pPr>
        <w:pStyle w:val="Prrafodelista"/>
        <w:ind w:left="0" w:right="615"/>
        <w:rPr>
          <w:rFonts w:ascii="Verdana" w:hAnsi="Verdana"/>
        </w:rPr>
      </w:pPr>
    </w:p>
    <w:p w14:paraId="60B18D4D" w14:textId="5F036C64" w:rsidR="00CC0B4C" w:rsidRPr="00E055CB" w:rsidRDefault="008C3369" w:rsidP="00CC0B4C">
      <w:pPr>
        <w:numPr>
          <w:ilvl w:val="0"/>
          <w:numId w:val="1"/>
        </w:numPr>
        <w:ind w:left="0" w:right="615" w:firstLine="0"/>
        <w:jc w:val="both"/>
        <w:rPr>
          <w:rFonts w:ascii="Verdana" w:hAnsi="Verdana"/>
          <w:sz w:val="20"/>
          <w:szCs w:val="20"/>
        </w:rPr>
      </w:pPr>
      <w:r w:rsidRPr="00E055CB">
        <w:rPr>
          <w:rFonts w:ascii="Verdana" w:hAnsi="Verdana"/>
          <w:sz w:val="20"/>
          <w:szCs w:val="20"/>
        </w:rPr>
        <w:t xml:space="preserve">Consideramos que de lo anterior se desprende una obligación del Estado para regular el procedimiento de restitución de </w:t>
      </w:r>
      <w:r w:rsidR="00257FFD" w:rsidRPr="00E055CB">
        <w:rPr>
          <w:rFonts w:ascii="Verdana" w:hAnsi="Verdana"/>
          <w:sz w:val="20"/>
          <w:szCs w:val="20"/>
        </w:rPr>
        <w:t>niñas y niños</w:t>
      </w:r>
      <w:r w:rsidR="00092836" w:rsidRPr="00E055CB">
        <w:rPr>
          <w:rFonts w:ascii="Verdana" w:hAnsi="Verdana"/>
          <w:sz w:val="20"/>
          <w:szCs w:val="20"/>
        </w:rPr>
        <w:t>.</w:t>
      </w:r>
      <w:r w:rsidRPr="00E055CB">
        <w:rPr>
          <w:rFonts w:ascii="Verdana" w:hAnsi="Verdana"/>
          <w:sz w:val="20"/>
          <w:szCs w:val="20"/>
        </w:rPr>
        <w:t xml:space="preserve"> Las </w:t>
      </w:r>
      <w:r w:rsidR="00257FFD" w:rsidRPr="00E055CB">
        <w:rPr>
          <w:rFonts w:ascii="Verdana" w:hAnsi="Verdana"/>
          <w:sz w:val="20"/>
          <w:szCs w:val="20"/>
        </w:rPr>
        <w:t xml:space="preserve">obligaciones de </w:t>
      </w:r>
      <w:r w:rsidRPr="00E055CB">
        <w:rPr>
          <w:rFonts w:ascii="Verdana" w:hAnsi="Verdana"/>
          <w:sz w:val="20"/>
          <w:szCs w:val="20"/>
        </w:rPr>
        <w:t>protecci</w:t>
      </w:r>
      <w:r w:rsidR="00257FFD" w:rsidRPr="00E055CB">
        <w:rPr>
          <w:rFonts w:ascii="Verdana" w:hAnsi="Verdana"/>
          <w:sz w:val="20"/>
          <w:szCs w:val="20"/>
        </w:rPr>
        <w:t>ón</w:t>
      </w:r>
      <w:r w:rsidRPr="00E055CB">
        <w:rPr>
          <w:rFonts w:ascii="Verdana" w:hAnsi="Verdana"/>
          <w:sz w:val="20"/>
          <w:szCs w:val="20"/>
        </w:rPr>
        <w:t xml:space="preserve"> reforzadas que surgen de la Convención Americana respecto de la niñez y la familia deben concretarse en acciones específicas que permitan la eficacia en la protección </w:t>
      </w:r>
      <w:r w:rsidR="00063964" w:rsidRPr="00E055CB">
        <w:rPr>
          <w:rFonts w:ascii="Verdana" w:hAnsi="Verdana"/>
          <w:sz w:val="20"/>
          <w:szCs w:val="20"/>
        </w:rPr>
        <w:t xml:space="preserve">y garantía </w:t>
      </w:r>
      <w:r w:rsidRPr="00E055CB">
        <w:rPr>
          <w:rFonts w:ascii="Verdana" w:hAnsi="Verdana"/>
          <w:sz w:val="20"/>
          <w:szCs w:val="20"/>
        </w:rPr>
        <w:t xml:space="preserve">de los derechos humanos. Es por ello </w:t>
      </w:r>
      <w:proofErr w:type="gramStart"/>
      <w:r w:rsidRPr="00E055CB">
        <w:rPr>
          <w:rFonts w:ascii="Verdana" w:hAnsi="Verdana"/>
          <w:sz w:val="20"/>
          <w:szCs w:val="20"/>
        </w:rPr>
        <w:t>que</w:t>
      </w:r>
      <w:proofErr w:type="gramEnd"/>
      <w:r w:rsidR="00752594" w:rsidRPr="00E055CB">
        <w:rPr>
          <w:rFonts w:ascii="Verdana" w:hAnsi="Verdana"/>
          <w:sz w:val="20"/>
          <w:szCs w:val="20"/>
        </w:rPr>
        <w:t>,</w:t>
      </w:r>
      <w:r w:rsidRPr="00E055CB">
        <w:rPr>
          <w:rFonts w:ascii="Verdana" w:hAnsi="Verdana"/>
          <w:sz w:val="20"/>
          <w:szCs w:val="20"/>
        </w:rPr>
        <w:t xml:space="preserve"> </w:t>
      </w:r>
      <w:r w:rsidR="00EF3FE3" w:rsidRPr="00E055CB">
        <w:rPr>
          <w:rFonts w:ascii="Verdana" w:hAnsi="Verdana"/>
          <w:sz w:val="20"/>
          <w:szCs w:val="20"/>
        </w:rPr>
        <w:t xml:space="preserve">en </w:t>
      </w:r>
      <w:r w:rsidRPr="00E055CB">
        <w:rPr>
          <w:rFonts w:ascii="Verdana" w:hAnsi="Verdana"/>
          <w:sz w:val="20"/>
          <w:szCs w:val="20"/>
        </w:rPr>
        <w:t>u</w:t>
      </w:r>
      <w:r w:rsidR="00092836" w:rsidRPr="00E055CB">
        <w:rPr>
          <w:rFonts w:ascii="Verdana" w:hAnsi="Verdana"/>
          <w:sz w:val="20"/>
          <w:szCs w:val="20"/>
        </w:rPr>
        <w:t>n caso como el presente</w:t>
      </w:r>
      <w:r w:rsidR="00752594" w:rsidRPr="00E055CB">
        <w:rPr>
          <w:rFonts w:ascii="Verdana" w:hAnsi="Verdana"/>
          <w:sz w:val="20"/>
          <w:szCs w:val="20"/>
        </w:rPr>
        <w:t>,</w:t>
      </w:r>
      <w:r w:rsidR="00092836" w:rsidRPr="00E055CB">
        <w:rPr>
          <w:rFonts w:ascii="Verdana" w:hAnsi="Verdana"/>
          <w:sz w:val="20"/>
          <w:szCs w:val="20"/>
        </w:rPr>
        <w:t xml:space="preserve"> </w:t>
      </w:r>
      <w:r w:rsidR="00EF3FE3" w:rsidRPr="00E055CB">
        <w:rPr>
          <w:rFonts w:ascii="Verdana" w:hAnsi="Verdana"/>
          <w:sz w:val="20"/>
          <w:szCs w:val="20"/>
        </w:rPr>
        <w:t>se requería</w:t>
      </w:r>
      <w:r w:rsidR="00092836" w:rsidRPr="00E055CB">
        <w:rPr>
          <w:rFonts w:ascii="Verdana" w:hAnsi="Verdana"/>
          <w:sz w:val="20"/>
          <w:szCs w:val="20"/>
        </w:rPr>
        <w:t xml:space="preserve"> </w:t>
      </w:r>
      <w:r w:rsidRPr="00E055CB">
        <w:rPr>
          <w:rFonts w:ascii="Verdana" w:hAnsi="Verdana"/>
          <w:sz w:val="20"/>
          <w:szCs w:val="20"/>
        </w:rPr>
        <w:t>precisamente que el Estado adoptara medidas eficaces para la protección de los derechos del señor Córdoba, que se vieron severamente afectados por la ineficacia del procedimiento de</w:t>
      </w:r>
      <w:r w:rsidR="00092836" w:rsidRPr="00E055CB">
        <w:rPr>
          <w:rFonts w:ascii="Verdana" w:hAnsi="Verdana"/>
          <w:sz w:val="20"/>
          <w:szCs w:val="20"/>
        </w:rPr>
        <w:t xml:space="preserve"> restitución internacional</w:t>
      </w:r>
      <w:r w:rsidRPr="00E055CB">
        <w:rPr>
          <w:rFonts w:ascii="Verdana" w:hAnsi="Verdana"/>
          <w:sz w:val="20"/>
          <w:szCs w:val="20"/>
        </w:rPr>
        <w:t xml:space="preserve"> de su hijo</w:t>
      </w:r>
      <w:r w:rsidR="00092836" w:rsidRPr="00E055CB">
        <w:rPr>
          <w:rFonts w:ascii="Verdana" w:hAnsi="Verdana"/>
          <w:sz w:val="20"/>
          <w:szCs w:val="20"/>
        </w:rPr>
        <w:t>.</w:t>
      </w:r>
    </w:p>
    <w:p w14:paraId="1686BCE2" w14:textId="77777777" w:rsidR="005718D1" w:rsidRPr="00E055CB" w:rsidRDefault="005718D1" w:rsidP="005718D1">
      <w:pPr>
        <w:pStyle w:val="Prrafodelista"/>
        <w:rPr>
          <w:rFonts w:ascii="Verdana" w:hAnsi="Verdana"/>
        </w:rPr>
      </w:pPr>
    </w:p>
    <w:p w14:paraId="4A08F1E2" w14:textId="404F7A78" w:rsidR="005718D1" w:rsidRPr="00E055CB" w:rsidRDefault="005718D1">
      <w:pPr>
        <w:numPr>
          <w:ilvl w:val="0"/>
          <w:numId w:val="1"/>
        </w:numPr>
        <w:ind w:left="0" w:right="615" w:firstLine="0"/>
        <w:jc w:val="both"/>
        <w:rPr>
          <w:rFonts w:ascii="Verdana" w:hAnsi="Verdana"/>
          <w:sz w:val="20"/>
          <w:szCs w:val="20"/>
          <w:lang w:val="es-ES"/>
        </w:rPr>
      </w:pPr>
      <w:r w:rsidRPr="00E055CB">
        <w:rPr>
          <w:rFonts w:ascii="Verdana" w:hAnsi="Verdana"/>
          <w:sz w:val="20"/>
          <w:szCs w:val="20"/>
        </w:rPr>
        <w:t>En síntesis: a</w:t>
      </w:r>
      <w:r w:rsidRPr="00E055CB">
        <w:rPr>
          <w:rFonts w:ascii="Verdana" w:hAnsi="Verdana"/>
          <w:sz w:val="20"/>
          <w:szCs w:val="20"/>
          <w:lang w:val="es-ES"/>
        </w:rPr>
        <w:t xml:space="preserve"> criterio de quienes suscribimos el presente voto es necesario señalar que, a la fecha de los hechos, no existía en Paraguay normativa específica para la aplicación de los Convenios de Restitución Internacional de </w:t>
      </w:r>
      <w:proofErr w:type="gramStart"/>
      <w:r w:rsidR="009C7F6C">
        <w:rPr>
          <w:rFonts w:ascii="Verdana" w:hAnsi="Verdana"/>
          <w:sz w:val="20"/>
          <w:szCs w:val="20"/>
          <w:lang w:val="es-ES"/>
        </w:rPr>
        <w:t>niños y niñas</w:t>
      </w:r>
      <w:proofErr w:type="gramEnd"/>
      <w:r w:rsidRPr="00E055CB">
        <w:rPr>
          <w:rFonts w:ascii="Verdana" w:hAnsi="Verdana"/>
          <w:sz w:val="20"/>
          <w:szCs w:val="20"/>
          <w:lang w:val="es-ES"/>
        </w:rPr>
        <w:t>. Ello demuestra una clara omisión del Estado, en directo incumplimiento de la obligación establecida en el artículo 2. Sin perjuicio de señalar que Paraguay</w:t>
      </w:r>
      <w:r w:rsidR="00D023FD" w:rsidRPr="00E055CB">
        <w:rPr>
          <w:rFonts w:ascii="Verdana" w:hAnsi="Verdana"/>
          <w:sz w:val="20"/>
          <w:szCs w:val="20"/>
          <w:lang w:val="es-ES"/>
        </w:rPr>
        <w:t>,</w:t>
      </w:r>
      <w:r w:rsidRPr="00E055CB">
        <w:rPr>
          <w:rFonts w:ascii="Verdana" w:hAnsi="Verdana"/>
          <w:sz w:val="20"/>
          <w:szCs w:val="20"/>
          <w:lang w:val="es-ES"/>
        </w:rPr>
        <w:t xml:space="preserve"> con posterioridad a los hechos del caso, dictó normas infra legales sobre Restitución internacional de niñas y niños</w:t>
      </w:r>
      <w:r w:rsidR="00DB65DF" w:rsidRPr="00E055CB">
        <w:rPr>
          <w:rFonts w:ascii="Verdana" w:hAnsi="Verdana"/>
          <w:sz w:val="20"/>
          <w:szCs w:val="20"/>
          <w:lang w:val="es-ES"/>
        </w:rPr>
        <w:t>. Así lo estableció la Sentencia en el presente caso, en su párrafo 110, al señalar que:</w:t>
      </w:r>
    </w:p>
    <w:p w14:paraId="4DC1065E" w14:textId="77777777" w:rsidR="00D023FD" w:rsidRPr="00E055CB" w:rsidRDefault="00D023FD" w:rsidP="00D023FD">
      <w:pPr>
        <w:ind w:right="615"/>
        <w:jc w:val="both"/>
        <w:rPr>
          <w:rFonts w:ascii="Verdana" w:hAnsi="Verdana"/>
          <w:sz w:val="20"/>
          <w:szCs w:val="20"/>
          <w:lang w:val="es-ES"/>
        </w:rPr>
      </w:pPr>
    </w:p>
    <w:p w14:paraId="54344564" w14:textId="77777777" w:rsidR="005718D1" w:rsidRPr="00E055CB" w:rsidRDefault="005718D1" w:rsidP="00DB65DF">
      <w:pPr>
        <w:ind w:left="708" w:right="899"/>
        <w:jc w:val="both"/>
        <w:rPr>
          <w:rFonts w:ascii="Verdana" w:hAnsi="Verdana" w:cs="Cambria"/>
          <w:sz w:val="18"/>
          <w:szCs w:val="18"/>
          <w:lang w:val="es-MX" w:eastAsia="es-MX"/>
        </w:rPr>
      </w:pPr>
      <w:r w:rsidRPr="00E055CB">
        <w:rPr>
          <w:rFonts w:ascii="Verdana" w:hAnsi="Verdana" w:cs="Cambria"/>
          <w:sz w:val="18"/>
          <w:szCs w:val="18"/>
          <w:lang w:val="es-MX" w:eastAsia="es-MX"/>
        </w:rPr>
        <w:t>… durante el trámite de este caso, la Corte Suprema de Justicia de Paraguay adoptó, en septiembre de 2019, el Instructivo de procedimiento para la aplicación de los instrumentos internacionales ratificados por la República del Paraguay en materia de Restitución Internacional de Menores, con fundamento en lo establecido en la Ley Modelo sobre Normas Procesales para la Aplicación de los Convenios sobre Sustracción Internacional de Niños (</w:t>
      </w:r>
      <w:r w:rsidRPr="00E055CB">
        <w:rPr>
          <w:rFonts w:ascii="Verdana" w:hAnsi="Verdana" w:cs="Cambria"/>
          <w:i/>
          <w:iCs/>
          <w:sz w:val="18"/>
          <w:szCs w:val="18"/>
          <w:lang w:val="es-MX" w:eastAsia="es-MX"/>
        </w:rPr>
        <w:t>supra</w:t>
      </w:r>
      <w:r w:rsidRPr="00E055CB">
        <w:rPr>
          <w:rFonts w:ascii="Verdana" w:hAnsi="Verdana" w:cs="Cambria"/>
          <w:sz w:val="18"/>
          <w:szCs w:val="18"/>
          <w:lang w:val="es-MX" w:eastAsia="es-MX"/>
        </w:rPr>
        <w:t xml:space="preserve"> párr. 72) y, en junio de 2021, el Ministerio de la Niñez y la Adolescencia aprobó el Protocolo y ruta de intervención de restitución internacional </w:t>
      </w:r>
      <w:r w:rsidRPr="00E055CB">
        <w:rPr>
          <w:rFonts w:ascii="Verdana" w:hAnsi="Verdana" w:cs="Cambria"/>
          <w:sz w:val="18"/>
          <w:szCs w:val="18"/>
          <w:lang w:val="es-MX" w:eastAsia="es-MX"/>
        </w:rPr>
        <w:lastRenderedPageBreak/>
        <w:t>de niños, niñas y adolescentes en Paraguay, con fundamento en lo dispuesto en la Convención Interamericana y en el Convenio de La Haya</w:t>
      </w:r>
      <w:r w:rsidRPr="00E055CB">
        <w:rPr>
          <w:rFonts w:ascii="Verdana" w:eastAsia="Calibri" w:hAnsi="Verdana"/>
          <w:sz w:val="18"/>
          <w:szCs w:val="18"/>
          <w:vertAlign w:val="superscript"/>
          <w:lang w:val="es-MX" w:eastAsia="es-MX"/>
        </w:rPr>
        <w:footnoteReference w:id="37"/>
      </w:r>
      <w:r w:rsidRPr="00E055CB">
        <w:rPr>
          <w:rFonts w:ascii="Verdana" w:hAnsi="Verdana" w:cs="Cambria"/>
          <w:sz w:val="18"/>
          <w:szCs w:val="18"/>
          <w:lang w:val="es-MX" w:eastAsia="es-MX"/>
        </w:rPr>
        <w:t xml:space="preserve"> (Párrafo 110).</w:t>
      </w:r>
    </w:p>
    <w:p w14:paraId="037BBD9A" w14:textId="77777777" w:rsidR="005718D1" w:rsidRPr="00E055CB" w:rsidRDefault="005718D1" w:rsidP="005718D1">
      <w:pPr>
        <w:jc w:val="both"/>
        <w:rPr>
          <w:rFonts w:ascii="Verdana" w:hAnsi="Verdana"/>
          <w:sz w:val="20"/>
          <w:szCs w:val="20"/>
          <w:lang w:val="es-ES"/>
        </w:rPr>
      </w:pPr>
    </w:p>
    <w:p w14:paraId="61DABF72" w14:textId="3FFC8F8C" w:rsidR="005718D1" w:rsidRPr="00E055CB" w:rsidRDefault="005718D1" w:rsidP="0068607A">
      <w:pPr>
        <w:pStyle w:val="Prrafodelista"/>
        <w:numPr>
          <w:ilvl w:val="0"/>
          <w:numId w:val="1"/>
        </w:numPr>
        <w:ind w:left="0" w:firstLine="0"/>
        <w:jc w:val="both"/>
        <w:rPr>
          <w:rFonts w:ascii="Verdana" w:hAnsi="Verdana"/>
          <w:lang w:val="es-ES"/>
        </w:rPr>
      </w:pPr>
      <w:r w:rsidRPr="00E055CB">
        <w:rPr>
          <w:rFonts w:ascii="Verdana" w:hAnsi="Verdana"/>
          <w:lang w:val="es-ES"/>
        </w:rPr>
        <w:t xml:space="preserve">El Estado </w:t>
      </w:r>
      <w:r w:rsidR="00DB65DF" w:rsidRPr="00E055CB">
        <w:rPr>
          <w:rFonts w:ascii="Verdana" w:hAnsi="Verdana"/>
          <w:lang w:val="es-ES"/>
        </w:rPr>
        <w:t xml:space="preserve">además </w:t>
      </w:r>
      <w:r w:rsidRPr="00E055CB">
        <w:rPr>
          <w:rFonts w:ascii="Verdana" w:hAnsi="Verdana"/>
          <w:lang w:val="es-ES"/>
        </w:rPr>
        <w:t>tiene en trámite un proyecto de ley</w:t>
      </w:r>
      <w:r w:rsidR="00DB65DF" w:rsidRPr="00E055CB">
        <w:rPr>
          <w:rFonts w:ascii="Verdana" w:hAnsi="Verdana"/>
          <w:lang w:val="es-ES"/>
        </w:rPr>
        <w:t>,</w:t>
      </w:r>
      <w:r w:rsidRPr="00E055CB">
        <w:rPr>
          <w:rFonts w:ascii="Verdana" w:hAnsi="Verdana"/>
          <w:lang w:val="es-ES"/>
        </w:rPr>
        <w:t xml:space="preserve"> según ha informado al Tribunal</w:t>
      </w:r>
      <w:r w:rsidR="00DB65DF" w:rsidRPr="00E055CB">
        <w:rPr>
          <w:rFonts w:ascii="Verdana" w:hAnsi="Verdana"/>
          <w:lang w:val="es-ES"/>
        </w:rPr>
        <w:t>,</w:t>
      </w:r>
      <w:r w:rsidRPr="00E055CB">
        <w:rPr>
          <w:rFonts w:ascii="Verdana" w:hAnsi="Verdana"/>
          <w:lang w:val="es-ES"/>
        </w:rPr>
        <w:t xml:space="preserve"> y en este sentido</w:t>
      </w:r>
      <w:r w:rsidR="009C7F6C">
        <w:rPr>
          <w:rFonts w:ascii="Verdana" w:hAnsi="Verdana"/>
          <w:lang w:val="es-ES"/>
        </w:rPr>
        <w:t>,</w:t>
      </w:r>
      <w:r w:rsidRPr="00E055CB">
        <w:rPr>
          <w:rFonts w:ascii="Verdana" w:hAnsi="Verdana"/>
          <w:lang w:val="es-ES"/>
        </w:rPr>
        <w:t xml:space="preserve"> quienes suscribimos el presente voto</w:t>
      </w:r>
      <w:r w:rsidR="009C7F6C">
        <w:rPr>
          <w:rFonts w:ascii="Verdana" w:hAnsi="Verdana"/>
          <w:lang w:val="es-ES"/>
        </w:rPr>
        <w:t>,</w:t>
      </w:r>
      <w:r w:rsidRPr="00E055CB">
        <w:rPr>
          <w:rFonts w:ascii="Verdana" w:hAnsi="Verdana"/>
          <w:lang w:val="es-ES"/>
        </w:rPr>
        <w:t xml:space="preserve"> entendemos que el ajuste normativo es preceptivo conforme a los parámetros convencionales</w:t>
      </w:r>
      <w:r w:rsidR="00DB65DF" w:rsidRPr="00E055CB">
        <w:rPr>
          <w:rFonts w:ascii="Verdana" w:hAnsi="Verdana"/>
          <w:lang w:val="es-ES"/>
        </w:rPr>
        <w:t>,</w:t>
      </w:r>
      <w:r w:rsidRPr="00E055CB">
        <w:rPr>
          <w:rFonts w:ascii="Verdana" w:hAnsi="Verdana"/>
          <w:lang w:val="es-ES"/>
        </w:rPr>
        <w:t xml:space="preserve"> tal como fuera dispuesto en mayoría por la </w:t>
      </w:r>
      <w:r w:rsidR="00DB65DF" w:rsidRPr="00E055CB">
        <w:rPr>
          <w:rFonts w:ascii="Verdana" w:hAnsi="Verdana"/>
          <w:lang w:val="es-ES"/>
        </w:rPr>
        <w:t>S</w:t>
      </w:r>
      <w:r w:rsidRPr="00E055CB">
        <w:rPr>
          <w:rFonts w:ascii="Verdana" w:hAnsi="Verdana"/>
          <w:lang w:val="es-ES"/>
        </w:rPr>
        <w:t>entencia, es la solución que se ajusta a derecho.</w:t>
      </w:r>
      <w:r w:rsidR="00DB65DF" w:rsidRPr="00E055CB">
        <w:rPr>
          <w:rFonts w:ascii="Verdana" w:hAnsi="Verdana"/>
          <w:lang w:val="es-ES"/>
        </w:rPr>
        <w:t xml:space="preserve"> </w:t>
      </w:r>
      <w:r w:rsidRPr="00E055CB">
        <w:rPr>
          <w:rFonts w:ascii="Verdana" w:hAnsi="Verdana"/>
          <w:lang w:val="es-ES"/>
        </w:rPr>
        <w:t xml:space="preserve">Como se afirma en el Párrafo 113: </w:t>
      </w:r>
    </w:p>
    <w:p w14:paraId="6BEBFCEC" w14:textId="77777777" w:rsidR="00DB65DF" w:rsidRPr="00E055CB" w:rsidRDefault="00DB65DF" w:rsidP="00DB65DF">
      <w:pPr>
        <w:pStyle w:val="Prrafodelista"/>
        <w:ind w:left="0"/>
        <w:jc w:val="both"/>
        <w:rPr>
          <w:rFonts w:ascii="Verdana" w:hAnsi="Verdana"/>
          <w:lang w:val="es-ES"/>
        </w:rPr>
      </w:pPr>
    </w:p>
    <w:p w14:paraId="1FEF64EA" w14:textId="224D4E21" w:rsidR="005718D1" w:rsidRPr="00E055CB" w:rsidRDefault="005718D1" w:rsidP="00DB65DF">
      <w:pPr>
        <w:ind w:left="708" w:right="899"/>
        <w:jc w:val="both"/>
        <w:rPr>
          <w:rFonts w:ascii="Verdana" w:hAnsi="Verdana"/>
          <w:sz w:val="18"/>
          <w:szCs w:val="18"/>
          <w:lang w:val="es-MX" w:eastAsia="es-MX"/>
        </w:rPr>
      </w:pPr>
      <w:r w:rsidRPr="00E055CB">
        <w:rPr>
          <w:rFonts w:ascii="Verdana" w:hAnsi="Verdana"/>
          <w:sz w:val="18"/>
          <w:szCs w:val="18"/>
          <w:lang w:val="es-ES"/>
        </w:rPr>
        <w:t>“…</w:t>
      </w:r>
      <w:r w:rsidRPr="00E055CB">
        <w:rPr>
          <w:rFonts w:ascii="Verdana" w:hAnsi="Verdana"/>
          <w:sz w:val="18"/>
          <w:szCs w:val="18"/>
          <w:lang w:val="es-MX" w:eastAsia="es-MX"/>
        </w:rPr>
        <w:t xml:space="preserve">al momento en que ocurrieron los hechos de este caso, Paraguay no había adoptado las medidas necesarias para la adecuada implementación de los mencionados tratados en el ordenamiento jurídico interno. Por esa razón, estima que Paraguay no cumplió con su deber de adoptar disposiciones de derecho interno y es responsable por la violación del artículo 2 de la Convención. </w:t>
      </w:r>
      <w:r w:rsidR="009C7F6C">
        <w:rPr>
          <w:rFonts w:ascii="Verdana" w:hAnsi="Verdana"/>
          <w:sz w:val="18"/>
          <w:szCs w:val="18"/>
          <w:lang w:val="es-MX" w:eastAsia="es-MX"/>
        </w:rPr>
        <w:t>En consecuencia</w:t>
      </w:r>
      <w:r w:rsidRPr="00E055CB">
        <w:rPr>
          <w:rFonts w:ascii="Verdana" w:hAnsi="Verdana"/>
          <w:sz w:val="18"/>
          <w:szCs w:val="18"/>
          <w:lang w:val="es-MX" w:eastAsia="es-MX"/>
        </w:rPr>
        <w:t>, ordenará al Estado adecuar su ordenamiento interno mediante la aprobación del proyecto de ley en curso o uno de contenido similar, que incorpore en su legislación las medidas necesarias para la adecuada implementación del marco normativo internacional sobre restitución de niños y niñas, a la luz de los estándares establecidos en esta sentencia, en particular, en lo relacionado con (i) los principios de celeridad y diligencia excepcional y (</w:t>
      </w:r>
      <w:proofErr w:type="spellStart"/>
      <w:r w:rsidRPr="00E055CB">
        <w:rPr>
          <w:rFonts w:ascii="Verdana" w:hAnsi="Verdana"/>
          <w:sz w:val="18"/>
          <w:szCs w:val="18"/>
          <w:lang w:val="es-MX" w:eastAsia="es-MX"/>
        </w:rPr>
        <w:t>ii</w:t>
      </w:r>
      <w:proofErr w:type="spellEnd"/>
      <w:r w:rsidRPr="00E055CB">
        <w:rPr>
          <w:rFonts w:ascii="Verdana" w:hAnsi="Verdana"/>
          <w:sz w:val="18"/>
          <w:szCs w:val="18"/>
          <w:lang w:val="es-MX" w:eastAsia="es-MX"/>
        </w:rPr>
        <w:t>) la obligación de localización de los niños y niñas trasladados ilícitamente.</w:t>
      </w:r>
    </w:p>
    <w:p w14:paraId="7AE9A15B" w14:textId="77777777" w:rsidR="00CC0B4C" w:rsidRPr="00E055CB" w:rsidRDefault="00CC0B4C" w:rsidP="00DB65DF">
      <w:pPr>
        <w:rPr>
          <w:rFonts w:ascii="Verdana" w:hAnsi="Verdana"/>
          <w:sz w:val="20"/>
          <w:szCs w:val="20"/>
        </w:rPr>
      </w:pPr>
    </w:p>
    <w:p w14:paraId="6FE017B7" w14:textId="77D553C4" w:rsidR="005718D1" w:rsidRPr="00E055CB" w:rsidRDefault="00092836" w:rsidP="00A91B11">
      <w:pPr>
        <w:numPr>
          <w:ilvl w:val="0"/>
          <w:numId w:val="1"/>
        </w:numPr>
        <w:ind w:left="0" w:right="615" w:firstLine="0"/>
        <w:jc w:val="both"/>
        <w:rPr>
          <w:rFonts w:ascii="Verdana" w:hAnsi="Verdana"/>
          <w:sz w:val="20"/>
          <w:szCs w:val="20"/>
        </w:rPr>
      </w:pPr>
      <w:r w:rsidRPr="00E055CB">
        <w:rPr>
          <w:rFonts w:ascii="Verdana" w:hAnsi="Verdana"/>
          <w:sz w:val="20"/>
          <w:szCs w:val="20"/>
        </w:rPr>
        <w:t>Es por esta razón que la Corte consideró pertinente ordenar</w:t>
      </w:r>
      <w:r w:rsidR="00CC0B4C" w:rsidRPr="00E055CB">
        <w:rPr>
          <w:rFonts w:ascii="Verdana" w:hAnsi="Verdana"/>
          <w:sz w:val="20"/>
          <w:szCs w:val="20"/>
        </w:rPr>
        <w:t xml:space="preserve"> </w:t>
      </w:r>
      <w:r w:rsidR="009C7F6C">
        <w:rPr>
          <w:rFonts w:ascii="Verdana" w:hAnsi="Verdana"/>
          <w:sz w:val="20"/>
          <w:szCs w:val="20"/>
        </w:rPr>
        <w:t xml:space="preserve">al Estado </w:t>
      </w:r>
      <w:r w:rsidR="00CC0B4C" w:rsidRPr="00E055CB">
        <w:rPr>
          <w:rFonts w:ascii="Verdana" w:hAnsi="Verdana"/>
          <w:sz w:val="20"/>
          <w:szCs w:val="20"/>
        </w:rPr>
        <w:t>como medida de no repetición</w:t>
      </w:r>
      <w:r w:rsidRPr="00E055CB">
        <w:rPr>
          <w:rFonts w:ascii="Verdana" w:hAnsi="Verdana"/>
          <w:sz w:val="20"/>
          <w:szCs w:val="20"/>
        </w:rPr>
        <w:t xml:space="preserve"> </w:t>
      </w:r>
      <w:r w:rsidR="00CC0B4C" w:rsidRPr="00E055CB">
        <w:rPr>
          <w:rFonts w:ascii="Verdana" w:hAnsi="Verdana"/>
          <w:sz w:val="20"/>
          <w:szCs w:val="20"/>
        </w:rPr>
        <w:t>que</w:t>
      </w:r>
      <w:r w:rsidR="00063964" w:rsidRPr="00E055CB">
        <w:rPr>
          <w:rFonts w:ascii="Verdana" w:hAnsi="Verdana"/>
          <w:sz w:val="20"/>
          <w:szCs w:val="20"/>
        </w:rPr>
        <w:t>,</w:t>
      </w:r>
      <w:r w:rsidR="00CC0B4C" w:rsidRPr="00E055CB">
        <w:rPr>
          <w:rFonts w:ascii="Verdana" w:hAnsi="Verdana"/>
          <w:sz w:val="20"/>
          <w:szCs w:val="20"/>
        </w:rPr>
        <w:t xml:space="preserve"> en un plazo razonable</w:t>
      </w:r>
      <w:r w:rsidR="00063964" w:rsidRPr="00E055CB">
        <w:rPr>
          <w:rFonts w:ascii="Verdana" w:hAnsi="Verdana"/>
          <w:sz w:val="20"/>
          <w:szCs w:val="20"/>
        </w:rPr>
        <w:t>,</w:t>
      </w:r>
      <w:r w:rsidR="00CC0B4C" w:rsidRPr="00E055CB">
        <w:rPr>
          <w:rFonts w:ascii="Verdana" w:hAnsi="Verdana"/>
          <w:sz w:val="20"/>
          <w:szCs w:val="20"/>
        </w:rPr>
        <w:t xml:space="preserve"> adecue su ordenamiento jurídico interno, mediante la aprobación del Proyecto de Ley “que regula el proceso de restitución internacional de niños, niñas y adolescentes” </w:t>
      </w:r>
      <w:r w:rsidR="004F7FE1" w:rsidRPr="00E055CB">
        <w:rPr>
          <w:rFonts w:ascii="Verdana" w:eastAsia="Calibri" w:hAnsi="Verdana" w:cs="Cambria"/>
          <w:sz w:val="20"/>
          <w:szCs w:val="20"/>
          <w:lang w:val="es-CR" w:eastAsia="en-US"/>
        </w:rPr>
        <w:t>o de un proyecto de ley de contenido similar, que incorpore lo preceptuado por tratados internacionales y los estándares establecidos en esta sentencia (</w:t>
      </w:r>
      <w:proofErr w:type="spellStart"/>
      <w:r w:rsidR="004F7FE1" w:rsidRPr="00E055CB">
        <w:rPr>
          <w:rFonts w:ascii="Verdana" w:eastAsia="Calibri" w:hAnsi="Verdana" w:cs="Cambria"/>
          <w:sz w:val="20"/>
          <w:szCs w:val="20"/>
          <w:lang w:val="es-CR" w:eastAsia="en-US"/>
        </w:rPr>
        <w:t>párrs</w:t>
      </w:r>
      <w:proofErr w:type="spellEnd"/>
      <w:r w:rsidR="004F7FE1" w:rsidRPr="00E055CB">
        <w:rPr>
          <w:rFonts w:ascii="Verdana" w:eastAsia="Calibri" w:hAnsi="Verdana" w:cs="Cambria"/>
          <w:sz w:val="20"/>
          <w:szCs w:val="20"/>
          <w:lang w:val="es-CR" w:eastAsia="en-US"/>
        </w:rPr>
        <w:t xml:space="preserve">. </w:t>
      </w:r>
      <w:r w:rsidR="00286669">
        <w:rPr>
          <w:rFonts w:ascii="Verdana" w:eastAsia="Calibri" w:hAnsi="Verdana" w:cs="Cambria"/>
          <w:sz w:val="20"/>
          <w:szCs w:val="20"/>
          <w:lang w:val="es-CR" w:eastAsia="en-US"/>
        </w:rPr>
        <w:t>79,</w:t>
      </w:r>
      <w:r w:rsidR="00B35D6F">
        <w:rPr>
          <w:rFonts w:ascii="Verdana" w:eastAsia="Calibri" w:hAnsi="Verdana" w:cs="Cambria"/>
          <w:sz w:val="20"/>
          <w:szCs w:val="20"/>
          <w:lang w:val="es-CR" w:eastAsia="en-US"/>
        </w:rPr>
        <w:t xml:space="preserve"> </w:t>
      </w:r>
      <w:r w:rsidR="00286669">
        <w:rPr>
          <w:rFonts w:ascii="Verdana" w:eastAsia="Calibri" w:hAnsi="Verdana" w:cs="Cambria"/>
          <w:sz w:val="20"/>
          <w:szCs w:val="20"/>
          <w:lang w:val="es-CR" w:eastAsia="en-US"/>
        </w:rPr>
        <w:t>88,</w:t>
      </w:r>
      <w:r w:rsidR="00B35D6F">
        <w:rPr>
          <w:rFonts w:ascii="Verdana" w:eastAsia="Calibri" w:hAnsi="Verdana" w:cs="Cambria"/>
          <w:sz w:val="20"/>
          <w:szCs w:val="20"/>
          <w:lang w:val="es-CR" w:eastAsia="en-US"/>
        </w:rPr>
        <w:t xml:space="preserve"> 92,</w:t>
      </w:r>
      <w:r w:rsidR="00286669">
        <w:rPr>
          <w:rFonts w:ascii="Verdana" w:eastAsia="Calibri" w:hAnsi="Verdana" w:cs="Cambria"/>
          <w:sz w:val="20"/>
          <w:szCs w:val="20"/>
          <w:lang w:val="es-CR" w:eastAsia="en-US"/>
        </w:rPr>
        <w:t xml:space="preserve"> 99 a 102</w:t>
      </w:r>
      <w:r w:rsidR="004F7FE1" w:rsidRPr="00E055CB">
        <w:rPr>
          <w:rFonts w:ascii="Verdana" w:eastAsia="Calibri" w:hAnsi="Verdana" w:cs="Cambria"/>
          <w:sz w:val="20"/>
          <w:szCs w:val="20"/>
          <w:lang w:val="es-CR" w:eastAsia="en-US"/>
        </w:rPr>
        <w:t xml:space="preserve">). Para ello, </w:t>
      </w:r>
      <w:r w:rsidR="009C7F6C">
        <w:rPr>
          <w:rFonts w:ascii="Verdana" w:eastAsia="Calibri" w:hAnsi="Verdana" w:cs="Cambria"/>
          <w:sz w:val="20"/>
          <w:szCs w:val="20"/>
          <w:lang w:val="es-CR" w:eastAsia="en-US"/>
        </w:rPr>
        <w:t xml:space="preserve">la sentencia indicó que </w:t>
      </w:r>
      <w:r w:rsidR="004F7FE1" w:rsidRPr="00E055CB">
        <w:rPr>
          <w:rFonts w:ascii="Verdana" w:eastAsia="Calibri" w:hAnsi="Verdana" w:cs="Cambria"/>
          <w:sz w:val="20"/>
          <w:szCs w:val="20"/>
          <w:lang w:val="es-CR" w:eastAsia="en-US"/>
        </w:rPr>
        <w:t>podrá guiarse por la “Ley Modelo sobre Normas Procesales para la Aplicación de los Convenios sobre Sustracción Internacional de Niños” y por el anexo al Protocolo Iberoamericano de Cooperación Judicial Internacional sobre “Sustracción Internacional de Niños” de la Cumbre Judicial Interamericana</w:t>
      </w:r>
      <w:r w:rsidR="004F7FE1" w:rsidRPr="00E055CB">
        <w:rPr>
          <w:rFonts w:ascii="Verdana" w:eastAsia="Calibri" w:hAnsi="Verdana"/>
          <w:sz w:val="20"/>
          <w:szCs w:val="20"/>
          <w:vertAlign w:val="superscript"/>
          <w:lang w:val="es-CR" w:eastAsia="en-US"/>
        </w:rPr>
        <w:footnoteReference w:id="38"/>
      </w:r>
      <w:r w:rsidR="004F7FE1" w:rsidRPr="00E055CB">
        <w:rPr>
          <w:rFonts w:ascii="Verdana" w:eastAsia="Calibri" w:hAnsi="Verdana" w:cs="Cambria"/>
          <w:sz w:val="20"/>
          <w:szCs w:val="20"/>
          <w:lang w:val="es-CR" w:eastAsia="en-US"/>
        </w:rPr>
        <w:t xml:space="preserve">. </w:t>
      </w:r>
      <w:r w:rsidRPr="00E055CB">
        <w:rPr>
          <w:rFonts w:ascii="Verdana" w:hAnsi="Verdana"/>
          <w:sz w:val="20"/>
          <w:szCs w:val="20"/>
        </w:rPr>
        <w:t>Es a través de la aprobación de</w:t>
      </w:r>
      <w:r w:rsidR="009C7F6C">
        <w:rPr>
          <w:rFonts w:ascii="Verdana" w:hAnsi="Verdana"/>
          <w:sz w:val="20"/>
          <w:szCs w:val="20"/>
        </w:rPr>
        <w:t xml:space="preserve"> esa</w:t>
      </w:r>
      <w:r w:rsidR="00CC0B4C" w:rsidRPr="00E055CB">
        <w:rPr>
          <w:rFonts w:ascii="Verdana" w:hAnsi="Verdana"/>
          <w:sz w:val="20"/>
          <w:szCs w:val="20"/>
        </w:rPr>
        <w:t xml:space="preserve"> ley </w:t>
      </w:r>
      <w:r w:rsidRPr="00E055CB">
        <w:rPr>
          <w:rFonts w:ascii="Verdana" w:hAnsi="Verdana"/>
          <w:sz w:val="20"/>
          <w:szCs w:val="20"/>
        </w:rPr>
        <w:t xml:space="preserve">que se dará un cumplimiento cabal de las obligaciones del Estado contenidas en </w:t>
      </w:r>
      <w:r w:rsidR="00063964" w:rsidRPr="00E055CB">
        <w:rPr>
          <w:rFonts w:ascii="Verdana" w:hAnsi="Verdana"/>
          <w:sz w:val="20"/>
          <w:szCs w:val="20"/>
        </w:rPr>
        <w:t xml:space="preserve">el </w:t>
      </w:r>
      <w:r w:rsidRPr="00E055CB">
        <w:rPr>
          <w:rFonts w:ascii="Verdana" w:hAnsi="Verdana"/>
          <w:sz w:val="20"/>
          <w:szCs w:val="20"/>
        </w:rPr>
        <w:t>artículo 2 de la Convención en casos futuros</w:t>
      </w:r>
      <w:r w:rsidR="008C3369" w:rsidRPr="00E055CB">
        <w:rPr>
          <w:rFonts w:ascii="Verdana" w:hAnsi="Verdana"/>
          <w:sz w:val="20"/>
          <w:szCs w:val="20"/>
        </w:rPr>
        <w:t xml:space="preserve"> que impliquen supuestos como el presente en Paraguay</w:t>
      </w:r>
      <w:r w:rsidR="00BC2919" w:rsidRPr="00E055CB">
        <w:rPr>
          <w:rFonts w:ascii="Verdana" w:hAnsi="Verdana"/>
          <w:sz w:val="20"/>
          <w:szCs w:val="20"/>
        </w:rPr>
        <w:t xml:space="preserve">. </w:t>
      </w:r>
    </w:p>
    <w:p w14:paraId="1082C3D0" w14:textId="77777777" w:rsidR="00DB65DF" w:rsidRPr="00E055CB" w:rsidRDefault="00DB65DF" w:rsidP="00A91B11">
      <w:pPr>
        <w:ind w:right="615"/>
        <w:jc w:val="both"/>
        <w:rPr>
          <w:rFonts w:ascii="Verdana" w:hAnsi="Verdana"/>
          <w:sz w:val="20"/>
          <w:szCs w:val="20"/>
        </w:rPr>
      </w:pPr>
    </w:p>
    <w:p w14:paraId="789D6074" w14:textId="1B31B78A" w:rsidR="00DB65DF" w:rsidRPr="00E055CB" w:rsidRDefault="00DB65DF" w:rsidP="00A91B11">
      <w:pPr>
        <w:ind w:right="615"/>
        <w:jc w:val="center"/>
        <w:rPr>
          <w:rFonts w:ascii="Verdana" w:hAnsi="Verdana"/>
          <w:b/>
          <w:bCs/>
          <w:sz w:val="20"/>
          <w:szCs w:val="20"/>
        </w:rPr>
      </w:pPr>
      <w:r w:rsidRPr="00E055CB">
        <w:rPr>
          <w:rFonts w:ascii="Verdana" w:hAnsi="Verdana"/>
          <w:b/>
          <w:bCs/>
          <w:sz w:val="20"/>
          <w:szCs w:val="20"/>
        </w:rPr>
        <w:t>IV. PLAZO RAZONABLE EN CASOS DE RESTITUCIÓN INTERNACIONAL DE NIÑAS Y NIÑOS</w:t>
      </w:r>
    </w:p>
    <w:p w14:paraId="03608C3E" w14:textId="77777777" w:rsidR="00DB65DF" w:rsidRPr="00E055CB" w:rsidRDefault="00DB65DF" w:rsidP="00A91B11">
      <w:pPr>
        <w:ind w:right="615"/>
        <w:jc w:val="both"/>
        <w:rPr>
          <w:rFonts w:ascii="Verdana" w:hAnsi="Verdana"/>
          <w:b/>
          <w:bCs/>
          <w:sz w:val="20"/>
          <w:szCs w:val="20"/>
        </w:rPr>
      </w:pPr>
    </w:p>
    <w:p w14:paraId="78B5F771" w14:textId="1050E7D2" w:rsidR="00DB65DF" w:rsidRPr="00E055CB" w:rsidRDefault="00DB65DF" w:rsidP="00A91B11">
      <w:pPr>
        <w:pStyle w:val="Prrafodelista"/>
        <w:numPr>
          <w:ilvl w:val="0"/>
          <w:numId w:val="1"/>
        </w:numPr>
        <w:ind w:left="0" w:right="615" w:firstLine="0"/>
        <w:jc w:val="both"/>
        <w:rPr>
          <w:rFonts w:ascii="Verdana" w:hAnsi="Verdana"/>
        </w:rPr>
      </w:pPr>
      <w:r w:rsidRPr="00E055CB">
        <w:rPr>
          <w:rFonts w:ascii="Verdana" w:hAnsi="Verdana"/>
        </w:rPr>
        <w:t>En esta segunda parte, quienes suscribimos el presente voto entendemos necesario</w:t>
      </w:r>
      <w:r w:rsidR="009C7F6C">
        <w:rPr>
          <w:rFonts w:ascii="Verdana" w:hAnsi="Verdana"/>
        </w:rPr>
        <w:t>,</w:t>
      </w:r>
      <w:r w:rsidRPr="00E055CB">
        <w:rPr>
          <w:rFonts w:ascii="Verdana" w:hAnsi="Verdana"/>
        </w:rPr>
        <w:t xml:space="preserve"> a partir de los hechos relevados en el presente caso, analizar la normativa, la jurisprudencia de aplicación y las buenas prácticas desarrolladas en los procesos de restitución internacional de niñas y niños con relación al plazo razonable.</w:t>
      </w:r>
      <w:r w:rsidR="001F0E7F" w:rsidRPr="00E055CB">
        <w:rPr>
          <w:rFonts w:ascii="Verdana" w:hAnsi="Verdana"/>
        </w:rPr>
        <w:t xml:space="preserve"> </w:t>
      </w:r>
      <w:r w:rsidRPr="00E055CB">
        <w:rPr>
          <w:rFonts w:ascii="Verdana" w:hAnsi="Verdana"/>
        </w:rPr>
        <w:t>La cuestión del plazo razonable</w:t>
      </w:r>
      <w:r w:rsidR="001F0E7F" w:rsidRPr="00E055CB">
        <w:rPr>
          <w:rFonts w:ascii="Verdana" w:hAnsi="Verdana"/>
        </w:rPr>
        <w:t>,</w:t>
      </w:r>
      <w:r w:rsidRPr="00E055CB">
        <w:rPr>
          <w:rFonts w:ascii="Verdana" w:hAnsi="Verdana"/>
        </w:rPr>
        <w:t xml:space="preserve"> en casos de restitución internacional de niñas y niños</w:t>
      </w:r>
      <w:r w:rsidR="001F0E7F" w:rsidRPr="00E055CB">
        <w:rPr>
          <w:rFonts w:ascii="Verdana" w:hAnsi="Verdana"/>
        </w:rPr>
        <w:t>,</w:t>
      </w:r>
      <w:r w:rsidRPr="00E055CB">
        <w:rPr>
          <w:rFonts w:ascii="Verdana" w:hAnsi="Verdana"/>
        </w:rPr>
        <w:t xml:space="preserve"> a continuación</w:t>
      </w:r>
      <w:r w:rsidR="009C7F6C">
        <w:rPr>
          <w:rFonts w:ascii="Verdana" w:hAnsi="Verdana"/>
        </w:rPr>
        <w:t>,</w:t>
      </w:r>
      <w:r w:rsidRPr="00E055CB">
        <w:rPr>
          <w:rFonts w:ascii="Verdana" w:hAnsi="Verdana"/>
        </w:rPr>
        <w:t xml:space="preserve"> se analizará</w:t>
      </w:r>
      <w:r w:rsidR="001F0E7F" w:rsidRPr="00E055CB">
        <w:rPr>
          <w:rFonts w:ascii="Verdana" w:hAnsi="Verdana"/>
        </w:rPr>
        <w:t xml:space="preserve"> en el siguiente orden</w:t>
      </w:r>
      <w:r w:rsidRPr="00E055CB">
        <w:rPr>
          <w:rFonts w:ascii="Verdana" w:hAnsi="Verdana"/>
        </w:rPr>
        <w:t xml:space="preserve">: a) las reglamentaciones procesales internacionales existentes; b) la jurisprudencia del Tribunal Europeo </w:t>
      </w:r>
      <w:r w:rsidR="001F0E7F" w:rsidRPr="00E055CB">
        <w:rPr>
          <w:rFonts w:ascii="Verdana" w:hAnsi="Verdana"/>
        </w:rPr>
        <w:t>de Derechos Humanos</w:t>
      </w:r>
      <w:r w:rsidRPr="00E055CB">
        <w:rPr>
          <w:rFonts w:ascii="Verdana" w:hAnsi="Verdana"/>
        </w:rPr>
        <w:t>; c) la jurisprudencia de la Corte IDH en materia de plazo razonable; d) análisis del caso concreto</w:t>
      </w:r>
      <w:r w:rsidR="001F0E7F" w:rsidRPr="00E055CB">
        <w:rPr>
          <w:rFonts w:ascii="Verdana" w:hAnsi="Verdana"/>
        </w:rPr>
        <w:t>, y</w:t>
      </w:r>
      <w:r w:rsidRPr="00E055CB">
        <w:rPr>
          <w:rFonts w:ascii="Verdana" w:hAnsi="Verdana"/>
        </w:rPr>
        <w:t xml:space="preserve"> </w:t>
      </w:r>
      <w:proofErr w:type="spellStart"/>
      <w:r w:rsidRPr="00E055CB">
        <w:rPr>
          <w:rFonts w:ascii="Verdana" w:hAnsi="Verdana"/>
        </w:rPr>
        <w:t>e</w:t>
      </w:r>
      <w:proofErr w:type="spellEnd"/>
      <w:r w:rsidRPr="00E055CB">
        <w:rPr>
          <w:rFonts w:ascii="Verdana" w:hAnsi="Verdana"/>
        </w:rPr>
        <w:t>) el plazo razonable en el proceso internacional</w:t>
      </w:r>
      <w:r w:rsidR="001F0E7F" w:rsidRPr="00E055CB">
        <w:rPr>
          <w:rFonts w:ascii="Verdana" w:hAnsi="Verdana"/>
        </w:rPr>
        <w:t>.</w:t>
      </w:r>
    </w:p>
    <w:p w14:paraId="77E2AD79" w14:textId="77777777" w:rsidR="00DB65DF" w:rsidRPr="00E055CB" w:rsidRDefault="00DB65DF" w:rsidP="00A91B11">
      <w:pPr>
        <w:ind w:right="615"/>
        <w:jc w:val="both"/>
        <w:rPr>
          <w:rFonts w:ascii="Verdana" w:hAnsi="Verdana"/>
          <w:sz w:val="20"/>
          <w:szCs w:val="20"/>
        </w:rPr>
      </w:pPr>
    </w:p>
    <w:p w14:paraId="4E25EBE0" w14:textId="77777777" w:rsidR="00DB65DF" w:rsidRPr="00E055CB" w:rsidRDefault="00DB65DF" w:rsidP="00A91B11">
      <w:pPr>
        <w:pStyle w:val="Prrafodelista"/>
        <w:numPr>
          <w:ilvl w:val="0"/>
          <w:numId w:val="7"/>
        </w:numPr>
        <w:spacing w:after="160" w:line="259" w:lineRule="auto"/>
        <w:ind w:right="615"/>
        <w:jc w:val="both"/>
        <w:rPr>
          <w:rFonts w:ascii="Verdana" w:hAnsi="Verdana"/>
          <w:i/>
          <w:iCs/>
        </w:rPr>
      </w:pPr>
      <w:r w:rsidRPr="00E055CB">
        <w:rPr>
          <w:rFonts w:ascii="Verdana" w:hAnsi="Verdana"/>
          <w:b/>
          <w:bCs/>
          <w:i/>
          <w:iCs/>
        </w:rPr>
        <w:lastRenderedPageBreak/>
        <w:t>Las reglamentaciones procesales internacionales existentes</w:t>
      </w:r>
      <w:r w:rsidRPr="00E055CB">
        <w:rPr>
          <w:rFonts w:ascii="Verdana" w:hAnsi="Verdana"/>
          <w:i/>
          <w:iCs/>
        </w:rPr>
        <w:t xml:space="preserve"> </w:t>
      </w:r>
    </w:p>
    <w:p w14:paraId="24297E19" w14:textId="77777777" w:rsidR="001F0E7F" w:rsidRPr="00E055CB" w:rsidRDefault="001F0E7F" w:rsidP="00A91B11">
      <w:pPr>
        <w:pStyle w:val="Prrafodelista"/>
        <w:ind w:left="0" w:right="615"/>
        <w:jc w:val="both"/>
        <w:rPr>
          <w:rFonts w:ascii="Verdana" w:hAnsi="Verdana"/>
        </w:rPr>
      </w:pPr>
    </w:p>
    <w:p w14:paraId="1A9CD051" w14:textId="63B12ECA" w:rsidR="001F0E7F" w:rsidRPr="00E055CB" w:rsidRDefault="00DB65DF" w:rsidP="00A91B11">
      <w:pPr>
        <w:pStyle w:val="Prrafodelista"/>
        <w:numPr>
          <w:ilvl w:val="0"/>
          <w:numId w:val="1"/>
        </w:numPr>
        <w:ind w:left="0" w:right="615" w:firstLine="0"/>
        <w:jc w:val="both"/>
        <w:rPr>
          <w:rFonts w:ascii="Verdana" w:hAnsi="Verdana"/>
        </w:rPr>
      </w:pPr>
      <w:r w:rsidRPr="00E055CB">
        <w:rPr>
          <w:rFonts w:ascii="Verdana" w:hAnsi="Verdana"/>
        </w:rPr>
        <w:t>El Convenio sobre los aspectos civiles de la sustracción internacional de menores</w:t>
      </w:r>
      <w:r w:rsidR="00141CC9">
        <w:rPr>
          <w:rFonts w:ascii="Verdana" w:hAnsi="Verdana"/>
        </w:rPr>
        <w:t xml:space="preserve"> de</w:t>
      </w:r>
      <w:r w:rsidRPr="00E055CB">
        <w:rPr>
          <w:rFonts w:ascii="Verdana" w:hAnsi="Verdana"/>
        </w:rPr>
        <w:t xml:space="preserve"> La Haya, 1980</w:t>
      </w:r>
      <w:r w:rsidR="001F0E7F" w:rsidRPr="00E055CB">
        <w:rPr>
          <w:rFonts w:ascii="Verdana" w:hAnsi="Verdana"/>
        </w:rPr>
        <w:t>,</w:t>
      </w:r>
      <w:r w:rsidRPr="00E055CB">
        <w:rPr>
          <w:rFonts w:ascii="Verdana" w:hAnsi="Verdana"/>
        </w:rPr>
        <w:t xml:space="preserve"> en su artículo 11 establece la obligación de que las autoridades administrativas y judiciales actúen con urgencia en el tratamiento de las solicitudes de restitución, las que deberían resolverse en el plazo de 6 semanas entre ambas instancias.</w:t>
      </w:r>
      <w:r w:rsidR="001F0E7F" w:rsidRPr="00E055CB">
        <w:rPr>
          <w:rFonts w:ascii="Verdana" w:hAnsi="Verdana"/>
        </w:rPr>
        <w:t xml:space="preserve"> </w:t>
      </w:r>
      <w:r w:rsidRPr="00E055CB">
        <w:rPr>
          <w:rFonts w:ascii="Verdana" w:hAnsi="Verdana"/>
        </w:rPr>
        <w:t xml:space="preserve">La Convención Interamericana sobre Restitución Internacional de Menores de 1989, ratificada por Paraguay por Ley </w:t>
      </w:r>
      <w:proofErr w:type="spellStart"/>
      <w:r w:rsidRPr="00E055CB">
        <w:rPr>
          <w:rFonts w:ascii="Verdana" w:hAnsi="Verdana"/>
        </w:rPr>
        <w:t>N°</w:t>
      </w:r>
      <w:proofErr w:type="spellEnd"/>
      <w:r w:rsidRPr="00E055CB">
        <w:rPr>
          <w:rFonts w:ascii="Verdana" w:hAnsi="Verdana"/>
        </w:rPr>
        <w:t xml:space="preserve"> 928 de 1996 conforme la cual tramitó el presente caso – ver párrafo 29 – prevé un plazo 8 días para oponerse a la solicitud de restitución</w:t>
      </w:r>
      <w:r w:rsidR="001F0E7F" w:rsidRPr="00E055CB">
        <w:rPr>
          <w:rFonts w:ascii="Verdana" w:hAnsi="Verdana"/>
        </w:rPr>
        <w:t>,</w:t>
      </w:r>
      <w:r w:rsidRPr="00E055CB">
        <w:rPr>
          <w:rFonts w:ascii="Verdana" w:hAnsi="Verdana"/>
        </w:rPr>
        <w:t xml:space="preserve"> y de 60 días para el dictado de sentencia de primera instancia (art. 12). A su vez el plazo para hacer efectiva la orden de restitución es de 45 días conforme su artículo 13. Vencido el mismo sin hacerse efectivo el traslado</w:t>
      </w:r>
      <w:r w:rsidR="00141CC9">
        <w:rPr>
          <w:rFonts w:ascii="Verdana" w:hAnsi="Verdana"/>
        </w:rPr>
        <w:t>,</w:t>
      </w:r>
      <w:r w:rsidRPr="00E055CB">
        <w:rPr>
          <w:rFonts w:ascii="Verdana" w:hAnsi="Verdana"/>
        </w:rPr>
        <w:t xml:space="preserve"> queda sin efecto la orden de restitución. </w:t>
      </w:r>
      <w:r w:rsidR="00141CC9">
        <w:rPr>
          <w:rFonts w:ascii="Verdana" w:hAnsi="Verdana"/>
        </w:rPr>
        <w:t>Por su parte, l</w:t>
      </w:r>
      <w:r w:rsidRPr="00E055CB">
        <w:rPr>
          <w:rFonts w:ascii="Verdana" w:hAnsi="Verdana"/>
        </w:rPr>
        <w:t xml:space="preserve">a Ley Modelo </w:t>
      </w:r>
      <w:r w:rsidR="007A4F0C" w:rsidRPr="00E055CB">
        <w:rPr>
          <w:rFonts w:ascii="Verdana" w:hAnsi="Verdana"/>
        </w:rPr>
        <w:t xml:space="preserve">sobre Normas </w:t>
      </w:r>
      <w:r w:rsidR="007A4F0C">
        <w:rPr>
          <w:rFonts w:ascii="Verdana" w:hAnsi="Verdana"/>
        </w:rPr>
        <w:t>P</w:t>
      </w:r>
      <w:r w:rsidR="007A4F0C" w:rsidRPr="00E055CB">
        <w:rPr>
          <w:rFonts w:ascii="Verdana" w:hAnsi="Verdana"/>
        </w:rPr>
        <w:t xml:space="preserve">rocesales para la Aplicación de los Convenios sobre Sustracción internacional de Niños </w:t>
      </w:r>
      <w:r w:rsidR="007A4F0C">
        <w:rPr>
          <w:rFonts w:ascii="Verdana" w:hAnsi="Verdana"/>
        </w:rPr>
        <w:t xml:space="preserve">(en adelante “Ley Modelo Interamericana”) </w:t>
      </w:r>
      <w:r w:rsidR="00141CC9">
        <w:rPr>
          <w:rFonts w:ascii="Verdana" w:hAnsi="Verdana"/>
        </w:rPr>
        <w:t xml:space="preserve">define un plazo de </w:t>
      </w:r>
      <w:r w:rsidRPr="00E055CB">
        <w:rPr>
          <w:rFonts w:ascii="Verdana" w:hAnsi="Verdana"/>
        </w:rPr>
        <w:t>8 semanas incluida primera y segunda instancia</w:t>
      </w:r>
      <w:r w:rsidR="001F0E7F" w:rsidRPr="00E055CB">
        <w:rPr>
          <w:rFonts w:ascii="Verdana" w:hAnsi="Verdana"/>
        </w:rPr>
        <w:t>,</w:t>
      </w:r>
      <w:r w:rsidRPr="00E055CB">
        <w:rPr>
          <w:rFonts w:ascii="Verdana" w:hAnsi="Verdana"/>
        </w:rPr>
        <w:t xml:space="preserve"> y el Reglamento Bruselas II ter</w:t>
      </w:r>
      <w:r w:rsidRPr="00E055CB">
        <w:rPr>
          <w:rStyle w:val="Refdenotaalpie"/>
          <w:rFonts w:ascii="Verdana" w:hAnsi="Verdana"/>
        </w:rPr>
        <w:footnoteReference w:id="39"/>
      </w:r>
      <w:r w:rsidRPr="00E055CB">
        <w:rPr>
          <w:rFonts w:ascii="Verdana" w:hAnsi="Verdana"/>
        </w:rPr>
        <w:t xml:space="preserve"> estableci</w:t>
      </w:r>
      <w:r w:rsidR="00141CC9">
        <w:rPr>
          <w:rFonts w:ascii="Verdana" w:hAnsi="Verdana"/>
        </w:rPr>
        <w:t>ó</w:t>
      </w:r>
      <w:r w:rsidRPr="00E055CB">
        <w:rPr>
          <w:rFonts w:ascii="Verdana" w:hAnsi="Verdana"/>
        </w:rPr>
        <w:t xml:space="preserve"> un plazo de seis semanas para la primea instancia (y el mismo plazo para cualquier instancia superior)</w:t>
      </w:r>
      <w:r w:rsidR="001F0E7F" w:rsidRPr="00E055CB">
        <w:rPr>
          <w:rFonts w:ascii="Verdana" w:hAnsi="Verdana"/>
        </w:rPr>
        <w:t xml:space="preserve">. </w:t>
      </w:r>
      <w:r w:rsidRPr="00E055CB">
        <w:rPr>
          <w:rFonts w:ascii="Verdana" w:hAnsi="Verdana"/>
        </w:rPr>
        <w:t xml:space="preserve">Estos plazos exiguos tienen como fundamento principal evitar las profundas afectaciones que tienen los traslados o retenciones ilícitos en la vida de </w:t>
      </w:r>
      <w:proofErr w:type="gramStart"/>
      <w:r w:rsidRPr="00E055CB">
        <w:rPr>
          <w:rFonts w:ascii="Verdana" w:hAnsi="Verdana"/>
        </w:rPr>
        <w:t>niños y niñas</w:t>
      </w:r>
      <w:proofErr w:type="gramEnd"/>
      <w:r w:rsidRPr="00E055CB">
        <w:rPr>
          <w:rFonts w:ascii="Verdana" w:hAnsi="Verdana"/>
        </w:rPr>
        <w:t xml:space="preserve"> y qué afectan el relacionamiento con sus progenitores, como ha sucedido en el </w:t>
      </w:r>
      <w:r w:rsidR="001F0E7F" w:rsidRPr="00E055CB">
        <w:rPr>
          <w:rFonts w:ascii="Verdana" w:hAnsi="Verdana"/>
        </w:rPr>
        <w:t>presente caso</w:t>
      </w:r>
      <w:r w:rsidRPr="00E055CB">
        <w:rPr>
          <w:rFonts w:ascii="Verdana" w:hAnsi="Verdana"/>
        </w:rPr>
        <w:t>.</w:t>
      </w:r>
    </w:p>
    <w:p w14:paraId="0885ED4B" w14:textId="77777777" w:rsidR="001F0E7F" w:rsidRPr="00E055CB" w:rsidRDefault="001F0E7F" w:rsidP="00A91B11">
      <w:pPr>
        <w:pStyle w:val="Prrafodelista"/>
        <w:ind w:left="0" w:right="615"/>
        <w:jc w:val="both"/>
        <w:rPr>
          <w:rFonts w:ascii="Verdana" w:hAnsi="Verdana"/>
        </w:rPr>
      </w:pPr>
    </w:p>
    <w:p w14:paraId="7A558EA2" w14:textId="4FA0E349" w:rsidR="001F0E7F" w:rsidRPr="00E055CB" w:rsidRDefault="00DB65DF" w:rsidP="00A91B11">
      <w:pPr>
        <w:pStyle w:val="Prrafodelista"/>
        <w:numPr>
          <w:ilvl w:val="0"/>
          <w:numId w:val="1"/>
        </w:numPr>
        <w:ind w:left="0" w:right="615" w:firstLine="0"/>
        <w:jc w:val="both"/>
        <w:rPr>
          <w:rFonts w:ascii="Verdana" w:hAnsi="Verdana"/>
        </w:rPr>
      </w:pPr>
      <w:proofErr w:type="gramStart"/>
      <w:r w:rsidRPr="00E055CB">
        <w:rPr>
          <w:rFonts w:ascii="Verdana" w:hAnsi="Verdana"/>
        </w:rPr>
        <w:t>De acuerdo a</w:t>
      </w:r>
      <w:proofErr w:type="gramEnd"/>
      <w:r w:rsidRPr="00E055CB">
        <w:rPr>
          <w:rFonts w:ascii="Verdana" w:hAnsi="Verdana"/>
        </w:rPr>
        <w:t xml:space="preserve"> documentación emanada de la Conferencia de La Haya de Derecho Internacional Privado</w:t>
      </w:r>
      <w:r w:rsidRPr="00E055CB">
        <w:rPr>
          <w:rStyle w:val="Refdenotaalpie"/>
          <w:rFonts w:ascii="Verdana" w:hAnsi="Verdana"/>
        </w:rPr>
        <w:footnoteReference w:id="40"/>
      </w:r>
      <w:r w:rsidR="009D6F00" w:rsidRPr="00E055CB">
        <w:rPr>
          <w:rFonts w:ascii="Verdana" w:hAnsi="Verdana"/>
        </w:rPr>
        <w:t>,</w:t>
      </w:r>
      <w:r w:rsidRPr="00E055CB">
        <w:rPr>
          <w:rFonts w:ascii="Verdana" w:hAnsi="Verdana"/>
        </w:rPr>
        <w:t xml:space="preserve"> 11 Países han resuelto los casos en un período de tiempo inferior a las 16 semanas, algunos de ellos dentro de las 10 semanas (uno de ellos es Uruguay). Estos Estados han demorado un promedio de 4 semanas en la fase administrativa y 11 semanas en la fase judicial.</w:t>
      </w:r>
      <w:r w:rsidR="001F0E7F" w:rsidRPr="00E055CB">
        <w:rPr>
          <w:rFonts w:ascii="Verdana" w:hAnsi="Verdana"/>
        </w:rPr>
        <w:t xml:space="preserve"> </w:t>
      </w:r>
      <w:r w:rsidRPr="00E055CB">
        <w:rPr>
          <w:rFonts w:ascii="Verdana" w:hAnsi="Verdana"/>
        </w:rPr>
        <w:t>La mayoría ha adoptado procesos especiales para la fase judicial, han concentrado competencia, y han adoptado lineamientos o protocolos para la gestión urgente de los casos en la fase administrativa.</w:t>
      </w:r>
      <w:r w:rsidR="001F0E7F" w:rsidRPr="00E055CB">
        <w:rPr>
          <w:rFonts w:ascii="Verdana" w:hAnsi="Verdana"/>
        </w:rPr>
        <w:t xml:space="preserve"> </w:t>
      </w:r>
      <w:r w:rsidRPr="00E055CB">
        <w:rPr>
          <w:rFonts w:ascii="Verdana" w:hAnsi="Verdana"/>
        </w:rPr>
        <w:t>Los tiempos breves de tramitación de estos Estados demuestran que los resultados no son azarosos, sino que existen razones sistémicas que determinan una mayor eficiencia de unas jurisdicciones sobre otras y que dicha eficiencia se vincula con la manera en que han implementado y operan el Convenio</w:t>
      </w:r>
      <w:r w:rsidR="00141CC9">
        <w:rPr>
          <w:rFonts w:ascii="Verdana" w:hAnsi="Verdana"/>
        </w:rPr>
        <w:t xml:space="preserve"> de La Haya</w:t>
      </w:r>
      <w:r w:rsidRPr="00E055CB">
        <w:rPr>
          <w:rFonts w:ascii="Verdana" w:hAnsi="Verdana"/>
        </w:rPr>
        <w:t xml:space="preserve"> de 1980.</w:t>
      </w:r>
    </w:p>
    <w:p w14:paraId="62F6036A" w14:textId="77777777" w:rsidR="001F0E7F" w:rsidRPr="00E055CB" w:rsidRDefault="001F0E7F" w:rsidP="00A91B11">
      <w:pPr>
        <w:pStyle w:val="Prrafodelista"/>
        <w:ind w:left="0" w:right="615"/>
        <w:jc w:val="both"/>
        <w:rPr>
          <w:rFonts w:ascii="Verdana" w:hAnsi="Verdana"/>
        </w:rPr>
      </w:pPr>
    </w:p>
    <w:p w14:paraId="2E6C6A70" w14:textId="65C7EA24" w:rsidR="001F0E7F" w:rsidRPr="00E055CB" w:rsidRDefault="00DB65DF" w:rsidP="00A91B11">
      <w:pPr>
        <w:pStyle w:val="Prrafodelista"/>
        <w:numPr>
          <w:ilvl w:val="0"/>
          <w:numId w:val="1"/>
        </w:numPr>
        <w:ind w:left="0" w:right="615" w:firstLine="0"/>
        <w:jc w:val="both"/>
        <w:rPr>
          <w:rFonts w:ascii="Verdana" w:hAnsi="Verdana"/>
        </w:rPr>
      </w:pPr>
      <w:r w:rsidRPr="00E055CB">
        <w:rPr>
          <w:rFonts w:ascii="Verdana" w:hAnsi="Verdana"/>
        </w:rPr>
        <w:t>La Convención de los Derechos del Niño establece en sus artículos 3, 9, 10,</w:t>
      </w:r>
      <w:r w:rsidR="009D6F00" w:rsidRPr="00E055CB">
        <w:rPr>
          <w:rFonts w:ascii="Verdana" w:hAnsi="Verdana"/>
        </w:rPr>
        <w:t xml:space="preserve"> </w:t>
      </w:r>
      <w:r w:rsidRPr="00E055CB">
        <w:rPr>
          <w:rFonts w:ascii="Verdana" w:hAnsi="Verdana"/>
        </w:rPr>
        <w:t>11,</w:t>
      </w:r>
      <w:r w:rsidR="009D6F00" w:rsidRPr="00E055CB">
        <w:rPr>
          <w:rFonts w:ascii="Verdana" w:hAnsi="Verdana"/>
        </w:rPr>
        <w:t xml:space="preserve"> </w:t>
      </w:r>
      <w:r w:rsidRPr="00E055CB">
        <w:rPr>
          <w:rFonts w:ascii="Verdana" w:hAnsi="Verdana"/>
        </w:rPr>
        <w:t>12, 18 y 35 un régimen jurídico con respecto a la sustracción o retención ilícitas que en síntesis recoge los siguientes derechos y las correlativas obligaciones de los Estados Parte: 1) es un derecho del niño crecer en el seno de una familia; 2) este derecho comprende el de vivir con sus progenitores y el derecho a no ser separado de estos salvo a reserva de su interés superior; 3) cuando deban vivir separados, derecho a tener acceso con sus progenitores y su familia; 4) derecho a la integración familiar que determina la consiguiente obligación del Estado de luchar contra los traslados o retenciones ilícitos internacionales, adhiriendo a convenciones bilaterales o multilaterales ya existentes; 5) obligación de luchar para impedir el secuestro, la venta o la trata de niños para cualquier fin o en cualquier forma.</w:t>
      </w:r>
      <w:r w:rsidR="001F0E7F" w:rsidRPr="00E055CB">
        <w:rPr>
          <w:rFonts w:ascii="Verdana" w:hAnsi="Verdana"/>
        </w:rPr>
        <w:t xml:space="preserve"> </w:t>
      </w:r>
      <w:r w:rsidRPr="00E055CB">
        <w:rPr>
          <w:rFonts w:ascii="Verdana" w:hAnsi="Verdana"/>
        </w:rPr>
        <w:t xml:space="preserve">En las decisiones que se </w:t>
      </w:r>
      <w:r w:rsidRPr="00E055CB">
        <w:rPr>
          <w:rFonts w:ascii="Verdana" w:hAnsi="Verdana"/>
        </w:rPr>
        <w:lastRenderedPageBreak/>
        <w:t>adopten tendrá carácter prioritario el interés superior del niño o la niña y el respeto del derecho del niño a ser oído y a que sus opiniones sean debidamente tenidas en cuenta.</w:t>
      </w:r>
    </w:p>
    <w:p w14:paraId="3694FE75" w14:textId="77777777" w:rsidR="001F0E7F" w:rsidRPr="00E055CB" w:rsidRDefault="001F0E7F" w:rsidP="00A91B11">
      <w:pPr>
        <w:pStyle w:val="Prrafodelista"/>
        <w:ind w:left="0" w:right="615"/>
        <w:jc w:val="both"/>
        <w:rPr>
          <w:rFonts w:ascii="Verdana" w:hAnsi="Verdana"/>
        </w:rPr>
      </w:pPr>
    </w:p>
    <w:p w14:paraId="1FB3CBB8" w14:textId="00B157A8" w:rsidR="00DB65DF" w:rsidRPr="00E055CB" w:rsidRDefault="00DB65DF" w:rsidP="00A91B11">
      <w:pPr>
        <w:pStyle w:val="Prrafodelista"/>
        <w:numPr>
          <w:ilvl w:val="0"/>
          <w:numId w:val="1"/>
        </w:numPr>
        <w:ind w:left="0" w:right="615" w:firstLine="0"/>
        <w:jc w:val="both"/>
        <w:rPr>
          <w:rFonts w:ascii="Verdana" w:hAnsi="Verdana"/>
        </w:rPr>
      </w:pPr>
      <w:r w:rsidRPr="00E055CB">
        <w:rPr>
          <w:rFonts w:ascii="Verdana" w:hAnsi="Verdana"/>
        </w:rPr>
        <w:t xml:space="preserve">El interés superior del niño o de la niña consiste en que se respete y garantice de manera prioritaria el pleno ejercicio de sus derechos, que en una situación de sustracción internacional es el derecho a no ser trasladado o retenido lícitamente, a tener contacto fluido con el progenitor no conviviente y a un debido acceso a la justicia, comenzando por la determinación del juez competente para determinar cuál es su interés superior en el marco de un conflicto </w:t>
      </w:r>
      <w:proofErr w:type="spellStart"/>
      <w:r w:rsidRPr="00E055CB">
        <w:rPr>
          <w:rFonts w:ascii="Verdana" w:hAnsi="Verdana"/>
        </w:rPr>
        <w:t>interparental</w:t>
      </w:r>
      <w:proofErr w:type="spellEnd"/>
      <w:r w:rsidRPr="00E055CB">
        <w:rPr>
          <w:rFonts w:ascii="Verdana" w:hAnsi="Verdana"/>
        </w:rPr>
        <w:t xml:space="preserve"> de carácter transfronterizo. A fin de garantizar estos derechos se desarrollaron los mecanismos de protección previstos en el </w:t>
      </w:r>
      <w:r w:rsidR="007A4F0C" w:rsidRPr="00E055CB">
        <w:rPr>
          <w:rFonts w:ascii="Verdana" w:hAnsi="Verdana"/>
        </w:rPr>
        <w:t>Convenio</w:t>
      </w:r>
      <w:r w:rsidRPr="00E055CB">
        <w:rPr>
          <w:rFonts w:ascii="Verdana" w:hAnsi="Verdana"/>
        </w:rPr>
        <w:t xml:space="preserve"> de 1980 y en la Convención </w:t>
      </w:r>
      <w:r w:rsidR="007A4F0C">
        <w:rPr>
          <w:rFonts w:ascii="Verdana" w:hAnsi="Verdana"/>
        </w:rPr>
        <w:t>Intera</w:t>
      </w:r>
      <w:r w:rsidRPr="00E055CB">
        <w:rPr>
          <w:rFonts w:ascii="Verdana" w:hAnsi="Verdana"/>
        </w:rPr>
        <w:t>mericana de 1989.</w:t>
      </w:r>
      <w:r w:rsidR="001F0E7F" w:rsidRPr="00E055CB">
        <w:rPr>
          <w:rFonts w:ascii="Verdana" w:hAnsi="Verdana"/>
        </w:rPr>
        <w:t xml:space="preserve"> </w:t>
      </w:r>
      <w:r w:rsidRPr="00E055CB">
        <w:rPr>
          <w:rFonts w:ascii="Verdana" w:hAnsi="Verdana"/>
        </w:rPr>
        <w:t xml:space="preserve">Lo anterior determina como derecho del niño prevalente, respecto del interés de los adultos en disputa (sustractor y solicitante de la </w:t>
      </w:r>
      <w:proofErr w:type="spellStart"/>
      <w:proofErr w:type="gramStart"/>
      <w:r w:rsidRPr="00E055CB">
        <w:rPr>
          <w:rFonts w:ascii="Verdana" w:hAnsi="Verdana"/>
        </w:rPr>
        <w:t>rest</w:t>
      </w:r>
      <w:r w:rsidR="009D6F00" w:rsidRPr="00E055CB">
        <w:rPr>
          <w:rFonts w:ascii="Verdana" w:hAnsi="Verdana"/>
        </w:rPr>
        <w:t>i</w:t>
      </w:r>
      <w:r w:rsidRPr="00E055CB">
        <w:rPr>
          <w:rFonts w:ascii="Verdana" w:hAnsi="Verdana"/>
        </w:rPr>
        <w:t>tuc¡</w:t>
      </w:r>
      <w:proofErr w:type="gramEnd"/>
      <w:r w:rsidRPr="00E055CB">
        <w:rPr>
          <w:rFonts w:ascii="Verdana" w:hAnsi="Verdana"/>
        </w:rPr>
        <w:t>ón</w:t>
      </w:r>
      <w:proofErr w:type="spellEnd"/>
      <w:r w:rsidRPr="00E055CB">
        <w:rPr>
          <w:rFonts w:ascii="Verdana" w:hAnsi="Verdana"/>
        </w:rPr>
        <w:t xml:space="preserve">), la inmediata </w:t>
      </w:r>
      <w:proofErr w:type="spellStart"/>
      <w:r w:rsidRPr="00E055CB">
        <w:rPr>
          <w:rFonts w:ascii="Verdana" w:hAnsi="Verdana"/>
        </w:rPr>
        <w:t>restituc¡ón</w:t>
      </w:r>
      <w:proofErr w:type="spellEnd"/>
      <w:r w:rsidRPr="00E055CB">
        <w:rPr>
          <w:rFonts w:ascii="Verdana" w:hAnsi="Verdana"/>
        </w:rPr>
        <w:t xml:space="preserve">, para que sea el juez de la residencia habitual el que decida la cuestión de fondo sobre custodia o visitas. La Ley Modelo </w:t>
      </w:r>
      <w:r w:rsidR="007A4F0C">
        <w:rPr>
          <w:rFonts w:ascii="Verdana" w:hAnsi="Verdana"/>
        </w:rPr>
        <w:t>I</w:t>
      </w:r>
      <w:r w:rsidRPr="00E055CB">
        <w:rPr>
          <w:rFonts w:ascii="Verdana" w:hAnsi="Verdana"/>
        </w:rPr>
        <w:t>nteramericana recoge en su art</w:t>
      </w:r>
      <w:r w:rsidR="00975AF2">
        <w:rPr>
          <w:rFonts w:ascii="Verdana" w:hAnsi="Verdana"/>
        </w:rPr>
        <w:t>.</w:t>
      </w:r>
      <w:r w:rsidRPr="00E055CB">
        <w:rPr>
          <w:rFonts w:ascii="Verdana" w:hAnsi="Verdana"/>
        </w:rPr>
        <w:t xml:space="preserve"> 2, esta posición: </w:t>
      </w:r>
    </w:p>
    <w:p w14:paraId="4A043640" w14:textId="77777777" w:rsidR="001F0E7F" w:rsidRPr="00E055CB" w:rsidRDefault="001F0E7F" w:rsidP="00DB65DF">
      <w:pPr>
        <w:jc w:val="both"/>
        <w:rPr>
          <w:rFonts w:ascii="Verdana" w:hAnsi="Verdana"/>
          <w:sz w:val="20"/>
          <w:szCs w:val="20"/>
        </w:rPr>
      </w:pPr>
    </w:p>
    <w:p w14:paraId="4F9B0F6F" w14:textId="5BB0E1A6" w:rsidR="00DB65DF" w:rsidRPr="00E055CB" w:rsidRDefault="007A4F0C" w:rsidP="001F0E7F">
      <w:pPr>
        <w:ind w:left="708" w:right="899"/>
        <w:jc w:val="both"/>
        <w:rPr>
          <w:rFonts w:ascii="Verdana" w:hAnsi="Verdana"/>
          <w:sz w:val="18"/>
          <w:szCs w:val="18"/>
        </w:rPr>
      </w:pPr>
      <w:r>
        <w:rPr>
          <w:rFonts w:ascii="Verdana" w:hAnsi="Verdana"/>
          <w:sz w:val="18"/>
          <w:szCs w:val="18"/>
        </w:rPr>
        <w:t>“</w:t>
      </w:r>
      <w:r w:rsidR="00DB65DF" w:rsidRPr="00E055CB">
        <w:rPr>
          <w:rFonts w:ascii="Verdana" w:hAnsi="Verdana"/>
          <w:sz w:val="18"/>
          <w:szCs w:val="18"/>
        </w:rPr>
        <w:t>Se consagra como criterio orientador de interpretación y en su caso de integración, el del ¡</w:t>
      </w:r>
      <w:proofErr w:type="spellStart"/>
      <w:r w:rsidR="00DB65DF" w:rsidRPr="00E055CB">
        <w:rPr>
          <w:rFonts w:ascii="Verdana" w:hAnsi="Verdana"/>
          <w:sz w:val="18"/>
          <w:szCs w:val="18"/>
        </w:rPr>
        <w:t>nterés</w:t>
      </w:r>
      <w:proofErr w:type="spellEnd"/>
      <w:r w:rsidR="00DB65DF" w:rsidRPr="00E055CB">
        <w:rPr>
          <w:rFonts w:ascii="Verdana" w:hAnsi="Verdana"/>
          <w:sz w:val="18"/>
          <w:szCs w:val="18"/>
        </w:rPr>
        <w:t xml:space="preserve"> superior del niño. Considerándose por tal a los efectos de la presente ley el derecho a no ser trasladado o retenido ilícitamente y a que se dilucide ante el juez de Estado de su residencia habitual la decisión sobre su guarda o custodia; a mantener contacto fluido con ambos progenitores y sus familias y a obtener una rápida resolución de la solicitud de restitución o de visita internacional</w:t>
      </w:r>
      <w:r>
        <w:rPr>
          <w:rFonts w:ascii="Verdana" w:hAnsi="Verdana"/>
          <w:sz w:val="18"/>
          <w:szCs w:val="18"/>
        </w:rPr>
        <w:t>”</w:t>
      </w:r>
      <w:r w:rsidR="00DB65DF" w:rsidRPr="00E055CB">
        <w:rPr>
          <w:rStyle w:val="Refdenotaalpie"/>
          <w:rFonts w:ascii="Verdana" w:hAnsi="Verdana"/>
          <w:sz w:val="18"/>
          <w:szCs w:val="18"/>
        </w:rPr>
        <w:footnoteReference w:id="41"/>
      </w:r>
      <w:r>
        <w:rPr>
          <w:rFonts w:ascii="Verdana" w:hAnsi="Verdana"/>
          <w:sz w:val="18"/>
          <w:szCs w:val="18"/>
        </w:rPr>
        <w:t>.</w:t>
      </w:r>
    </w:p>
    <w:p w14:paraId="06D20D13" w14:textId="77777777" w:rsidR="001F0E7F" w:rsidRPr="00E055CB" w:rsidRDefault="001F0E7F" w:rsidP="00DB65DF">
      <w:pPr>
        <w:jc w:val="both"/>
        <w:rPr>
          <w:rFonts w:ascii="Verdana" w:hAnsi="Verdana"/>
          <w:sz w:val="20"/>
          <w:szCs w:val="20"/>
        </w:rPr>
      </w:pPr>
    </w:p>
    <w:p w14:paraId="0AABFB01" w14:textId="5A38C987" w:rsidR="00DB65DF" w:rsidRPr="00E055CB" w:rsidRDefault="00DB65DF" w:rsidP="00A91B11">
      <w:pPr>
        <w:pStyle w:val="Prrafodelista"/>
        <w:numPr>
          <w:ilvl w:val="0"/>
          <w:numId w:val="1"/>
        </w:numPr>
        <w:ind w:left="0" w:right="615" w:firstLine="0"/>
        <w:jc w:val="both"/>
        <w:rPr>
          <w:rFonts w:ascii="Verdana" w:hAnsi="Verdana"/>
        </w:rPr>
      </w:pPr>
      <w:r w:rsidRPr="00E055CB">
        <w:rPr>
          <w:rFonts w:ascii="Verdana" w:hAnsi="Verdana"/>
        </w:rPr>
        <w:t>Es a partir de tales consideraciones que debe analizarse cuáles son los tiempos de una decisión sobre un caso de restitución internacional, para determinar si el plazo para adoptar dicha decisión es razonable o no.</w:t>
      </w:r>
    </w:p>
    <w:p w14:paraId="43A1FA2C" w14:textId="77777777" w:rsidR="001F0E7F" w:rsidRPr="00E055CB" w:rsidRDefault="001F0E7F" w:rsidP="001F0E7F">
      <w:pPr>
        <w:pStyle w:val="Prrafodelista"/>
        <w:ind w:left="0"/>
        <w:jc w:val="both"/>
        <w:rPr>
          <w:rFonts w:ascii="Verdana" w:hAnsi="Verdana"/>
        </w:rPr>
      </w:pPr>
    </w:p>
    <w:p w14:paraId="21EC458D" w14:textId="39212D5E" w:rsidR="009D6F00" w:rsidRPr="00E055CB" w:rsidRDefault="00DB65DF" w:rsidP="009D6F00">
      <w:pPr>
        <w:pStyle w:val="Prrafodelista"/>
        <w:numPr>
          <w:ilvl w:val="0"/>
          <w:numId w:val="7"/>
        </w:numPr>
        <w:spacing w:after="160" w:line="259" w:lineRule="auto"/>
        <w:jc w:val="both"/>
        <w:rPr>
          <w:rFonts w:ascii="Verdana" w:hAnsi="Verdana"/>
          <w:b/>
          <w:bCs/>
          <w:i/>
          <w:iCs/>
        </w:rPr>
      </w:pPr>
      <w:r w:rsidRPr="00E055CB">
        <w:rPr>
          <w:rFonts w:ascii="Verdana" w:hAnsi="Verdana"/>
          <w:b/>
          <w:bCs/>
          <w:i/>
          <w:iCs/>
        </w:rPr>
        <w:t>La Jurisprudencia del Tribunal Europeo</w:t>
      </w:r>
    </w:p>
    <w:p w14:paraId="5D53BF42" w14:textId="77777777" w:rsidR="009D6F00" w:rsidRPr="00E055CB" w:rsidRDefault="009D6F00" w:rsidP="009D6F00">
      <w:pPr>
        <w:pStyle w:val="Prrafodelista"/>
        <w:spacing w:after="160" w:line="259" w:lineRule="auto"/>
        <w:ind w:left="0"/>
        <w:jc w:val="both"/>
        <w:rPr>
          <w:rFonts w:ascii="Verdana" w:hAnsi="Verdana"/>
        </w:rPr>
      </w:pPr>
    </w:p>
    <w:p w14:paraId="7830B192" w14:textId="34BDBAC6" w:rsidR="00DB65DF" w:rsidRPr="00E055CB" w:rsidRDefault="00DB65DF" w:rsidP="00A91B11">
      <w:pPr>
        <w:pStyle w:val="Prrafodelista"/>
        <w:numPr>
          <w:ilvl w:val="0"/>
          <w:numId w:val="1"/>
        </w:numPr>
        <w:ind w:left="0" w:right="615" w:firstLine="0"/>
        <w:jc w:val="both"/>
        <w:rPr>
          <w:rFonts w:ascii="Verdana" w:hAnsi="Verdana"/>
        </w:rPr>
      </w:pPr>
      <w:r w:rsidRPr="00E055CB">
        <w:rPr>
          <w:rFonts w:ascii="Verdana" w:hAnsi="Verdana"/>
          <w:b/>
          <w:bCs/>
          <w:i/>
          <w:iCs/>
        </w:rPr>
        <w:t>La necesidad de actuar con urgencia:</w:t>
      </w:r>
      <w:r w:rsidRPr="00E055CB">
        <w:rPr>
          <w:rFonts w:ascii="Verdana" w:hAnsi="Verdana"/>
        </w:rPr>
        <w:t xml:space="preserve"> En estos casos, </w:t>
      </w:r>
      <w:r w:rsidR="007A4F0C">
        <w:rPr>
          <w:rFonts w:ascii="Verdana" w:hAnsi="Verdana"/>
        </w:rPr>
        <w:t xml:space="preserve">el Tribunal Europeo ha sostenido que </w:t>
      </w:r>
      <w:r w:rsidRPr="00E055CB">
        <w:rPr>
          <w:rFonts w:ascii="Verdana" w:hAnsi="Verdana"/>
        </w:rPr>
        <w:t xml:space="preserve">la idoneidad de una medida también debe juzgarse por la rapidez de su aplicación, ya que requieren un tratamiento urgente, dado que el paso del tiempo puede tener consecuencias irremediables para las relaciones entre los hijos y el progenitor que no vive con ellos (por ejemplo en </w:t>
      </w:r>
      <w:r w:rsidRPr="00E055CB">
        <w:rPr>
          <w:rFonts w:ascii="Verdana" w:hAnsi="Verdana"/>
          <w:i/>
          <w:iCs/>
        </w:rPr>
        <w:t>Sylvester v. Austria</w:t>
      </w:r>
      <w:r w:rsidRPr="00E055CB">
        <w:rPr>
          <w:rFonts w:ascii="Verdana" w:hAnsi="Verdana"/>
        </w:rPr>
        <w:t>,</w:t>
      </w:r>
      <w:r w:rsidR="009D6F00" w:rsidRPr="00E055CB">
        <w:rPr>
          <w:rFonts w:ascii="Verdana" w:hAnsi="Verdana"/>
        </w:rPr>
        <w:t xml:space="preserve"> </w:t>
      </w:r>
      <w:r w:rsidRPr="00E055CB">
        <w:rPr>
          <w:rFonts w:ascii="Verdana" w:hAnsi="Verdana"/>
        </w:rPr>
        <w:t>nos.</w:t>
      </w:r>
      <w:r w:rsidR="009D6F00" w:rsidRPr="00E055CB">
        <w:rPr>
          <w:rFonts w:ascii="Verdana" w:hAnsi="Verdana"/>
        </w:rPr>
        <w:t xml:space="preserve"> </w:t>
      </w:r>
      <w:hyperlink r:id="rId11" w:anchor="{%22appno%22:[%2236812/97%22]}" w:tgtFrame="_blank" w:history="1">
        <w:r w:rsidRPr="00E055CB">
          <w:rPr>
            <w:rFonts w:ascii="Verdana" w:hAnsi="Verdana"/>
            <w:u w:val="single"/>
          </w:rPr>
          <w:t>36812/97</w:t>
        </w:r>
      </w:hyperlink>
      <w:r w:rsidR="009D6F00" w:rsidRPr="00E055CB">
        <w:rPr>
          <w:rFonts w:ascii="Verdana" w:hAnsi="Verdana"/>
          <w:u w:val="single"/>
        </w:rPr>
        <w:t xml:space="preserve"> y </w:t>
      </w:r>
      <w:hyperlink r:id="rId12" w:anchor="{%22appno%22:[%2240104/98%22]}" w:tgtFrame="_blank" w:history="1">
        <w:r w:rsidRPr="00E055CB">
          <w:rPr>
            <w:rFonts w:ascii="Verdana" w:hAnsi="Verdana"/>
            <w:u w:val="single"/>
          </w:rPr>
          <w:t>40104/98</w:t>
        </w:r>
      </w:hyperlink>
      <w:r w:rsidRPr="00E055CB">
        <w:rPr>
          <w:rFonts w:ascii="Verdana" w:hAnsi="Verdana"/>
        </w:rPr>
        <w:t>, § 60, 24 Abril 2003</w:t>
      </w:r>
      <w:r w:rsidR="009D6F00" w:rsidRPr="00E055CB">
        <w:rPr>
          <w:rFonts w:ascii="Verdana" w:hAnsi="Verdana"/>
        </w:rPr>
        <w:t>, y</w:t>
      </w:r>
      <w:r w:rsidRPr="00E055CB">
        <w:rPr>
          <w:rFonts w:ascii="Verdana" w:hAnsi="Verdana"/>
        </w:rPr>
        <w:t xml:space="preserve"> </w:t>
      </w:r>
      <w:proofErr w:type="spellStart"/>
      <w:r w:rsidRPr="00E055CB">
        <w:rPr>
          <w:rFonts w:ascii="Verdana" w:hAnsi="Verdana"/>
          <w:i/>
          <w:iCs/>
        </w:rPr>
        <w:t>Adžić</w:t>
      </w:r>
      <w:proofErr w:type="spellEnd"/>
      <w:r w:rsidRPr="00E055CB">
        <w:rPr>
          <w:rFonts w:ascii="Verdana" w:hAnsi="Verdana"/>
          <w:i/>
          <w:iCs/>
        </w:rPr>
        <w:t xml:space="preserve"> v. Croacia</w:t>
      </w:r>
      <w:r w:rsidRPr="00E055CB">
        <w:rPr>
          <w:rFonts w:ascii="Verdana" w:hAnsi="Verdana"/>
        </w:rPr>
        <w:t xml:space="preserve"> (No. 22643/14), 12 de marzo de 2015</w:t>
      </w:r>
      <w:r w:rsidR="009D6F00" w:rsidRPr="00E055CB">
        <w:rPr>
          <w:rFonts w:ascii="Verdana" w:hAnsi="Verdana"/>
        </w:rPr>
        <w:t>)</w:t>
      </w:r>
      <w:r w:rsidRPr="00E055CB">
        <w:rPr>
          <w:rFonts w:ascii="Verdana" w:hAnsi="Verdana"/>
        </w:rPr>
        <w:t>. Por lo tanto, en los casos relativos a la relación de una persona con su hijo</w:t>
      </w:r>
      <w:r w:rsidR="007A4F0C">
        <w:rPr>
          <w:rFonts w:ascii="Verdana" w:hAnsi="Verdana"/>
        </w:rPr>
        <w:t>,</w:t>
      </w:r>
      <w:r w:rsidRPr="00E055CB">
        <w:rPr>
          <w:rFonts w:ascii="Verdana" w:hAnsi="Verdana"/>
        </w:rPr>
        <w:t xml:space="preserve"> existe el deber de ejercer una diligencia excepcional, en vista del riesgo de que el paso del tiempo pueda dar lugar a una resolución de facto del asunto. Este deber, que es decisivo a la hora de evaluar si un asunto ha sido juzgado en un plazo razonable, tal como exige el artículo 6 § 1 del Convenio, también forma parte de los requisitos procesales implícitos en el artículo 8 (por </w:t>
      </w:r>
      <w:r w:rsidR="007A4F0C" w:rsidRPr="00E055CB">
        <w:rPr>
          <w:rFonts w:ascii="Verdana" w:hAnsi="Verdana"/>
        </w:rPr>
        <w:t>ejemplo,</w:t>
      </w:r>
      <w:r w:rsidRPr="00E055CB">
        <w:rPr>
          <w:rFonts w:ascii="Verdana" w:hAnsi="Verdana"/>
        </w:rPr>
        <w:t xml:space="preserve"> en </w:t>
      </w:r>
      <w:proofErr w:type="spellStart"/>
      <w:r w:rsidRPr="00E055CB">
        <w:rPr>
          <w:rFonts w:ascii="Verdana" w:hAnsi="Verdana"/>
        </w:rPr>
        <w:t>Süß</w:t>
      </w:r>
      <w:proofErr w:type="spellEnd"/>
      <w:r w:rsidRPr="00E055CB">
        <w:rPr>
          <w:rFonts w:ascii="Verdana" w:hAnsi="Verdana"/>
        </w:rPr>
        <w:t xml:space="preserve"> v. </w:t>
      </w:r>
      <w:proofErr w:type="spellStart"/>
      <w:r w:rsidRPr="00E055CB">
        <w:rPr>
          <w:rFonts w:ascii="Verdana" w:hAnsi="Verdana"/>
        </w:rPr>
        <w:t>Germany</w:t>
      </w:r>
      <w:proofErr w:type="spellEnd"/>
      <w:r w:rsidRPr="00E055CB">
        <w:rPr>
          <w:rFonts w:ascii="Verdana" w:hAnsi="Verdana"/>
        </w:rPr>
        <w:t xml:space="preserve">, no. 40324/98, § 100, 10 </w:t>
      </w:r>
      <w:proofErr w:type="gramStart"/>
      <w:r w:rsidRPr="00E055CB">
        <w:rPr>
          <w:rFonts w:ascii="Verdana" w:hAnsi="Verdana"/>
        </w:rPr>
        <w:t>Noviembre</w:t>
      </w:r>
      <w:proofErr w:type="gramEnd"/>
      <w:r w:rsidRPr="00E055CB">
        <w:rPr>
          <w:rFonts w:ascii="Verdana" w:hAnsi="Verdana"/>
        </w:rPr>
        <w:t xml:space="preserve"> 2005, </w:t>
      </w:r>
      <w:r w:rsidR="009D6F00" w:rsidRPr="00E055CB">
        <w:rPr>
          <w:rFonts w:ascii="Verdana" w:hAnsi="Verdana"/>
        </w:rPr>
        <w:t>y</w:t>
      </w:r>
      <w:r w:rsidRPr="00E055CB">
        <w:rPr>
          <w:rFonts w:ascii="Verdana" w:hAnsi="Verdana"/>
        </w:rPr>
        <w:t xml:space="preserve"> </w:t>
      </w:r>
      <w:proofErr w:type="spellStart"/>
      <w:r w:rsidRPr="00E055CB">
        <w:rPr>
          <w:rFonts w:ascii="Verdana" w:hAnsi="Verdana"/>
        </w:rPr>
        <w:t>Strömblad</w:t>
      </w:r>
      <w:proofErr w:type="spellEnd"/>
      <w:r w:rsidRPr="00E055CB">
        <w:rPr>
          <w:rFonts w:ascii="Verdana" w:hAnsi="Verdana"/>
        </w:rPr>
        <w:t xml:space="preserve"> v. </w:t>
      </w:r>
      <w:proofErr w:type="spellStart"/>
      <w:r w:rsidRPr="00E055CB">
        <w:rPr>
          <w:rFonts w:ascii="Verdana" w:hAnsi="Verdana"/>
        </w:rPr>
        <w:t>Sweden</w:t>
      </w:r>
      <w:proofErr w:type="spellEnd"/>
      <w:r w:rsidRPr="00E055CB">
        <w:rPr>
          <w:rFonts w:ascii="Verdana" w:hAnsi="Verdana"/>
        </w:rPr>
        <w:t xml:space="preserve">, no. 3684/07, § 80, 5 </w:t>
      </w:r>
      <w:proofErr w:type="gramStart"/>
      <w:r w:rsidRPr="00E055CB">
        <w:rPr>
          <w:rFonts w:ascii="Verdana" w:hAnsi="Verdana"/>
        </w:rPr>
        <w:t>Abril</w:t>
      </w:r>
      <w:proofErr w:type="gramEnd"/>
      <w:r w:rsidRPr="00E055CB">
        <w:rPr>
          <w:rFonts w:ascii="Verdana" w:hAnsi="Verdana"/>
        </w:rPr>
        <w:t xml:space="preserve"> 2012).</w:t>
      </w:r>
    </w:p>
    <w:p w14:paraId="31031C25" w14:textId="77777777" w:rsidR="009D6F00" w:rsidRPr="00E055CB" w:rsidRDefault="009D6F00" w:rsidP="00A91B11">
      <w:pPr>
        <w:pStyle w:val="Prrafodelista"/>
        <w:ind w:left="0" w:right="615"/>
        <w:jc w:val="both"/>
        <w:rPr>
          <w:rFonts w:ascii="Verdana" w:hAnsi="Verdana"/>
        </w:rPr>
      </w:pPr>
    </w:p>
    <w:p w14:paraId="7F193775" w14:textId="7C50AB34" w:rsidR="00DB65DF" w:rsidRPr="00E055CB" w:rsidRDefault="00DB65DF" w:rsidP="00A91B11">
      <w:pPr>
        <w:pStyle w:val="Prrafodelista"/>
        <w:numPr>
          <w:ilvl w:val="0"/>
          <w:numId w:val="1"/>
        </w:numPr>
        <w:ind w:left="0" w:right="615" w:firstLine="0"/>
        <w:jc w:val="both"/>
        <w:rPr>
          <w:rFonts w:ascii="Verdana" w:hAnsi="Verdana"/>
        </w:rPr>
      </w:pPr>
      <w:r w:rsidRPr="00E055CB">
        <w:rPr>
          <w:rFonts w:ascii="Verdana" w:hAnsi="Verdana"/>
          <w:b/>
          <w:bCs/>
          <w:i/>
          <w:iCs/>
        </w:rPr>
        <w:t>El deber de los Estados de contar con procedimientos adecuados para la aplicación del Convenio, incluida la etapa de ejecución:</w:t>
      </w:r>
      <w:r w:rsidRPr="00E055CB">
        <w:rPr>
          <w:rFonts w:ascii="Verdana" w:hAnsi="Verdana"/>
        </w:rPr>
        <w:t xml:space="preserve"> El Tribunal Europeo ha dicho que en el contexto específico de los procesos de restitución le corresponde a cada Estado equiparse a sí mismo con medios adecuados y efectivos para asegurar el </w:t>
      </w:r>
      <w:r w:rsidRPr="00E055CB">
        <w:rPr>
          <w:rFonts w:ascii="Verdana" w:hAnsi="Verdana"/>
        </w:rPr>
        <w:lastRenderedPageBreak/>
        <w:t xml:space="preserve">cumplimiento de las obligaciones del art. 8 del Convenio Europeo (derecho al respeto a la vida privada y familiar) (ver </w:t>
      </w:r>
      <w:proofErr w:type="spellStart"/>
      <w:r w:rsidRPr="00E055CB">
        <w:rPr>
          <w:rFonts w:ascii="Verdana" w:hAnsi="Verdana"/>
          <w:i/>
          <w:iCs/>
        </w:rPr>
        <w:t>Ignaccolo-Zenide</w:t>
      </w:r>
      <w:proofErr w:type="spellEnd"/>
      <w:r w:rsidRPr="00E055CB">
        <w:rPr>
          <w:rFonts w:ascii="Verdana" w:hAnsi="Verdana"/>
        </w:rPr>
        <w:t>, § 108</w:t>
      </w:r>
      <w:r w:rsidR="009D6F00" w:rsidRPr="00E055CB">
        <w:rPr>
          <w:rFonts w:ascii="Verdana" w:hAnsi="Verdana"/>
        </w:rPr>
        <w:t>, y</w:t>
      </w:r>
      <w:r w:rsidRPr="00E055CB">
        <w:rPr>
          <w:rFonts w:ascii="Verdana" w:hAnsi="Verdana"/>
        </w:rPr>
        <w:t xml:space="preserve"> </w:t>
      </w:r>
      <w:r w:rsidRPr="00E055CB">
        <w:rPr>
          <w:rFonts w:ascii="Verdana" w:hAnsi="Verdana"/>
          <w:i/>
          <w:iCs/>
        </w:rPr>
        <w:t>Sylvester</w:t>
      </w:r>
      <w:r w:rsidRPr="00E055CB">
        <w:rPr>
          <w:rFonts w:ascii="Verdana" w:hAnsi="Verdana"/>
        </w:rPr>
        <w:t xml:space="preserve">, § 68). Inclusive, en </w:t>
      </w:r>
      <w:r w:rsidRPr="00E055CB">
        <w:rPr>
          <w:rFonts w:ascii="Verdana" w:hAnsi="Verdana"/>
          <w:i/>
          <w:iCs/>
        </w:rPr>
        <w:t xml:space="preserve">López </w:t>
      </w:r>
      <w:proofErr w:type="spellStart"/>
      <w:r w:rsidRPr="00E055CB">
        <w:rPr>
          <w:rFonts w:ascii="Verdana" w:hAnsi="Verdana"/>
          <w:i/>
          <w:iCs/>
        </w:rPr>
        <w:t>Guió</w:t>
      </w:r>
      <w:proofErr w:type="spellEnd"/>
      <w:r w:rsidRPr="00E055CB">
        <w:rPr>
          <w:rFonts w:ascii="Verdana" w:hAnsi="Verdana"/>
          <w:i/>
          <w:iCs/>
        </w:rPr>
        <w:t xml:space="preserve"> v. </w:t>
      </w:r>
      <w:proofErr w:type="spellStart"/>
      <w:r w:rsidRPr="00E055CB">
        <w:rPr>
          <w:rFonts w:ascii="Verdana" w:hAnsi="Verdana"/>
          <w:i/>
          <w:iCs/>
        </w:rPr>
        <w:t>Slovakia</w:t>
      </w:r>
      <w:proofErr w:type="spellEnd"/>
      <w:r w:rsidRPr="00E055CB">
        <w:rPr>
          <w:rFonts w:ascii="Verdana" w:hAnsi="Verdana"/>
        </w:rPr>
        <w:t xml:space="preserve"> </w:t>
      </w:r>
      <w:r w:rsidR="009D6F00" w:rsidRPr="00E055CB">
        <w:rPr>
          <w:rFonts w:ascii="Verdana" w:hAnsi="Verdana"/>
        </w:rPr>
        <w:t>(</w:t>
      </w:r>
      <w:r w:rsidRPr="00E055CB">
        <w:rPr>
          <w:rFonts w:ascii="Verdana" w:hAnsi="Verdana"/>
        </w:rPr>
        <w:t>no. 10280/12, §§ 106-111, 3</w:t>
      </w:r>
      <w:r w:rsidR="009D6F00" w:rsidRPr="00E055CB">
        <w:rPr>
          <w:rFonts w:ascii="Verdana" w:hAnsi="Verdana"/>
        </w:rPr>
        <w:t xml:space="preserve"> de</w:t>
      </w:r>
      <w:r w:rsidRPr="00E055CB">
        <w:rPr>
          <w:rFonts w:ascii="Verdana" w:hAnsi="Verdana"/>
        </w:rPr>
        <w:t xml:space="preserve"> </w:t>
      </w:r>
      <w:proofErr w:type="gramStart"/>
      <w:r w:rsidRPr="00E055CB">
        <w:rPr>
          <w:rFonts w:ascii="Verdana" w:hAnsi="Verdana"/>
        </w:rPr>
        <w:t>Junio</w:t>
      </w:r>
      <w:proofErr w:type="gramEnd"/>
      <w:r w:rsidRPr="00E055CB">
        <w:rPr>
          <w:rFonts w:ascii="Verdana" w:hAnsi="Verdana"/>
        </w:rPr>
        <w:t xml:space="preserve"> 2014) el Tribunal evaluó si el sistema procesal de un país era adecuado para cumplir con el objetivo y finalidad del Convenio de La Haya. En dicho caso advirtió que las diversas posibilidades de apelación</w:t>
      </w:r>
      <w:r w:rsidR="009D6F00" w:rsidRPr="00E055CB">
        <w:rPr>
          <w:rFonts w:ascii="Verdana" w:hAnsi="Verdana"/>
        </w:rPr>
        <w:t>,</w:t>
      </w:r>
      <w:r w:rsidRPr="00E055CB">
        <w:rPr>
          <w:rFonts w:ascii="Verdana" w:hAnsi="Verdana"/>
        </w:rPr>
        <w:t xml:space="preserve"> tanto ordinarias como extraordinarias</w:t>
      </w:r>
      <w:r w:rsidR="009D6F00" w:rsidRPr="00E055CB">
        <w:rPr>
          <w:rFonts w:ascii="Verdana" w:hAnsi="Verdana"/>
        </w:rPr>
        <w:t>,</w:t>
      </w:r>
      <w:r w:rsidRPr="00E055CB">
        <w:rPr>
          <w:rFonts w:ascii="Verdana" w:hAnsi="Verdana"/>
        </w:rPr>
        <w:t xml:space="preserve"> indicarían un problema sistémico resultando en largas dilaciones que negaban el objeto y finalidad del Convenio de La Haya. En este contexto el Estado fue condenado por no haber podido asegurar el derecho a la vida en familia (art. 8 Convenio Europeo de DDHH), dado que no dispuso de un procedimiento adecuado para la debida restitución de un niño basada en el Convenio de La Haya</w:t>
      </w:r>
      <w:r w:rsidR="009D6F00" w:rsidRPr="00E055CB">
        <w:rPr>
          <w:rFonts w:ascii="Verdana" w:hAnsi="Verdana"/>
        </w:rPr>
        <w:t xml:space="preserve"> (</w:t>
      </w:r>
      <w:r w:rsidRPr="00E055CB">
        <w:rPr>
          <w:rFonts w:ascii="Verdana" w:hAnsi="Verdana"/>
        </w:rPr>
        <w:t xml:space="preserve">ver, </w:t>
      </w:r>
      <w:r w:rsidRPr="00E055CB">
        <w:rPr>
          <w:rFonts w:ascii="Verdana" w:hAnsi="Verdana"/>
          <w:i/>
          <w:iCs/>
        </w:rPr>
        <w:t xml:space="preserve">López </w:t>
      </w:r>
      <w:proofErr w:type="spellStart"/>
      <w:r w:rsidRPr="00E055CB">
        <w:rPr>
          <w:rFonts w:ascii="Verdana" w:hAnsi="Verdana"/>
          <w:i/>
          <w:iCs/>
        </w:rPr>
        <w:t>Guió</w:t>
      </w:r>
      <w:proofErr w:type="spellEnd"/>
      <w:r w:rsidRPr="00E055CB">
        <w:rPr>
          <w:rFonts w:ascii="Verdana" w:hAnsi="Verdana"/>
          <w:i/>
          <w:iCs/>
        </w:rPr>
        <w:t xml:space="preserve"> v. </w:t>
      </w:r>
      <w:proofErr w:type="spellStart"/>
      <w:r w:rsidRPr="00E055CB">
        <w:rPr>
          <w:rFonts w:ascii="Verdana" w:hAnsi="Verdana"/>
          <w:i/>
          <w:iCs/>
        </w:rPr>
        <w:t>Slovakia</w:t>
      </w:r>
      <w:proofErr w:type="spellEnd"/>
      <w:r w:rsidRPr="00E055CB">
        <w:rPr>
          <w:rFonts w:ascii="Verdana" w:hAnsi="Verdana"/>
        </w:rPr>
        <w:t xml:space="preserve">, no. 10280/12, §§ 106-111, 3 </w:t>
      </w:r>
      <w:proofErr w:type="gramStart"/>
      <w:r w:rsidRPr="00E055CB">
        <w:rPr>
          <w:rFonts w:ascii="Verdana" w:hAnsi="Verdana"/>
        </w:rPr>
        <w:t>Junio</w:t>
      </w:r>
      <w:proofErr w:type="gramEnd"/>
      <w:r w:rsidRPr="00E055CB">
        <w:rPr>
          <w:rFonts w:ascii="Verdana" w:hAnsi="Verdana"/>
        </w:rPr>
        <w:t xml:space="preserve"> 2014). De manera similar en el caso </w:t>
      </w:r>
      <w:r w:rsidRPr="00E055CB">
        <w:rPr>
          <w:rFonts w:ascii="Verdana" w:hAnsi="Verdana"/>
          <w:i/>
          <w:iCs/>
        </w:rPr>
        <w:t>M.A v. Austria</w:t>
      </w:r>
      <w:r w:rsidRPr="00E055CB">
        <w:rPr>
          <w:rFonts w:ascii="Verdana" w:hAnsi="Verdana"/>
        </w:rPr>
        <w:t xml:space="preserve"> (No. 4097/13). 21 de julio de 2015, el TEDH consideró que, se pueden necesitar procedimientos especialmente ágiles para ejecutar las órdenes de restitución de manera de cumplir con los objetivos del Convenio. En este caso la Corte consideró que la aplicación de procedimientos ordinarios había generado demoras irrazonables y verificó que no contaban con disposiciones o mecanismos específicos para asegurar la necesaria celeridad. Por ello concluyó que no se le había protegido en forma efectiva el derecho a la vida en familia al peticionante.</w:t>
      </w:r>
    </w:p>
    <w:p w14:paraId="46767B04" w14:textId="77777777" w:rsidR="009D6F00" w:rsidRPr="00E055CB" w:rsidRDefault="009D6F00" w:rsidP="00A91B11">
      <w:pPr>
        <w:pStyle w:val="Prrafodelista"/>
        <w:ind w:left="0" w:right="615"/>
        <w:jc w:val="both"/>
        <w:rPr>
          <w:rFonts w:ascii="Verdana" w:hAnsi="Verdana"/>
        </w:rPr>
      </w:pPr>
    </w:p>
    <w:p w14:paraId="6D49DA58" w14:textId="093DE94C" w:rsidR="00DB65DF" w:rsidRPr="00E055CB" w:rsidRDefault="00DB65DF" w:rsidP="00A91B11">
      <w:pPr>
        <w:pStyle w:val="Prrafodelista"/>
        <w:numPr>
          <w:ilvl w:val="0"/>
          <w:numId w:val="1"/>
        </w:numPr>
        <w:ind w:left="0" w:right="615" w:firstLine="0"/>
        <w:jc w:val="both"/>
        <w:rPr>
          <w:rFonts w:ascii="Verdana" w:hAnsi="Verdana"/>
        </w:rPr>
      </w:pPr>
      <w:r w:rsidRPr="00E055CB">
        <w:rPr>
          <w:rFonts w:ascii="Verdana" w:hAnsi="Verdana"/>
          <w:b/>
          <w:bCs/>
          <w:i/>
          <w:iCs/>
        </w:rPr>
        <w:t>Algunos plazos manifiestamente irrazonables:</w:t>
      </w:r>
      <w:r w:rsidRPr="00E055CB">
        <w:rPr>
          <w:rFonts w:ascii="Verdana" w:hAnsi="Verdana"/>
        </w:rPr>
        <w:t xml:space="preserve"> </w:t>
      </w:r>
      <w:r w:rsidR="009D6F00" w:rsidRPr="00E055CB">
        <w:rPr>
          <w:rFonts w:ascii="Verdana" w:hAnsi="Verdana"/>
        </w:rPr>
        <w:t xml:space="preserve">En </w:t>
      </w:r>
      <w:r w:rsidRPr="00E055CB">
        <w:rPr>
          <w:rFonts w:ascii="Verdana" w:hAnsi="Verdana"/>
          <w:i/>
          <w:iCs/>
        </w:rPr>
        <w:t>Ferrari v. Romania</w:t>
      </w:r>
      <w:r w:rsidRPr="00E055CB">
        <w:rPr>
          <w:rFonts w:ascii="Verdana" w:hAnsi="Verdana"/>
        </w:rPr>
        <w:t xml:space="preserve"> (Aplicación no. 1714/10), 13 meses; </w:t>
      </w:r>
      <w:proofErr w:type="spellStart"/>
      <w:r w:rsidRPr="00E055CB">
        <w:rPr>
          <w:rFonts w:ascii="Verdana" w:hAnsi="Verdana"/>
          <w:i/>
          <w:iCs/>
        </w:rPr>
        <w:t>Monory</w:t>
      </w:r>
      <w:proofErr w:type="spellEnd"/>
      <w:r w:rsidRPr="00E055CB">
        <w:rPr>
          <w:rFonts w:ascii="Verdana" w:hAnsi="Verdana"/>
        </w:rPr>
        <w:t xml:space="preserve">, § 82 – 12 meses; </w:t>
      </w:r>
      <w:r w:rsidRPr="00E055CB">
        <w:rPr>
          <w:rFonts w:ascii="Verdana" w:hAnsi="Verdana"/>
          <w:i/>
          <w:iCs/>
        </w:rPr>
        <w:t>Karrer</w:t>
      </w:r>
      <w:r w:rsidRPr="00E055CB">
        <w:rPr>
          <w:rFonts w:ascii="Verdana" w:hAnsi="Verdana"/>
        </w:rPr>
        <w:t xml:space="preserve">, § 54 11 meses.  Debe destacarse especialmente el caso </w:t>
      </w:r>
      <w:r w:rsidRPr="00E055CB">
        <w:rPr>
          <w:rFonts w:ascii="Verdana" w:hAnsi="Verdana"/>
          <w:i/>
          <w:iCs/>
        </w:rPr>
        <w:t xml:space="preserve">Shaw </w:t>
      </w:r>
      <w:r w:rsidR="009D6F00" w:rsidRPr="00E055CB">
        <w:rPr>
          <w:rFonts w:ascii="Verdana" w:hAnsi="Verdana"/>
          <w:i/>
          <w:iCs/>
        </w:rPr>
        <w:t>v</w:t>
      </w:r>
      <w:r w:rsidRPr="00E055CB">
        <w:rPr>
          <w:rFonts w:ascii="Verdana" w:hAnsi="Verdana"/>
          <w:i/>
          <w:iCs/>
        </w:rPr>
        <w:t>. Hungría</w:t>
      </w:r>
      <w:r w:rsidRPr="00E055CB">
        <w:rPr>
          <w:rFonts w:ascii="Verdana" w:hAnsi="Verdana"/>
        </w:rPr>
        <w:t>, donde la madre huyó luego de la sentencia y se responsabilizó al Estado por no haber hecho los esfuerzos necesarios para ejecutar las sentencias.</w:t>
      </w:r>
      <w:r w:rsidR="009D6F00" w:rsidRPr="00E055CB">
        <w:rPr>
          <w:rFonts w:ascii="Verdana" w:hAnsi="Verdana"/>
        </w:rPr>
        <w:t xml:space="preserve"> </w:t>
      </w:r>
      <w:r w:rsidRPr="00E055CB">
        <w:rPr>
          <w:rFonts w:ascii="Verdana" w:hAnsi="Verdana"/>
        </w:rPr>
        <w:t xml:space="preserve">Este caso es </w:t>
      </w:r>
      <w:proofErr w:type="gramStart"/>
      <w:r w:rsidRPr="00E055CB">
        <w:rPr>
          <w:rFonts w:ascii="Verdana" w:hAnsi="Verdana"/>
          <w:i/>
          <w:iCs/>
        </w:rPr>
        <w:t xml:space="preserve">mutatis </w:t>
      </w:r>
      <w:proofErr w:type="spellStart"/>
      <w:r w:rsidRPr="00E055CB">
        <w:rPr>
          <w:rFonts w:ascii="Verdana" w:hAnsi="Verdana"/>
          <w:i/>
          <w:iCs/>
        </w:rPr>
        <w:t>mutandi</w:t>
      </w:r>
      <w:proofErr w:type="spellEnd"/>
      <w:proofErr w:type="gramEnd"/>
      <w:r w:rsidRPr="00E055CB">
        <w:rPr>
          <w:rFonts w:ascii="Verdana" w:hAnsi="Verdana"/>
        </w:rPr>
        <w:t xml:space="preserve"> el mismo que se debate ante la Corte IDH.</w:t>
      </w:r>
    </w:p>
    <w:p w14:paraId="454A61F2" w14:textId="77777777" w:rsidR="00DB65DF" w:rsidRPr="00E055CB" w:rsidRDefault="00DB65DF" w:rsidP="00A91B11">
      <w:pPr>
        <w:ind w:right="615"/>
        <w:jc w:val="both"/>
        <w:rPr>
          <w:rFonts w:ascii="Verdana" w:hAnsi="Verdana"/>
          <w:sz w:val="20"/>
          <w:szCs w:val="20"/>
        </w:rPr>
      </w:pPr>
    </w:p>
    <w:p w14:paraId="54F004BC" w14:textId="74F5754D" w:rsidR="009D6F00" w:rsidRPr="00E055CB" w:rsidRDefault="00DB65DF" w:rsidP="00A91B11">
      <w:pPr>
        <w:pStyle w:val="Prrafodelista"/>
        <w:numPr>
          <w:ilvl w:val="0"/>
          <w:numId w:val="7"/>
        </w:numPr>
        <w:spacing w:after="160" w:line="259" w:lineRule="auto"/>
        <w:ind w:right="615"/>
        <w:jc w:val="both"/>
        <w:rPr>
          <w:rFonts w:ascii="Verdana" w:hAnsi="Verdana"/>
          <w:b/>
          <w:bCs/>
          <w:i/>
          <w:iCs/>
        </w:rPr>
      </w:pPr>
      <w:r w:rsidRPr="00E055CB">
        <w:rPr>
          <w:rFonts w:ascii="Verdana" w:hAnsi="Verdana"/>
          <w:b/>
          <w:bCs/>
          <w:i/>
          <w:iCs/>
        </w:rPr>
        <w:t xml:space="preserve">La jurisprudencia de la Corte IDH en materia de plazo razonable </w:t>
      </w:r>
    </w:p>
    <w:p w14:paraId="6D09C0E2" w14:textId="77777777" w:rsidR="009D6F00" w:rsidRPr="00E055CB" w:rsidRDefault="009D6F00" w:rsidP="00A91B11">
      <w:pPr>
        <w:pStyle w:val="Prrafodelista"/>
        <w:spacing w:after="160" w:line="259" w:lineRule="auto"/>
        <w:ind w:left="0" w:right="615"/>
        <w:jc w:val="both"/>
        <w:rPr>
          <w:rFonts w:ascii="Verdana" w:hAnsi="Verdana"/>
        </w:rPr>
      </w:pPr>
    </w:p>
    <w:p w14:paraId="642EFE9B" w14:textId="56050469" w:rsidR="009D6F00" w:rsidRPr="00E055CB" w:rsidRDefault="00DB65DF" w:rsidP="00A91B11">
      <w:pPr>
        <w:pStyle w:val="Prrafodelista"/>
        <w:numPr>
          <w:ilvl w:val="0"/>
          <w:numId w:val="1"/>
        </w:numPr>
        <w:ind w:left="0" w:right="615" w:firstLine="0"/>
        <w:jc w:val="both"/>
        <w:rPr>
          <w:rFonts w:ascii="Verdana" w:hAnsi="Verdana"/>
        </w:rPr>
      </w:pPr>
      <w:r w:rsidRPr="00E055CB">
        <w:rPr>
          <w:rFonts w:ascii="Verdana" w:hAnsi="Verdana"/>
        </w:rPr>
        <w:t>El derecho de acceso a la justicia debe asegurar la determinación de los derechos de la persona en un tiempo razonable. La falta de razonabilidad en el plazo constituye, por sí misma, una violación de las garantías judiciales</w:t>
      </w:r>
      <w:r w:rsidRPr="00E055CB">
        <w:rPr>
          <w:vertAlign w:val="superscript"/>
        </w:rPr>
        <w:footnoteReference w:id="42"/>
      </w:r>
      <w:r w:rsidRPr="00E055CB">
        <w:rPr>
          <w:rFonts w:ascii="Verdana" w:hAnsi="Verdana"/>
        </w:rPr>
        <w:t>. Sobre el particular, el Tribunal ha establecido que la evaluación del plazo razonable se debe analizar en cada caso concreto, en relación con la duración total del proceso, lo cual podría también incluir la ejecución de la sentencia definitiva. De esta manera, ha considerado cuatro elementos para analizar si se cumplió con la garantía del plazo razonable, a saber: (i) la complejidad del asunto; (</w:t>
      </w:r>
      <w:proofErr w:type="spellStart"/>
      <w:r w:rsidRPr="00E055CB">
        <w:rPr>
          <w:rFonts w:ascii="Verdana" w:hAnsi="Verdana"/>
        </w:rPr>
        <w:t>ii</w:t>
      </w:r>
      <w:proofErr w:type="spellEnd"/>
      <w:r w:rsidRPr="00E055CB">
        <w:rPr>
          <w:rFonts w:ascii="Verdana" w:hAnsi="Verdana"/>
        </w:rPr>
        <w:t>) la actividad procesal del interesado; (</w:t>
      </w:r>
      <w:proofErr w:type="spellStart"/>
      <w:r w:rsidRPr="00E055CB">
        <w:rPr>
          <w:rFonts w:ascii="Verdana" w:hAnsi="Verdana"/>
        </w:rPr>
        <w:t>iii</w:t>
      </w:r>
      <w:proofErr w:type="spellEnd"/>
      <w:r w:rsidRPr="00E055CB">
        <w:rPr>
          <w:rFonts w:ascii="Verdana" w:hAnsi="Verdana"/>
        </w:rPr>
        <w:t>) la conducta de las autoridades judiciales, y (</w:t>
      </w:r>
      <w:proofErr w:type="spellStart"/>
      <w:r w:rsidRPr="00E055CB">
        <w:rPr>
          <w:rFonts w:ascii="Verdana" w:hAnsi="Verdana"/>
        </w:rPr>
        <w:t>iv</w:t>
      </w:r>
      <w:proofErr w:type="spellEnd"/>
      <w:r w:rsidRPr="00E055CB">
        <w:rPr>
          <w:rFonts w:ascii="Verdana" w:hAnsi="Verdana"/>
        </w:rPr>
        <w:t xml:space="preserve">) la afectación generada en la situación jurídica de la presunta víctima. Adicionalmente, la Corte </w:t>
      </w:r>
      <w:r w:rsidR="00AE4D85" w:rsidRPr="00E055CB">
        <w:rPr>
          <w:rFonts w:ascii="Verdana" w:hAnsi="Verdana"/>
        </w:rPr>
        <w:t>ha puesto</w:t>
      </w:r>
      <w:r w:rsidRPr="00E055CB">
        <w:rPr>
          <w:rFonts w:ascii="Verdana" w:hAnsi="Verdana"/>
        </w:rPr>
        <w:t xml:space="preserve"> en relieve que el proceso aquí analizado involucraba un niño y una niña, lo cual exige que, en este caso, la garantía judicial de plazo razonable establecida en el artículo 8.1 debe analizarse junto con el deber de protección especial derivado del artículo 19 de la Convención Americana.</w:t>
      </w:r>
    </w:p>
    <w:p w14:paraId="3199528F" w14:textId="77777777" w:rsidR="009D6F00" w:rsidRPr="00E055CB" w:rsidRDefault="009D6F00" w:rsidP="00A91B11">
      <w:pPr>
        <w:pStyle w:val="Prrafodelista"/>
        <w:ind w:left="0" w:right="615"/>
        <w:jc w:val="both"/>
        <w:rPr>
          <w:rFonts w:ascii="Verdana" w:hAnsi="Verdana"/>
        </w:rPr>
      </w:pPr>
    </w:p>
    <w:p w14:paraId="3DB295DA" w14:textId="58505759" w:rsidR="00DB65DF" w:rsidRPr="00E055CB" w:rsidRDefault="009D6F00" w:rsidP="00A91B11">
      <w:pPr>
        <w:pStyle w:val="Prrafodelista"/>
        <w:numPr>
          <w:ilvl w:val="0"/>
          <w:numId w:val="1"/>
        </w:numPr>
        <w:ind w:left="0" w:right="615" w:firstLine="0"/>
        <w:jc w:val="both"/>
        <w:rPr>
          <w:rFonts w:ascii="Verdana" w:hAnsi="Verdana"/>
        </w:rPr>
      </w:pPr>
      <w:r w:rsidRPr="00E055CB">
        <w:rPr>
          <w:rFonts w:ascii="Verdana" w:hAnsi="Verdana"/>
        </w:rPr>
        <w:t>La</w:t>
      </w:r>
      <w:r w:rsidR="00DB65DF" w:rsidRPr="00E055CB">
        <w:rPr>
          <w:rFonts w:ascii="Verdana" w:hAnsi="Verdana"/>
        </w:rPr>
        <w:t xml:space="preserve"> Corte ha sostenido que, en vista de la importancia de los intereses en cuestión, los procedimientos administrativos y judiciales que conciernen la protección de los derechos humanos de niños, niñas y adolescentes, particularmente aquellos procesos judiciales relacionados con la adopción, la guarda y la custodia de </w:t>
      </w:r>
      <w:proofErr w:type="gramStart"/>
      <w:r w:rsidR="00DB65DF" w:rsidRPr="00E055CB">
        <w:rPr>
          <w:rFonts w:ascii="Verdana" w:hAnsi="Verdana"/>
        </w:rPr>
        <w:t>niños y niñas</w:t>
      </w:r>
      <w:proofErr w:type="gramEnd"/>
      <w:r w:rsidR="00DB65DF" w:rsidRPr="00E055CB">
        <w:rPr>
          <w:rFonts w:ascii="Verdana" w:hAnsi="Verdana"/>
        </w:rPr>
        <w:t xml:space="preserve"> que se encuentran en su primera infancia, deben ser manejados con una diligencia y celeridad </w:t>
      </w:r>
      <w:r w:rsidR="00DB65DF" w:rsidRPr="00E055CB">
        <w:rPr>
          <w:rFonts w:ascii="Verdana" w:hAnsi="Verdana"/>
        </w:rPr>
        <w:lastRenderedPageBreak/>
        <w:t>excepcional por parte de las autoridades</w:t>
      </w:r>
      <w:r w:rsidR="00DB65DF" w:rsidRPr="00E055CB">
        <w:rPr>
          <w:vertAlign w:val="superscript"/>
        </w:rPr>
        <w:footnoteReference w:id="43"/>
      </w:r>
      <w:r w:rsidR="00DB65DF" w:rsidRPr="00E055CB">
        <w:rPr>
          <w:rFonts w:ascii="Verdana" w:hAnsi="Verdana"/>
        </w:rPr>
        <w:t xml:space="preserve">. Adicionalmente, el Tribunal ha establecido que el mero transcurso del tiempo en casos de custodia de niños, niñas y adolescentes puede constituir un factor que favorece la creación de lazos con la familia tenedora o acogedora. Por ende, la mayor dilación en los procedimientos, independientemente de cualquier decisión sobre la determinación de sus derechos, podía determinar el carácter irreversible o irremediable de la situación de hecho y volver perjudicial para los intereses de </w:t>
      </w:r>
      <w:proofErr w:type="gramStart"/>
      <w:r w:rsidR="00DB65DF" w:rsidRPr="00E055CB">
        <w:rPr>
          <w:rFonts w:ascii="Verdana" w:hAnsi="Verdana"/>
        </w:rPr>
        <w:t>los niños y niñas</w:t>
      </w:r>
      <w:proofErr w:type="gramEnd"/>
      <w:r w:rsidR="00DB65DF" w:rsidRPr="00E055CB">
        <w:rPr>
          <w:rFonts w:ascii="Verdana" w:hAnsi="Verdana"/>
        </w:rPr>
        <w:t xml:space="preserve"> y, en su caso, de la familia de origen, cualquier decisión al respecto</w:t>
      </w:r>
      <w:r w:rsidR="00DB65DF" w:rsidRPr="00E055CB">
        <w:rPr>
          <w:vertAlign w:val="superscript"/>
        </w:rPr>
        <w:footnoteReference w:id="44"/>
      </w:r>
      <w:r w:rsidR="00DB65DF" w:rsidRPr="00E055CB">
        <w:rPr>
          <w:rFonts w:ascii="Verdana" w:hAnsi="Verdana"/>
        </w:rPr>
        <w:t xml:space="preserve">. </w:t>
      </w:r>
    </w:p>
    <w:p w14:paraId="6A955FA8" w14:textId="77777777" w:rsidR="009D6F00" w:rsidRPr="00E055CB" w:rsidRDefault="009D6F00" w:rsidP="00A91B11">
      <w:pPr>
        <w:pStyle w:val="Prrafodelista"/>
        <w:ind w:left="0" w:right="615"/>
        <w:jc w:val="both"/>
        <w:rPr>
          <w:rFonts w:ascii="Verdana" w:hAnsi="Verdana"/>
        </w:rPr>
      </w:pPr>
    </w:p>
    <w:p w14:paraId="072BA297" w14:textId="509ED0B5" w:rsidR="00DB65DF" w:rsidRPr="00E055CB" w:rsidRDefault="00DB65DF" w:rsidP="00A91B11">
      <w:pPr>
        <w:pStyle w:val="Prrafodelista"/>
        <w:numPr>
          <w:ilvl w:val="0"/>
          <w:numId w:val="7"/>
        </w:numPr>
        <w:spacing w:after="160" w:line="259" w:lineRule="auto"/>
        <w:ind w:right="615"/>
        <w:jc w:val="both"/>
        <w:rPr>
          <w:rFonts w:ascii="Verdana" w:hAnsi="Verdana"/>
        </w:rPr>
      </w:pPr>
      <w:r w:rsidRPr="00E055CB">
        <w:rPr>
          <w:rFonts w:ascii="Verdana" w:hAnsi="Verdana"/>
          <w:b/>
          <w:bCs/>
          <w:i/>
          <w:iCs/>
        </w:rPr>
        <w:t>Análisis del caso concreto</w:t>
      </w:r>
    </w:p>
    <w:p w14:paraId="679B437F" w14:textId="77777777" w:rsidR="009D6F00" w:rsidRPr="00E055CB" w:rsidRDefault="009D6F00" w:rsidP="00A91B11">
      <w:pPr>
        <w:pStyle w:val="Prrafodelista"/>
        <w:ind w:left="0" w:right="615"/>
        <w:jc w:val="both"/>
        <w:rPr>
          <w:rFonts w:ascii="Verdana" w:hAnsi="Verdana"/>
        </w:rPr>
      </w:pPr>
    </w:p>
    <w:p w14:paraId="6DBE87F8" w14:textId="571A0379" w:rsidR="00DB65DF" w:rsidRPr="00E055CB" w:rsidRDefault="00DB65DF" w:rsidP="00A91B11">
      <w:pPr>
        <w:pStyle w:val="Prrafodelista"/>
        <w:numPr>
          <w:ilvl w:val="0"/>
          <w:numId w:val="1"/>
        </w:numPr>
        <w:ind w:left="0" w:right="615" w:firstLine="0"/>
        <w:jc w:val="both"/>
        <w:rPr>
          <w:rFonts w:ascii="Verdana" w:hAnsi="Verdana"/>
        </w:rPr>
      </w:pPr>
      <w:r w:rsidRPr="00E055CB">
        <w:rPr>
          <w:rFonts w:ascii="Verdana" w:hAnsi="Verdana"/>
        </w:rPr>
        <w:t>¿Se cumplió con la garantía del plazo razonable con las características que se han señalado con anterioridad en el caso concreto?</w:t>
      </w:r>
      <w:r w:rsidR="00B57DD8" w:rsidRPr="00E055CB">
        <w:rPr>
          <w:rFonts w:ascii="Verdana" w:hAnsi="Verdana"/>
        </w:rPr>
        <w:t xml:space="preserve"> </w:t>
      </w:r>
      <w:r w:rsidRPr="00E055CB">
        <w:rPr>
          <w:rFonts w:ascii="Verdana" w:hAnsi="Verdana"/>
        </w:rPr>
        <w:t xml:space="preserve">La </w:t>
      </w:r>
      <w:r w:rsidR="00B57DD8" w:rsidRPr="00E055CB">
        <w:rPr>
          <w:rFonts w:ascii="Verdana" w:hAnsi="Verdana"/>
        </w:rPr>
        <w:t>S</w:t>
      </w:r>
      <w:r w:rsidRPr="00E055CB">
        <w:rPr>
          <w:rFonts w:ascii="Verdana" w:hAnsi="Verdana"/>
        </w:rPr>
        <w:t>entencia analiza de manera separada el plazo razonable en el proceso de restitución por una parte y el incumplimiento de la decisión favorable a la restitución, en atención al ocultamiento de la madre con su hijo por un largo período</w:t>
      </w:r>
      <w:r w:rsidR="00B57DD8" w:rsidRPr="00E055CB">
        <w:rPr>
          <w:rFonts w:ascii="Verdana" w:hAnsi="Verdana"/>
        </w:rPr>
        <w:t xml:space="preserve">: </w:t>
      </w:r>
    </w:p>
    <w:p w14:paraId="41731873" w14:textId="77777777" w:rsidR="00DB65DF" w:rsidRPr="00E055CB" w:rsidRDefault="00DB65DF" w:rsidP="00DB65DF">
      <w:pPr>
        <w:autoSpaceDE w:val="0"/>
        <w:autoSpaceDN w:val="0"/>
        <w:adjustRightInd w:val="0"/>
        <w:ind w:left="708"/>
        <w:jc w:val="both"/>
        <w:rPr>
          <w:rFonts w:ascii="Verdana" w:hAnsi="Verdana" w:cs="Cambria"/>
          <w:sz w:val="20"/>
          <w:szCs w:val="20"/>
          <w:lang w:val="es-CR"/>
        </w:rPr>
      </w:pPr>
    </w:p>
    <w:p w14:paraId="777DC838" w14:textId="2435F7C3" w:rsidR="00DB65DF" w:rsidRPr="00E055CB" w:rsidRDefault="00DB65DF" w:rsidP="00B57DD8">
      <w:pPr>
        <w:tabs>
          <w:tab w:val="left" w:pos="0"/>
          <w:tab w:val="left" w:pos="567"/>
        </w:tabs>
        <w:ind w:left="567" w:right="899"/>
        <w:jc w:val="both"/>
        <w:rPr>
          <w:rFonts w:ascii="Verdana" w:hAnsi="Verdana" w:cs="Cambria"/>
          <w:sz w:val="18"/>
          <w:szCs w:val="18"/>
          <w:lang w:val="es-MX" w:eastAsia="es-MX"/>
        </w:rPr>
      </w:pPr>
      <w:r w:rsidRPr="00E055CB">
        <w:rPr>
          <w:rFonts w:ascii="Verdana" w:hAnsi="Verdana" w:cs="Cambria"/>
          <w:sz w:val="18"/>
          <w:szCs w:val="18"/>
          <w:lang w:val="es-CR"/>
        </w:rPr>
        <w:t xml:space="preserve">85. Luego de ello, a juicio de la Corte, no hubo periodos de inactividad procesal </w:t>
      </w:r>
      <w:r w:rsidRPr="00E055CB">
        <w:rPr>
          <w:rFonts w:ascii="Verdana" w:hAnsi="Verdana" w:cs="Cambria"/>
          <w:sz w:val="18"/>
          <w:szCs w:val="18"/>
          <w:lang w:val="es-MX" w:eastAsia="es-MX"/>
        </w:rPr>
        <w:t>que evidencien la falta de diligencia o celeridad requerida en estos casos. Además, se garantizó el derecho a la defensa y el trámite de los recursos disponibles en favor de la señora M</w:t>
      </w:r>
      <w:r w:rsidRPr="00E055CB">
        <w:rPr>
          <w:rFonts w:ascii="Verdana" w:hAnsi="Verdana" w:cs="Cambria"/>
          <w:sz w:val="18"/>
          <w:szCs w:val="18"/>
          <w:lang w:val="es-CR"/>
        </w:rPr>
        <w:t xml:space="preserve"> (</w:t>
      </w:r>
      <w:r w:rsidRPr="00E055CB">
        <w:rPr>
          <w:rFonts w:ascii="Verdana" w:hAnsi="Verdana" w:cs="Cambria"/>
          <w:i/>
          <w:iCs/>
          <w:sz w:val="18"/>
          <w:szCs w:val="18"/>
          <w:lang w:val="es-CR"/>
        </w:rPr>
        <w:t>supra</w:t>
      </w:r>
      <w:r w:rsidRPr="00E055CB">
        <w:rPr>
          <w:rFonts w:ascii="Verdana" w:hAnsi="Verdana" w:cs="Cambria"/>
          <w:sz w:val="18"/>
          <w:szCs w:val="18"/>
          <w:lang w:val="es-CR"/>
        </w:rPr>
        <w:t xml:space="preserve"> párr. 30). En ese sentido, la Corte nota que la señora M presentó su oposición a la restitución dentro de los 8 días hábiles siguientes a la notificación del pedido de restitución y que dicha solicitud fue resuelta en 30 días, esto es, en un plazo menor al estipulado en la Convención Interamericana</w:t>
      </w:r>
      <w:r w:rsidRPr="00E055CB">
        <w:rPr>
          <w:rFonts w:ascii="Verdana" w:hAnsi="Verdana" w:cs="Cambria"/>
          <w:sz w:val="18"/>
          <w:szCs w:val="18"/>
          <w:lang w:val="es-MX" w:eastAsia="es-MX"/>
        </w:rPr>
        <w:t xml:space="preserve">. </w:t>
      </w:r>
      <w:r w:rsidRPr="00E055CB">
        <w:rPr>
          <w:rFonts w:ascii="Verdana" w:hAnsi="Verdana" w:cs="Cambria"/>
          <w:sz w:val="18"/>
          <w:szCs w:val="18"/>
          <w:lang w:val="es-CR"/>
        </w:rPr>
        <w:t>En consecuencia, la Corte no estima necesario pronunciarse sobre los elementos que permiten establecer la razonabilidad del plazo y considera que, en este caso concreto, no se ha configurado una violación al artículo 8.1 de la Convención.</w:t>
      </w:r>
    </w:p>
    <w:p w14:paraId="2F770162" w14:textId="77777777" w:rsidR="00DB65DF" w:rsidRPr="00E055CB" w:rsidRDefault="00DB65DF" w:rsidP="00DB65DF">
      <w:pPr>
        <w:autoSpaceDE w:val="0"/>
        <w:autoSpaceDN w:val="0"/>
        <w:adjustRightInd w:val="0"/>
        <w:ind w:left="708"/>
        <w:jc w:val="both"/>
        <w:rPr>
          <w:rFonts w:ascii="Verdana" w:hAnsi="Verdana" w:cs="Cambria"/>
          <w:sz w:val="18"/>
          <w:szCs w:val="18"/>
          <w:lang w:val="es-MX" w:eastAsia="es-MX"/>
        </w:rPr>
      </w:pPr>
    </w:p>
    <w:p w14:paraId="037CDBF4" w14:textId="1A72C63A" w:rsidR="00DB65DF" w:rsidRPr="00E055CB" w:rsidRDefault="00DB65DF" w:rsidP="00B57DD8">
      <w:pPr>
        <w:ind w:left="567" w:right="899"/>
        <w:jc w:val="both"/>
        <w:rPr>
          <w:rFonts w:ascii="Verdana" w:hAnsi="Verdana" w:cs="Cambria"/>
          <w:sz w:val="18"/>
          <w:szCs w:val="18"/>
          <w:lang w:val="es-MX" w:eastAsia="es-MX"/>
        </w:rPr>
      </w:pPr>
      <w:r w:rsidRPr="00E055CB">
        <w:rPr>
          <w:rFonts w:ascii="Verdana" w:hAnsi="Verdana" w:cs="Cambria"/>
          <w:sz w:val="18"/>
          <w:szCs w:val="18"/>
          <w:lang w:val="es-MX" w:eastAsia="es-MX"/>
        </w:rPr>
        <w:t xml:space="preserve">86. Sin perjuicio de lo anterior, la Corte estima necesario destacar que, el hecho de que en el caso concreto una duración de ocho meses sea considerada razonable, no indica que este sea un estándar para valorar la duración de este tipo de procedimientos. Así, en procesos de restitución internacional, se debe evaluar en cada caso concreto la actuación de las autoridades y los periodos de inactividad procesal, conforme al marco jurídico sobre la materia, teniendo en cuenta que, tanto el Convenio de La Haya como la Convención Interamericana establecen plazos reducidos para el trámite de este tipo de asuntos, en atención al impacto que su duración puede causar en los derechos de </w:t>
      </w:r>
      <w:proofErr w:type="gramStart"/>
      <w:r w:rsidRPr="00E055CB">
        <w:rPr>
          <w:rFonts w:ascii="Verdana" w:hAnsi="Verdana" w:cs="Cambria"/>
          <w:sz w:val="18"/>
          <w:szCs w:val="18"/>
          <w:lang w:val="es-MX" w:eastAsia="es-MX"/>
        </w:rPr>
        <w:t xml:space="preserve">los niños y </w:t>
      </w:r>
      <w:r w:rsidR="00901BE2">
        <w:rPr>
          <w:rFonts w:ascii="Verdana" w:hAnsi="Verdana" w:cs="Cambria"/>
          <w:sz w:val="18"/>
          <w:szCs w:val="18"/>
          <w:lang w:val="es-MX" w:eastAsia="es-MX"/>
        </w:rPr>
        <w:t xml:space="preserve">las </w:t>
      </w:r>
      <w:r w:rsidRPr="00E055CB">
        <w:rPr>
          <w:rFonts w:ascii="Verdana" w:hAnsi="Verdana" w:cs="Cambria"/>
          <w:sz w:val="18"/>
          <w:szCs w:val="18"/>
          <w:lang w:val="es-MX" w:eastAsia="es-MX"/>
        </w:rPr>
        <w:t>niñas</w:t>
      </w:r>
      <w:proofErr w:type="gramEnd"/>
      <w:r w:rsidRPr="00E055CB">
        <w:rPr>
          <w:rFonts w:ascii="Verdana" w:hAnsi="Verdana" w:cs="Cambria"/>
          <w:sz w:val="18"/>
          <w:szCs w:val="18"/>
          <w:lang w:val="es-MX" w:eastAsia="es-MX"/>
        </w:rPr>
        <w:t>.</w:t>
      </w:r>
    </w:p>
    <w:p w14:paraId="4C98D3A1" w14:textId="77777777" w:rsidR="00B57DD8" w:rsidRPr="00E055CB" w:rsidRDefault="00B57DD8" w:rsidP="00DB65DF">
      <w:pPr>
        <w:jc w:val="both"/>
        <w:rPr>
          <w:rFonts w:ascii="Verdana" w:hAnsi="Verdana" w:cs="Cambria"/>
          <w:sz w:val="20"/>
          <w:szCs w:val="20"/>
          <w:lang w:val="es-MX" w:eastAsia="es-MX"/>
        </w:rPr>
      </w:pPr>
    </w:p>
    <w:p w14:paraId="58F047DC" w14:textId="77777777" w:rsidR="00B57DD8" w:rsidRPr="00E055CB" w:rsidRDefault="00DB65DF" w:rsidP="00A91B11">
      <w:pPr>
        <w:pStyle w:val="Prrafodelista"/>
        <w:numPr>
          <w:ilvl w:val="0"/>
          <w:numId w:val="1"/>
        </w:numPr>
        <w:ind w:left="0" w:right="615" w:firstLine="0"/>
        <w:jc w:val="both"/>
        <w:rPr>
          <w:rFonts w:ascii="Verdana" w:hAnsi="Verdana" w:cs="Cambria"/>
          <w:lang w:val="es-MX" w:eastAsia="es-MX"/>
        </w:rPr>
      </w:pPr>
      <w:r w:rsidRPr="00E055CB">
        <w:rPr>
          <w:rFonts w:ascii="Verdana" w:hAnsi="Verdana" w:cs="Cambria"/>
          <w:lang w:val="es-MX" w:eastAsia="es-MX"/>
        </w:rPr>
        <w:t xml:space="preserve">Entendemos que se debió ingresar a la consideración de los elementos del plazo razonable, a participar de todas las consideraciones efectuadas </w:t>
      </w:r>
      <w:r w:rsidRPr="00E055CB">
        <w:rPr>
          <w:rFonts w:ascii="Verdana" w:hAnsi="Verdana" w:cs="Cambria"/>
          <w:i/>
          <w:iCs/>
          <w:lang w:val="es-MX" w:eastAsia="es-MX"/>
        </w:rPr>
        <w:t>ut supra</w:t>
      </w:r>
      <w:r w:rsidRPr="00E055CB">
        <w:rPr>
          <w:rFonts w:ascii="Verdana" w:hAnsi="Verdana" w:cs="Cambria"/>
          <w:lang w:val="es-MX" w:eastAsia="es-MX"/>
        </w:rPr>
        <w:t xml:space="preserve"> sobre la necesidad de urgencia y de plazos acotados para resolver los casos de restitución internacional.</w:t>
      </w:r>
      <w:r w:rsidR="00B57DD8" w:rsidRPr="00E055CB">
        <w:rPr>
          <w:rFonts w:ascii="Verdana" w:hAnsi="Verdana" w:cs="Cambria"/>
          <w:lang w:val="es-MX" w:eastAsia="es-MX"/>
        </w:rPr>
        <w:t xml:space="preserve"> </w:t>
      </w:r>
    </w:p>
    <w:p w14:paraId="7B072993" w14:textId="77777777" w:rsidR="00B57DD8" w:rsidRPr="00E055CB" w:rsidRDefault="00B57DD8" w:rsidP="00A91B11">
      <w:pPr>
        <w:pStyle w:val="Prrafodelista"/>
        <w:ind w:left="0" w:right="615"/>
        <w:jc w:val="both"/>
        <w:rPr>
          <w:rFonts w:ascii="Verdana" w:hAnsi="Verdana" w:cs="Cambria"/>
          <w:lang w:val="es-MX" w:eastAsia="es-MX"/>
        </w:rPr>
      </w:pPr>
    </w:p>
    <w:p w14:paraId="7B444490" w14:textId="24AD1258" w:rsidR="00B57DD8" w:rsidRPr="00E055CB" w:rsidRDefault="00DB65DF" w:rsidP="00A91B11">
      <w:pPr>
        <w:pStyle w:val="Prrafodelista"/>
        <w:numPr>
          <w:ilvl w:val="0"/>
          <w:numId w:val="1"/>
        </w:numPr>
        <w:ind w:left="0" w:right="615" w:firstLine="0"/>
        <w:jc w:val="both"/>
        <w:rPr>
          <w:rFonts w:ascii="Verdana" w:hAnsi="Verdana" w:cs="Cambria"/>
          <w:lang w:val="es-MX" w:eastAsia="es-MX"/>
        </w:rPr>
      </w:pPr>
      <w:r w:rsidRPr="00E055CB">
        <w:rPr>
          <w:rFonts w:ascii="Verdana" w:hAnsi="Verdana" w:cs="Cambria"/>
          <w:lang w:val="es-MX" w:eastAsia="es-MX"/>
        </w:rPr>
        <w:t xml:space="preserve">Si se hubiera ingresado en la consideración de los elementos del plazo razonable conforme la jurisprudencia del Tribunal </w:t>
      </w:r>
      <w:r w:rsidRPr="00E055CB">
        <w:rPr>
          <w:rFonts w:ascii="Verdana" w:hAnsi="Verdana" w:cs="Cambria"/>
          <w:lang w:eastAsia="es-MX"/>
        </w:rPr>
        <w:t xml:space="preserve">siguiendo los </w:t>
      </w:r>
      <w:r w:rsidR="00B57DD8" w:rsidRPr="00E055CB">
        <w:rPr>
          <w:rFonts w:ascii="Verdana" w:hAnsi="Verdana" w:cs="Cambria"/>
          <w:lang w:eastAsia="es-MX"/>
        </w:rPr>
        <w:t>cuatro</w:t>
      </w:r>
      <w:r w:rsidRPr="00E055CB">
        <w:rPr>
          <w:rFonts w:ascii="Verdana" w:hAnsi="Verdana" w:cs="Cambria"/>
          <w:lang w:eastAsia="es-MX"/>
        </w:rPr>
        <w:t xml:space="preserve"> parámetros sobre razonabilidad, hubiera resultado que: a) la complejidad del asunto</w:t>
      </w:r>
      <w:r w:rsidR="00B57DD8" w:rsidRPr="00E055CB">
        <w:rPr>
          <w:rFonts w:ascii="Verdana" w:hAnsi="Verdana" w:cs="Cambria"/>
          <w:lang w:eastAsia="es-MX"/>
        </w:rPr>
        <w:t>,</w:t>
      </w:r>
      <w:r w:rsidRPr="00E055CB">
        <w:rPr>
          <w:rFonts w:ascii="Verdana" w:hAnsi="Verdana" w:cs="Cambria"/>
          <w:lang w:eastAsia="es-MX"/>
        </w:rPr>
        <w:t xml:space="preserve"> el caso no </w:t>
      </w:r>
      <w:r w:rsidRPr="00E055CB">
        <w:rPr>
          <w:rFonts w:ascii="Verdana" w:hAnsi="Verdana" w:cs="Cambria"/>
          <w:lang w:eastAsia="es-MX"/>
        </w:rPr>
        <w:lastRenderedPageBreak/>
        <w:t xml:space="preserve">presentaba complejidad jurídica; b) la actividad procesal del interesado: el interesado cumplió con </w:t>
      </w:r>
      <w:r w:rsidR="00AA06A4" w:rsidRPr="00E055CB">
        <w:rPr>
          <w:rFonts w:ascii="Verdana" w:hAnsi="Verdana" w:cs="Cambria"/>
          <w:lang w:eastAsia="es-MX"/>
        </w:rPr>
        <w:t xml:space="preserve">el </w:t>
      </w:r>
      <w:r w:rsidRPr="00E055CB">
        <w:rPr>
          <w:rFonts w:ascii="Verdana" w:hAnsi="Verdana" w:cs="Cambria"/>
          <w:lang w:eastAsia="es-MX"/>
        </w:rPr>
        <w:t>impulso procesal que le correspondía; c) la conducta de las autoridades judiciales</w:t>
      </w:r>
      <w:r w:rsidR="00B57DD8" w:rsidRPr="00E055CB">
        <w:rPr>
          <w:rFonts w:ascii="Verdana" w:hAnsi="Verdana" w:cs="Cambria"/>
          <w:lang w:eastAsia="es-MX"/>
        </w:rPr>
        <w:t>,</w:t>
      </w:r>
      <w:r w:rsidRPr="00E055CB">
        <w:rPr>
          <w:rFonts w:ascii="Verdana" w:hAnsi="Verdana" w:cs="Cambria"/>
          <w:lang w:eastAsia="es-MX"/>
        </w:rPr>
        <w:t xml:space="preserve"> si tomamos en cuenta los plazos estimados en el Convenio de La Haya y en </w:t>
      </w:r>
      <w:r w:rsidR="006E5B73" w:rsidRPr="00E055CB">
        <w:rPr>
          <w:rFonts w:ascii="Verdana" w:hAnsi="Verdana" w:cs="Cambria"/>
          <w:lang w:eastAsia="es-MX"/>
        </w:rPr>
        <w:t>la Convención</w:t>
      </w:r>
      <w:r w:rsidRPr="00E055CB">
        <w:rPr>
          <w:rFonts w:ascii="Verdana" w:hAnsi="Verdana" w:cs="Cambria"/>
          <w:lang w:eastAsia="es-MX"/>
        </w:rPr>
        <w:t xml:space="preserve"> Interamerican</w:t>
      </w:r>
      <w:r w:rsidR="006E5B73" w:rsidRPr="00E055CB">
        <w:rPr>
          <w:rFonts w:ascii="Verdana" w:hAnsi="Verdana" w:cs="Cambria"/>
          <w:lang w:eastAsia="es-MX"/>
        </w:rPr>
        <w:t>a</w:t>
      </w:r>
      <w:r w:rsidRPr="00E055CB">
        <w:rPr>
          <w:rFonts w:ascii="Verdana" w:hAnsi="Verdana" w:cs="Cambria"/>
          <w:lang w:eastAsia="es-MX"/>
        </w:rPr>
        <w:t xml:space="preserve"> se puede concluir que las autoridades judiciales no le imprimieron la urgencia excepcional necesaria</w:t>
      </w:r>
      <w:r w:rsidR="00B57DD8" w:rsidRPr="00E055CB">
        <w:rPr>
          <w:rFonts w:ascii="Verdana" w:hAnsi="Verdana" w:cs="Cambria"/>
          <w:lang w:eastAsia="es-MX"/>
        </w:rPr>
        <w:t>,</w:t>
      </w:r>
      <w:r w:rsidRPr="00E055CB">
        <w:rPr>
          <w:rFonts w:ascii="Verdana" w:hAnsi="Verdana" w:cs="Cambria"/>
          <w:lang w:eastAsia="es-MX"/>
        </w:rPr>
        <w:t xml:space="preserve"> y d) la afectación generada en la situación jurídica de la presunta víctima: sin dudas prolongar una situación de sustracción genera una severa afectación a las partes y, como fue en el caso, puede complejizar la ejecución de la sentencia y luego deteriorar para siempre la relación paterno filial.</w:t>
      </w:r>
    </w:p>
    <w:p w14:paraId="0A135BCE" w14:textId="77777777" w:rsidR="00B57DD8" w:rsidRPr="00E055CB" w:rsidRDefault="00B57DD8" w:rsidP="00A91B11">
      <w:pPr>
        <w:pStyle w:val="Prrafodelista"/>
        <w:ind w:left="0" w:right="615"/>
        <w:jc w:val="both"/>
        <w:rPr>
          <w:rFonts w:ascii="Verdana" w:hAnsi="Verdana" w:cs="Cambria"/>
          <w:lang w:val="es-MX" w:eastAsia="es-MX"/>
        </w:rPr>
      </w:pPr>
    </w:p>
    <w:p w14:paraId="38AE204B" w14:textId="454CF265" w:rsidR="00DB65DF" w:rsidRPr="00E055CB" w:rsidRDefault="00DB65DF" w:rsidP="00A91B11">
      <w:pPr>
        <w:pStyle w:val="Prrafodelista"/>
        <w:numPr>
          <w:ilvl w:val="0"/>
          <w:numId w:val="1"/>
        </w:numPr>
        <w:ind w:left="0" w:right="615" w:firstLine="0"/>
        <w:jc w:val="both"/>
        <w:rPr>
          <w:rFonts w:ascii="Verdana" w:hAnsi="Verdana" w:cs="Cambria"/>
          <w:lang w:val="es-MX" w:eastAsia="es-MX"/>
        </w:rPr>
      </w:pPr>
      <w:r w:rsidRPr="00E055CB">
        <w:rPr>
          <w:rFonts w:ascii="Verdana" w:hAnsi="Verdana" w:cs="Cambria"/>
          <w:lang w:eastAsia="es-MX"/>
        </w:rPr>
        <w:t xml:space="preserve">No puede considerarse en abstracto un plazo de ocho meses como razonable, en consecuencia, es menester exigir de los Estados, en el presente caso Paraguay, la debida diligencia y atención para que estos procesos se tramiten en los términos que se han obligado internacionalmente a cumplir. Ello como se viera </w:t>
      </w:r>
      <w:r w:rsidRPr="00E055CB">
        <w:rPr>
          <w:rFonts w:ascii="Verdana" w:hAnsi="Verdana" w:cs="Cambria"/>
          <w:i/>
          <w:iCs/>
          <w:lang w:eastAsia="es-MX"/>
        </w:rPr>
        <w:t>ut supra</w:t>
      </w:r>
      <w:r w:rsidRPr="00E055CB">
        <w:rPr>
          <w:rFonts w:ascii="Verdana" w:hAnsi="Verdana" w:cs="Cambria"/>
          <w:lang w:eastAsia="es-MX"/>
        </w:rPr>
        <w:t xml:space="preserve"> es perfectamente posible, si se adoptan medidas de orden legislativo como se dispone en la sentencia. A ello debe agregarse la conclusión a que se llega en la sentencia en cuanto al incumplimiento del 25 2 c) de la Convención Americana sobre DH:</w:t>
      </w:r>
    </w:p>
    <w:p w14:paraId="638DECA5" w14:textId="77777777" w:rsidR="00B57DD8" w:rsidRPr="00E055CB" w:rsidRDefault="00B57DD8" w:rsidP="00A91B11">
      <w:pPr>
        <w:pStyle w:val="Prrafodelista"/>
        <w:ind w:left="0" w:right="615"/>
        <w:jc w:val="both"/>
        <w:rPr>
          <w:rFonts w:ascii="Verdana" w:hAnsi="Verdana" w:cs="Cambria"/>
          <w:lang w:val="es-MX" w:eastAsia="es-MX"/>
        </w:rPr>
      </w:pPr>
    </w:p>
    <w:p w14:paraId="0B19B0B8" w14:textId="1118E64A" w:rsidR="00DB65DF" w:rsidRPr="00E055CB" w:rsidRDefault="00DB65DF" w:rsidP="00B57DD8">
      <w:pPr>
        <w:tabs>
          <w:tab w:val="left" w:pos="567"/>
        </w:tabs>
        <w:ind w:left="567" w:right="899"/>
        <w:jc w:val="both"/>
        <w:rPr>
          <w:rFonts w:ascii="Verdana" w:hAnsi="Verdana" w:cs="Cambria"/>
          <w:sz w:val="18"/>
          <w:szCs w:val="18"/>
          <w:lang w:val="es-MX" w:eastAsia="es-MX"/>
        </w:rPr>
      </w:pPr>
      <w:r w:rsidRPr="00E055CB">
        <w:rPr>
          <w:rFonts w:ascii="Verdana" w:hAnsi="Verdana" w:cs="Cambria"/>
          <w:sz w:val="18"/>
          <w:szCs w:val="18"/>
          <w:lang w:val="es-MX" w:eastAsia="es-MX"/>
        </w:rPr>
        <w:t>9</w:t>
      </w:r>
      <w:r w:rsidR="00864494">
        <w:rPr>
          <w:rFonts w:ascii="Verdana" w:hAnsi="Verdana" w:cs="Cambria"/>
          <w:sz w:val="18"/>
          <w:szCs w:val="18"/>
          <w:lang w:val="es-MX" w:eastAsia="es-MX"/>
        </w:rPr>
        <w:t>6</w:t>
      </w:r>
      <w:r w:rsidR="00B57DD8" w:rsidRPr="00E055CB">
        <w:rPr>
          <w:rFonts w:ascii="Verdana" w:hAnsi="Verdana" w:cs="Cambria"/>
          <w:sz w:val="18"/>
          <w:szCs w:val="18"/>
          <w:lang w:val="es-MX" w:eastAsia="es-MX"/>
        </w:rPr>
        <w:t>.</w:t>
      </w:r>
      <w:r w:rsidRPr="00E055CB">
        <w:rPr>
          <w:rFonts w:ascii="Verdana" w:hAnsi="Verdana" w:cs="Cambria"/>
          <w:sz w:val="18"/>
          <w:szCs w:val="18"/>
          <w:lang w:val="es-MX" w:eastAsia="es-MX"/>
        </w:rPr>
        <w:t xml:space="preserve"> Conforme a lo anterior, la Corte considera que la falta de diligencia y celeridad excepcional en el cumplimiento de la orden de restitución, y en la adopción de medidas orientadas a construir un vínculo entre padre e hijo, facilitó la consolidación de una situación ilícita en perjuicio del señor Córdoba, en violación de lo dispuesto por el artículo 25.2.c de la Convención Americana. </w:t>
      </w:r>
    </w:p>
    <w:p w14:paraId="739D43A7" w14:textId="77777777" w:rsidR="00DB65DF" w:rsidRPr="00E055CB" w:rsidRDefault="00DB65DF" w:rsidP="00B57DD8">
      <w:pPr>
        <w:autoSpaceDE w:val="0"/>
        <w:autoSpaceDN w:val="0"/>
        <w:adjustRightInd w:val="0"/>
        <w:ind w:left="708" w:right="899"/>
        <w:jc w:val="both"/>
        <w:rPr>
          <w:rFonts w:ascii="Verdana" w:hAnsi="Verdana" w:cs="Cambria"/>
          <w:sz w:val="18"/>
          <w:szCs w:val="18"/>
          <w:lang w:val="es-MX" w:eastAsia="es-MX"/>
        </w:rPr>
      </w:pPr>
    </w:p>
    <w:p w14:paraId="73396270" w14:textId="338CE9D7" w:rsidR="00DB65DF" w:rsidRPr="00E055CB" w:rsidRDefault="00DB65DF" w:rsidP="00B57DD8">
      <w:pPr>
        <w:tabs>
          <w:tab w:val="left" w:pos="0"/>
          <w:tab w:val="left" w:pos="567"/>
        </w:tabs>
        <w:ind w:left="567" w:right="899"/>
        <w:jc w:val="both"/>
        <w:rPr>
          <w:rFonts w:ascii="Verdana" w:hAnsi="Verdana" w:cs="Cambria"/>
          <w:sz w:val="18"/>
          <w:szCs w:val="18"/>
          <w:lang w:val="es-MX" w:eastAsia="es-MX"/>
        </w:rPr>
      </w:pPr>
      <w:r w:rsidRPr="00E055CB">
        <w:rPr>
          <w:rFonts w:ascii="Verdana" w:hAnsi="Verdana" w:cs="Cambria"/>
          <w:sz w:val="18"/>
          <w:szCs w:val="18"/>
          <w:lang w:val="es-MX" w:eastAsia="es-MX"/>
        </w:rPr>
        <w:t>9</w:t>
      </w:r>
      <w:r w:rsidR="00864494">
        <w:rPr>
          <w:rFonts w:ascii="Verdana" w:hAnsi="Verdana" w:cs="Cambria"/>
          <w:sz w:val="18"/>
          <w:szCs w:val="18"/>
          <w:lang w:val="es-MX" w:eastAsia="es-MX"/>
        </w:rPr>
        <w:t>7</w:t>
      </w:r>
      <w:r w:rsidR="00B57DD8" w:rsidRPr="00E055CB">
        <w:rPr>
          <w:rFonts w:ascii="Verdana" w:hAnsi="Verdana" w:cs="Cambria"/>
          <w:sz w:val="18"/>
          <w:szCs w:val="18"/>
          <w:lang w:val="es-MX" w:eastAsia="es-MX"/>
        </w:rPr>
        <w:t xml:space="preserve">. </w:t>
      </w:r>
      <w:r w:rsidRPr="00E055CB">
        <w:rPr>
          <w:rFonts w:ascii="Verdana" w:hAnsi="Verdana" w:cs="Cambria"/>
          <w:sz w:val="18"/>
          <w:szCs w:val="18"/>
          <w:lang w:val="es-MX" w:eastAsia="es-MX"/>
        </w:rPr>
        <w:t>En consecuencia, la Corte concluye que el Estado paraguayo no adoptó las medidas necesarias para ejecutar la decisión mediante la cual se ordenó la restitución internacional del niño D, a la luz de la diligencia y celeridad excepcionales requeridas en este tipo de casos. Por esa razón, es responsable por</w:t>
      </w:r>
      <w:r w:rsidRPr="00E055CB">
        <w:rPr>
          <w:rFonts w:ascii="Verdana" w:hAnsi="Verdana" w:cs="Cambria"/>
          <w:sz w:val="18"/>
          <w:szCs w:val="18"/>
          <w:lang w:val="es-CR"/>
        </w:rPr>
        <w:t xml:space="preserve"> la violación del artículo 25.2.c de la Convención Americana en perjuicio del señor Arnaldo Javier Córdoba. </w:t>
      </w:r>
    </w:p>
    <w:p w14:paraId="53551F5E" w14:textId="77777777" w:rsidR="00DB65DF" w:rsidRPr="00E055CB" w:rsidRDefault="00DB65DF" w:rsidP="00DB65DF">
      <w:pPr>
        <w:jc w:val="both"/>
        <w:rPr>
          <w:rFonts w:ascii="Verdana" w:hAnsi="Verdana"/>
          <w:sz w:val="20"/>
          <w:szCs w:val="20"/>
        </w:rPr>
      </w:pPr>
    </w:p>
    <w:p w14:paraId="2C010C06" w14:textId="663BDF98" w:rsidR="00B57DD8" w:rsidRPr="00E055CB" w:rsidRDefault="00DB65DF" w:rsidP="00A91B11">
      <w:pPr>
        <w:pStyle w:val="Prrafodelista"/>
        <w:numPr>
          <w:ilvl w:val="0"/>
          <w:numId w:val="1"/>
        </w:numPr>
        <w:ind w:left="0" w:right="615" w:firstLine="0"/>
        <w:jc w:val="both"/>
        <w:rPr>
          <w:rFonts w:ascii="Verdana" w:hAnsi="Verdana"/>
          <w:lang w:val="es-ES"/>
        </w:rPr>
      </w:pPr>
      <w:r w:rsidRPr="00E055CB">
        <w:rPr>
          <w:rFonts w:ascii="Verdana" w:hAnsi="Verdana"/>
          <w:lang w:val="es-ES"/>
        </w:rPr>
        <w:t>A criterio de quienes suscribimos el presente voto no es posible separar el proceso en etapa de conocimiento y etapa de ejecución.</w:t>
      </w:r>
      <w:r w:rsidR="00B57DD8" w:rsidRPr="00E055CB">
        <w:rPr>
          <w:rFonts w:ascii="Verdana" w:hAnsi="Verdana"/>
          <w:lang w:val="es-ES"/>
        </w:rPr>
        <w:t xml:space="preserve"> </w:t>
      </w:r>
      <w:r w:rsidRPr="00E055CB">
        <w:rPr>
          <w:rFonts w:ascii="Verdana" w:hAnsi="Verdana"/>
          <w:lang w:val="es-ES"/>
        </w:rPr>
        <w:t>Existe una inconsistencia lógica de considerar que el plazo se debe considerar exclusivamente respecto de la etapa de conocimiento</w:t>
      </w:r>
      <w:r w:rsidR="00B57DD8" w:rsidRPr="00E055CB">
        <w:rPr>
          <w:rFonts w:ascii="Verdana" w:hAnsi="Verdana"/>
          <w:lang w:val="es-ES"/>
        </w:rPr>
        <w:t xml:space="preserve">. </w:t>
      </w:r>
      <w:r w:rsidRPr="00E055CB">
        <w:rPr>
          <w:rFonts w:ascii="Verdana" w:hAnsi="Verdana"/>
          <w:lang w:val="es-ES"/>
        </w:rPr>
        <w:t>La incidencia de la violación declarada del art. 2</w:t>
      </w:r>
      <w:r w:rsidR="00864494">
        <w:rPr>
          <w:rFonts w:ascii="Verdana" w:hAnsi="Verdana"/>
          <w:lang w:val="es-ES"/>
        </w:rPr>
        <w:t>5</w:t>
      </w:r>
      <w:r w:rsidRPr="00E055CB">
        <w:rPr>
          <w:rFonts w:ascii="Verdana" w:hAnsi="Verdana"/>
          <w:lang w:val="es-ES"/>
        </w:rPr>
        <w:t xml:space="preserve"> 2 c) de la </w:t>
      </w:r>
      <w:r w:rsidR="00B57DD8" w:rsidRPr="00E055CB">
        <w:rPr>
          <w:rFonts w:ascii="Verdana" w:hAnsi="Verdana"/>
          <w:lang w:val="es-ES"/>
        </w:rPr>
        <w:t>Convención Americana</w:t>
      </w:r>
      <w:r w:rsidRPr="00E055CB">
        <w:rPr>
          <w:rFonts w:ascii="Verdana" w:hAnsi="Verdana"/>
          <w:lang w:val="es-ES"/>
        </w:rPr>
        <w:t xml:space="preserve"> y su relación con el plazo razonable en los procesos de restitución internacional lleva a considerar lo siguiente: 1) el término de ocho meses que llevó el trámite interno tuvo su origen en la deducción de múltiples recursos; 2) a ello se adicionaron los años transcurridos desde el ocultamiento de la madre con su hijo por casi nueve años, situación de la que salió cuando el gobierno argentino ofreció una recompensa por informaciones sobre el paradero de ambos; 3) cuando es ubicada la madre y el niño se confía la guarda provisoria a la tía materna y se ingresa a un largo proceso intentando vincular al niño con su padre, con múltiples falencias como surge del texto de la sentencia; 4) el niño originalmente sustraído, hoy mayor de edad ha declinado ser considerado víctima en este caso, hay un vínculo interrumpido con su padre y ha optado con vivir con su tía materna. </w:t>
      </w:r>
    </w:p>
    <w:p w14:paraId="40BC17AB" w14:textId="77777777" w:rsidR="00B57DD8" w:rsidRPr="00E055CB" w:rsidRDefault="00B57DD8" w:rsidP="00A91B11">
      <w:pPr>
        <w:pStyle w:val="Prrafodelista"/>
        <w:ind w:left="0" w:right="615"/>
        <w:jc w:val="both"/>
        <w:rPr>
          <w:rFonts w:ascii="Verdana" w:hAnsi="Verdana"/>
          <w:lang w:val="es-ES"/>
        </w:rPr>
      </w:pPr>
    </w:p>
    <w:p w14:paraId="5F6C5404" w14:textId="5D449B27" w:rsidR="00DB65DF" w:rsidRPr="00E055CB" w:rsidRDefault="00DB65DF" w:rsidP="00A91B11">
      <w:pPr>
        <w:pStyle w:val="Prrafodelista"/>
        <w:numPr>
          <w:ilvl w:val="0"/>
          <w:numId w:val="1"/>
        </w:numPr>
        <w:ind w:left="0" w:right="615" w:firstLine="0"/>
        <w:jc w:val="both"/>
        <w:rPr>
          <w:rFonts w:ascii="Verdana" w:hAnsi="Verdana"/>
          <w:lang w:val="es-ES"/>
        </w:rPr>
      </w:pPr>
      <w:r w:rsidRPr="00E055CB">
        <w:rPr>
          <w:rFonts w:ascii="Verdana" w:hAnsi="Verdana"/>
        </w:rPr>
        <w:t>El resultado de las demoras procesales ha derivado en una nueva situación en que ha preferido convivir con quien le ha brindado protección durante los últimos años y no con su padre ni con su madre.</w:t>
      </w:r>
    </w:p>
    <w:p w14:paraId="796841BB" w14:textId="77777777" w:rsidR="00B57DD8" w:rsidRPr="00E055CB" w:rsidRDefault="00B57DD8" w:rsidP="00A91B11">
      <w:pPr>
        <w:ind w:right="615"/>
        <w:jc w:val="both"/>
        <w:rPr>
          <w:rFonts w:ascii="Verdana" w:hAnsi="Verdana"/>
          <w:sz w:val="20"/>
          <w:szCs w:val="20"/>
        </w:rPr>
      </w:pPr>
    </w:p>
    <w:p w14:paraId="59E00048" w14:textId="77777777" w:rsidR="00DB65DF" w:rsidRPr="00E055CB" w:rsidRDefault="00DB65DF" w:rsidP="00A91B11">
      <w:pPr>
        <w:pStyle w:val="Prrafodelista"/>
        <w:numPr>
          <w:ilvl w:val="0"/>
          <w:numId w:val="7"/>
        </w:numPr>
        <w:ind w:right="615"/>
        <w:jc w:val="both"/>
        <w:rPr>
          <w:rFonts w:ascii="Verdana" w:hAnsi="Verdana"/>
          <w:b/>
          <w:bCs/>
          <w:i/>
          <w:iCs/>
        </w:rPr>
      </w:pPr>
      <w:r w:rsidRPr="00E055CB">
        <w:rPr>
          <w:rFonts w:ascii="Verdana" w:hAnsi="Verdana"/>
          <w:b/>
          <w:bCs/>
          <w:i/>
          <w:iCs/>
        </w:rPr>
        <w:t>El plazo razonable en el proceso internacional</w:t>
      </w:r>
    </w:p>
    <w:p w14:paraId="608C9287" w14:textId="77777777" w:rsidR="00B57DD8" w:rsidRPr="00E055CB" w:rsidRDefault="00B57DD8" w:rsidP="00A91B11">
      <w:pPr>
        <w:ind w:right="615"/>
        <w:jc w:val="both"/>
        <w:rPr>
          <w:rFonts w:ascii="Verdana" w:hAnsi="Verdana"/>
          <w:sz w:val="20"/>
          <w:szCs w:val="20"/>
        </w:rPr>
      </w:pPr>
    </w:p>
    <w:p w14:paraId="0177BA67" w14:textId="4B2F4F7F" w:rsidR="00DB65DF" w:rsidRPr="00E055CB" w:rsidRDefault="00B57DD8" w:rsidP="00A91B11">
      <w:pPr>
        <w:pStyle w:val="Prrafodelista"/>
        <w:numPr>
          <w:ilvl w:val="0"/>
          <w:numId w:val="1"/>
        </w:numPr>
        <w:ind w:left="0" w:right="615" w:firstLine="0"/>
        <w:jc w:val="both"/>
        <w:rPr>
          <w:rFonts w:ascii="Verdana" w:hAnsi="Verdana"/>
        </w:rPr>
      </w:pPr>
      <w:r w:rsidRPr="00E055CB">
        <w:rPr>
          <w:rFonts w:ascii="Verdana" w:hAnsi="Verdana"/>
        </w:rPr>
        <w:t>E</w:t>
      </w:r>
      <w:r w:rsidR="00DB65DF" w:rsidRPr="00E055CB">
        <w:rPr>
          <w:rFonts w:ascii="Verdana" w:hAnsi="Verdana"/>
        </w:rPr>
        <w:t xml:space="preserve">l párrafo 5 de la </w:t>
      </w:r>
      <w:r w:rsidRPr="00E055CB">
        <w:rPr>
          <w:rFonts w:ascii="Verdana" w:hAnsi="Verdana"/>
        </w:rPr>
        <w:t>Sentencia señala lo siguiente</w:t>
      </w:r>
      <w:r w:rsidR="00DB65DF" w:rsidRPr="00E055CB">
        <w:rPr>
          <w:rFonts w:ascii="Verdana" w:hAnsi="Verdana"/>
        </w:rPr>
        <w:t>:</w:t>
      </w:r>
    </w:p>
    <w:p w14:paraId="76FEE99A" w14:textId="77777777" w:rsidR="00B57DD8" w:rsidRPr="00E055CB" w:rsidRDefault="00B57DD8" w:rsidP="00B57DD8">
      <w:pPr>
        <w:pStyle w:val="Prrafodelista"/>
        <w:ind w:left="0"/>
        <w:jc w:val="both"/>
        <w:rPr>
          <w:rFonts w:ascii="Verdana" w:hAnsi="Verdana"/>
        </w:rPr>
      </w:pPr>
    </w:p>
    <w:p w14:paraId="6936B8A3" w14:textId="339EC1B4" w:rsidR="00DB65DF" w:rsidRPr="00E055CB" w:rsidRDefault="00DB65DF" w:rsidP="00B57DD8">
      <w:pPr>
        <w:pStyle w:val="PrrafodeSentencia"/>
        <w:numPr>
          <w:ilvl w:val="0"/>
          <w:numId w:val="0"/>
        </w:numPr>
        <w:spacing w:line="240" w:lineRule="auto"/>
        <w:ind w:left="567" w:right="899"/>
        <w:rPr>
          <w:rFonts w:eastAsia="Batang"/>
          <w:sz w:val="18"/>
          <w:szCs w:val="18"/>
          <w:lang w:eastAsia="es-MX"/>
        </w:rPr>
      </w:pPr>
      <w:r w:rsidRPr="00E055CB">
        <w:rPr>
          <w:sz w:val="18"/>
          <w:szCs w:val="18"/>
        </w:rPr>
        <w:lastRenderedPageBreak/>
        <w:t>Este Tribunal nota con preocupación que, entre la presentación de la petición inicial ante la Comisión y el sometimiento del caso ante la Corte</w:t>
      </w:r>
      <w:r w:rsidR="00C9145A">
        <w:rPr>
          <w:sz w:val="18"/>
          <w:szCs w:val="18"/>
        </w:rPr>
        <w:t>,</w:t>
      </w:r>
      <w:r w:rsidRPr="00E055CB">
        <w:rPr>
          <w:sz w:val="18"/>
          <w:szCs w:val="18"/>
        </w:rPr>
        <w:t xml:space="preserve"> han transcurrido trece años. Dentro de esos trece años, la Corte evidencia que fueron planteadas dos solicitudes de medidas cautelares. La primera fue negada en 2009, tres años después del traslado del niño desde Argentina a Paraguay y mientras se desconocía su paradero. La segunda fue atendida favorablemente en 2019, diez años después de que se hubiera presentado la petición que dio origen a este caso (</w:t>
      </w:r>
      <w:r w:rsidRPr="00E055CB">
        <w:rPr>
          <w:i/>
          <w:iCs/>
          <w:sz w:val="18"/>
          <w:szCs w:val="18"/>
        </w:rPr>
        <w:t>supra</w:t>
      </w:r>
      <w:r w:rsidRPr="00E055CB">
        <w:rPr>
          <w:sz w:val="18"/>
          <w:szCs w:val="18"/>
        </w:rPr>
        <w:t xml:space="preserve"> párr. 2.b). Para el momento en que finalmente se otorgaron las medidas cautelares, D tenía 15 años y 3 meses de edad. Asimismo, la Corte nota con preocupación que el caso fue sometido a conocimiento de la Corte en enero de 2022, un mes antes de que D adquiriera la mayoría de edad. Todo ello pese a que los procedimientos internos e internacionales que involucran la protección de los derechos de la niñez deben ser tramitados con diligencia y celeridad excepcionales, para la efectiva protección de los derechos de los niños, niñas y sus progenitores</w:t>
      </w:r>
      <w:r w:rsidR="00864494">
        <w:rPr>
          <w:sz w:val="18"/>
          <w:szCs w:val="18"/>
        </w:rPr>
        <w:t xml:space="preserve"> </w:t>
      </w:r>
      <w:r w:rsidR="00864494" w:rsidRPr="00864494">
        <w:rPr>
          <w:sz w:val="18"/>
          <w:szCs w:val="18"/>
        </w:rPr>
        <w:t xml:space="preserve">(infra </w:t>
      </w:r>
      <w:proofErr w:type="spellStart"/>
      <w:r w:rsidR="00864494" w:rsidRPr="00864494">
        <w:rPr>
          <w:sz w:val="18"/>
          <w:szCs w:val="18"/>
        </w:rPr>
        <w:t>párrs</w:t>
      </w:r>
      <w:proofErr w:type="spellEnd"/>
      <w:r w:rsidR="00864494" w:rsidRPr="00864494">
        <w:rPr>
          <w:sz w:val="18"/>
          <w:szCs w:val="18"/>
        </w:rPr>
        <w:t>. 79 a 80)</w:t>
      </w:r>
      <w:r w:rsidRPr="00E055CB">
        <w:rPr>
          <w:sz w:val="18"/>
          <w:szCs w:val="18"/>
        </w:rPr>
        <w:t>.</w:t>
      </w:r>
    </w:p>
    <w:p w14:paraId="73564065" w14:textId="77777777" w:rsidR="00DB65DF" w:rsidRPr="00E055CB" w:rsidRDefault="00DB65DF" w:rsidP="00DB65DF">
      <w:pPr>
        <w:jc w:val="both"/>
        <w:rPr>
          <w:rFonts w:ascii="Verdana" w:hAnsi="Verdana"/>
          <w:sz w:val="20"/>
          <w:szCs w:val="20"/>
        </w:rPr>
      </w:pPr>
    </w:p>
    <w:p w14:paraId="1CF0226D" w14:textId="4021085B" w:rsidR="00DB65DF" w:rsidRPr="00E055CB" w:rsidRDefault="00DB65DF" w:rsidP="00A91B11">
      <w:pPr>
        <w:pStyle w:val="Prrafodelista"/>
        <w:numPr>
          <w:ilvl w:val="0"/>
          <w:numId w:val="1"/>
        </w:numPr>
        <w:ind w:left="0" w:right="615" w:firstLine="0"/>
        <w:jc w:val="both"/>
        <w:rPr>
          <w:rFonts w:ascii="Verdana" w:hAnsi="Verdana"/>
        </w:rPr>
      </w:pPr>
      <w:r w:rsidRPr="00E055CB">
        <w:rPr>
          <w:rFonts w:ascii="Verdana" w:hAnsi="Verdana"/>
        </w:rPr>
        <w:t>Resulta evidente</w:t>
      </w:r>
      <w:r w:rsidR="00B57DD8" w:rsidRPr="00E055CB">
        <w:rPr>
          <w:rFonts w:ascii="Verdana" w:hAnsi="Verdana"/>
        </w:rPr>
        <w:t>,</w:t>
      </w:r>
      <w:r w:rsidRPr="00E055CB">
        <w:rPr>
          <w:rFonts w:ascii="Verdana" w:hAnsi="Verdana"/>
        </w:rPr>
        <w:t xml:space="preserve"> en consecuencia</w:t>
      </w:r>
      <w:r w:rsidR="00B57DD8" w:rsidRPr="00E055CB">
        <w:rPr>
          <w:rFonts w:ascii="Verdana" w:hAnsi="Verdana"/>
        </w:rPr>
        <w:t>,</w:t>
      </w:r>
      <w:r w:rsidRPr="00E055CB">
        <w:rPr>
          <w:rFonts w:ascii="Verdana" w:hAnsi="Verdana"/>
        </w:rPr>
        <w:t xml:space="preserve"> que tampoco</w:t>
      </w:r>
      <w:r w:rsidR="00B57DD8" w:rsidRPr="00E055CB">
        <w:rPr>
          <w:rFonts w:ascii="Verdana" w:hAnsi="Verdana"/>
        </w:rPr>
        <w:t>,</w:t>
      </w:r>
      <w:r w:rsidRPr="00E055CB">
        <w:rPr>
          <w:rFonts w:ascii="Verdana" w:hAnsi="Verdana"/>
        </w:rPr>
        <w:t xml:space="preserve"> como afirma la Corte </w:t>
      </w:r>
      <w:r w:rsidR="00AA06A4" w:rsidRPr="00E055CB">
        <w:rPr>
          <w:rFonts w:ascii="Verdana" w:hAnsi="Verdana"/>
        </w:rPr>
        <w:t xml:space="preserve">en </w:t>
      </w:r>
      <w:r w:rsidRPr="00E055CB">
        <w:rPr>
          <w:rFonts w:ascii="Verdana" w:hAnsi="Verdana"/>
        </w:rPr>
        <w:t>el presente caso</w:t>
      </w:r>
      <w:r w:rsidR="00B57DD8" w:rsidRPr="00E055CB">
        <w:rPr>
          <w:rFonts w:ascii="Verdana" w:hAnsi="Verdana"/>
        </w:rPr>
        <w:t>,</w:t>
      </w:r>
      <w:r w:rsidRPr="00E055CB">
        <w:rPr>
          <w:rFonts w:ascii="Verdana" w:hAnsi="Verdana"/>
        </w:rPr>
        <w:t xml:space="preserve"> fue considerado “con diligencia y celeridad excepcionales para la protección de los derechos de </w:t>
      </w:r>
      <w:proofErr w:type="gramStart"/>
      <w:r w:rsidRPr="00E055CB">
        <w:rPr>
          <w:rFonts w:ascii="Verdana" w:hAnsi="Verdana"/>
        </w:rPr>
        <w:t>los niños y niñas</w:t>
      </w:r>
      <w:proofErr w:type="gramEnd"/>
      <w:r w:rsidRPr="00E055CB">
        <w:rPr>
          <w:rFonts w:ascii="Verdana" w:hAnsi="Verdana"/>
        </w:rPr>
        <w:t xml:space="preserve"> y sus progenitores</w:t>
      </w:r>
      <w:r w:rsidR="00B57DD8" w:rsidRPr="00E055CB">
        <w:rPr>
          <w:rFonts w:ascii="Verdana" w:hAnsi="Verdana"/>
        </w:rPr>
        <w:t>”</w:t>
      </w:r>
      <w:r w:rsidRPr="00E055CB">
        <w:rPr>
          <w:rFonts w:ascii="Verdana" w:hAnsi="Verdana"/>
        </w:rPr>
        <w:t>.</w:t>
      </w:r>
      <w:r w:rsidR="00B57DD8" w:rsidRPr="00E055CB">
        <w:rPr>
          <w:rFonts w:ascii="Verdana" w:hAnsi="Verdana"/>
        </w:rPr>
        <w:t xml:space="preserve"> </w:t>
      </w:r>
      <w:r w:rsidRPr="00E055CB">
        <w:rPr>
          <w:rFonts w:ascii="Verdana" w:hAnsi="Verdana"/>
        </w:rPr>
        <w:t>Las medidas cautelares de la Comisión fueron concedidas 9 meses antes de que D cumpliera los 16 años, edad en la que dejan de aplicarse los convenios de restitución internacional</w:t>
      </w:r>
      <w:r w:rsidRPr="00E055CB">
        <w:rPr>
          <w:rStyle w:val="Refdenotaalpie"/>
          <w:rFonts w:ascii="Verdana" w:hAnsi="Verdana"/>
        </w:rPr>
        <w:footnoteReference w:id="45"/>
      </w:r>
      <w:r w:rsidR="00864494">
        <w:rPr>
          <w:rFonts w:ascii="Verdana" w:hAnsi="Verdana"/>
        </w:rPr>
        <w:t>.</w:t>
      </w:r>
      <w:r w:rsidRPr="00E055CB">
        <w:rPr>
          <w:rFonts w:ascii="Verdana" w:hAnsi="Verdana"/>
        </w:rPr>
        <w:t xml:space="preserve"> </w:t>
      </w:r>
    </w:p>
    <w:p w14:paraId="6AED7207" w14:textId="77777777" w:rsidR="00DB65DF" w:rsidRPr="00E055CB" w:rsidRDefault="00DB65DF" w:rsidP="00DB65DF">
      <w:pPr>
        <w:jc w:val="both"/>
      </w:pPr>
    </w:p>
    <w:p w14:paraId="09AF8BD8" w14:textId="3E959DF8" w:rsidR="00BB4844" w:rsidRPr="00E055CB" w:rsidRDefault="00BB4844" w:rsidP="00BB4844">
      <w:pPr>
        <w:ind w:right="615"/>
        <w:jc w:val="center"/>
        <w:rPr>
          <w:rFonts w:ascii="Verdana" w:hAnsi="Verdana"/>
          <w:b/>
          <w:sz w:val="20"/>
          <w:szCs w:val="20"/>
        </w:rPr>
      </w:pPr>
      <w:r w:rsidRPr="00E055CB">
        <w:rPr>
          <w:rFonts w:ascii="Verdana" w:hAnsi="Verdana"/>
          <w:b/>
          <w:sz w:val="20"/>
          <w:szCs w:val="20"/>
        </w:rPr>
        <w:t xml:space="preserve">V. CONCLUSIÓN GENERAL </w:t>
      </w:r>
    </w:p>
    <w:p w14:paraId="5AC5C47A" w14:textId="77777777" w:rsidR="00DB65DF" w:rsidRPr="00E055CB" w:rsidRDefault="00DB65DF" w:rsidP="00DB65DF">
      <w:pPr>
        <w:jc w:val="both"/>
        <w:rPr>
          <w:rFonts w:ascii="Verdana" w:hAnsi="Verdana"/>
          <w:sz w:val="20"/>
          <w:szCs w:val="20"/>
        </w:rPr>
      </w:pPr>
    </w:p>
    <w:p w14:paraId="75BA0901" w14:textId="7C9CE781" w:rsidR="00A91B11" w:rsidRDefault="00BB4844" w:rsidP="00A91B11">
      <w:pPr>
        <w:pStyle w:val="Prrafodelista"/>
        <w:numPr>
          <w:ilvl w:val="0"/>
          <w:numId w:val="1"/>
        </w:numPr>
        <w:ind w:left="0" w:right="615" w:firstLine="0"/>
        <w:jc w:val="both"/>
        <w:rPr>
          <w:rFonts w:ascii="Verdana" w:hAnsi="Verdana"/>
        </w:rPr>
      </w:pPr>
      <w:r w:rsidRPr="00E055CB">
        <w:rPr>
          <w:rFonts w:ascii="Verdana" w:hAnsi="Verdana"/>
        </w:rPr>
        <w:t>Las consideraciones vertidas en este voto nos permiten señalar que la decisión de la mayoría en la sentencia fue acertada al concluir que se violó el artículo 2 de la Convención ante las insuficientes medidas legislativas adoptadas para garantizar los derechos en juego cuando se está ante la presencia de un proceso de restitución</w:t>
      </w:r>
      <w:r w:rsidR="00864494">
        <w:rPr>
          <w:rFonts w:ascii="Verdana" w:hAnsi="Verdana"/>
        </w:rPr>
        <w:t xml:space="preserve"> internacional</w:t>
      </w:r>
      <w:r w:rsidRPr="00E055CB">
        <w:rPr>
          <w:rFonts w:ascii="Verdana" w:hAnsi="Verdana"/>
        </w:rPr>
        <w:t xml:space="preserve">. La importancia de proteger a la niñez y la familia -y, por supuesto, a sus miembros- se constituyen como valores que deben ser protegidos a través de una legislación eficaz. </w:t>
      </w:r>
    </w:p>
    <w:p w14:paraId="6234E08F" w14:textId="77777777" w:rsidR="00A91B11" w:rsidRDefault="00A91B11" w:rsidP="00A91B11">
      <w:pPr>
        <w:pStyle w:val="Prrafodelista"/>
        <w:ind w:left="0" w:right="615"/>
        <w:jc w:val="both"/>
        <w:rPr>
          <w:rFonts w:ascii="Verdana" w:hAnsi="Verdana"/>
        </w:rPr>
      </w:pPr>
    </w:p>
    <w:p w14:paraId="25822F3D" w14:textId="72BCCDA2" w:rsidR="00BB4844" w:rsidRPr="00E055CB" w:rsidRDefault="00BB4844" w:rsidP="00A91B11">
      <w:pPr>
        <w:pStyle w:val="Prrafodelista"/>
        <w:numPr>
          <w:ilvl w:val="0"/>
          <w:numId w:val="1"/>
        </w:numPr>
        <w:ind w:left="0" w:right="615" w:firstLine="0"/>
        <w:jc w:val="both"/>
        <w:rPr>
          <w:rFonts w:ascii="Verdana" w:hAnsi="Verdana"/>
        </w:rPr>
      </w:pPr>
      <w:r w:rsidRPr="00E055CB">
        <w:rPr>
          <w:rFonts w:ascii="Verdana" w:hAnsi="Verdana"/>
        </w:rPr>
        <w:t xml:space="preserve">De la misma forma, consideramos que estos procedimientos deben realizarse en un plazo razonable. Esta es una obligación transversal a todos los procesos judiciales. Sin embargo, </w:t>
      </w:r>
      <w:r w:rsidR="002E230F" w:rsidRPr="00E055CB">
        <w:rPr>
          <w:rFonts w:ascii="Verdana" w:hAnsi="Verdana"/>
        </w:rPr>
        <w:t>la garantía del plazo razonable</w:t>
      </w:r>
      <w:r w:rsidRPr="00E055CB">
        <w:rPr>
          <w:rFonts w:ascii="Verdana" w:hAnsi="Verdana"/>
        </w:rPr>
        <w:t xml:space="preserve"> tiene una importancia especial cuando se trata de procesos de restitución y</w:t>
      </w:r>
      <w:r w:rsidR="002E230F" w:rsidRPr="00E055CB">
        <w:rPr>
          <w:rFonts w:ascii="Verdana" w:hAnsi="Verdana"/>
        </w:rPr>
        <w:t>,</w:t>
      </w:r>
      <w:r w:rsidRPr="00E055CB">
        <w:rPr>
          <w:rFonts w:ascii="Verdana" w:hAnsi="Verdana"/>
        </w:rPr>
        <w:t xml:space="preserve"> por esta razón, consideramos que el análisis del cumplimiento de las obligaciones</w:t>
      </w:r>
      <w:r w:rsidR="002E230F" w:rsidRPr="00E055CB">
        <w:rPr>
          <w:rFonts w:ascii="Verdana" w:hAnsi="Verdana"/>
        </w:rPr>
        <w:t xml:space="preserve"> en materia de protección a la niñez y a la familia, en procesos de restitución</w:t>
      </w:r>
      <w:r w:rsidRPr="00E055CB">
        <w:rPr>
          <w:rFonts w:ascii="Verdana" w:hAnsi="Verdana"/>
        </w:rPr>
        <w:t xml:space="preserve"> debe -y debió, en el presente caso- realizarse de manera conjunta. La práctica internacional y la jurisprudencia de la Corte sustentan esta misma conclusión.</w:t>
      </w:r>
    </w:p>
    <w:p w14:paraId="63B3B2E8" w14:textId="12CCEFB1" w:rsidR="0079249C" w:rsidRDefault="0079249C" w:rsidP="00CC0B4C">
      <w:pPr>
        <w:pStyle w:val="NormalWeb"/>
        <w:spacing w:before="0" w:beforeAutospacing="0" w:after="0" w:afterAutospacing="0"/>
        <w:ind w:right="615"/>
        <w:jc w:val="both"/>
        <w:rPr>
          <w:rFonts w:ascii="Verdana" w:eastAsia="Calibri" w:hAnsi="Verdana"/>
          <w:lang w:val="es-419" w:eastAsia="en-US"/>
        </w:rPr>
      </w:pPr>
    </w:p>
    <w:p w14:paraId="4D2D409D" w14:textId="450678F8" w:rsidR="0079249C" w:rsidRPr="00E055CB" w:rsidRDefault="0079249C" w:rsidP="00CC0B4C">
      <w:pPr>
        <w:pStyle w:val="NormalWeb"/>
        <w:spacing w:before="0" w:beforeAutospacing="0" w:after="0" w:afterAutospacing="0"/>
        <w:ind w:right="615"/>
        <w:jc w:val="both"/>
        <w:rPr>
          <w:rFonts w:ascii="Verdana" w:eastAsia="Calibri" w:hAnsi="Verdana"/>
          <w:lang w:val="es-419" w:eastAsia="en-US"/>
        </w:rPr>
      </w:pPr>
    </w:p>
    <w:p w14:paraId="5048C78E" w14:textId="4DFB804D" w:rsidR="00EF3FE3" w:rsidRPr="00E055CB" w:rsidRDefault="00EF3FE3" w:rsidP="00CC0B4C">
      <w:pPr>
        <w:pStyle w:val="NormalWeb"/>
        <w:spacing w:before="0" w:beforeAutospacing="0" w:after="0" w:afterAutospacing="0"/>
        <w:ind w:right="615"/>
        <w:jc w:val="both"/>
        <w:rPr>
          <w:rFonts w:ascii="Verdana" w:eastAsia="Calibri" w:hAnsi="Verdana"/>
          <w:lang w:val="es-419" w:eastAsia="en-US"/>
        </w:rPr>
      </w:pPr>
    </w:p>
    <w:p w14:paraId="131C836E" w14:textId="510194A7" w:rsidR="00EF3FE3" w:rsidRPr="00E055CB" w:rsidRDefault="00240394" w:rsidP="00CC0B4C">
      <w:pPr>
        <w:pStyle w:val="NormalWeb"/>
        <w:spacing w:before="0" w:beforeAutospacing="0" w:after="0" w:afterAutospacing="0"/>
        <w:ind w:right="615" w:firstLine="708"/>
        <w:rPr>
          <w:rFonts w:ascii="Verdana" w:eastAsia="Calibri" w:hAnsi="Verdana"/>
          <w:lang w:val="pt-BR" w:eastAsia="en-US"/>
        </w:rPr>
      </w:pPr>
      <w:r w:rsidRPr="00E055CB">
        <w:rPr>
          <w:rFonts w:ascii="Verdana" w:eastAsia="Calibri" w:hAnsi="Verdana"/>
          <w:lang w:val="pt-BR" w:eastAsia="en-US"/>
        </w:rPr>
        <w:t xml:space="preserve">Ricardo C. Pérez </w:t>
      </w:r>
      <w:proofErr w:type="spellStart"/>
      <w:r w:rsidRPr="00E055CB">
        <w:rPr>
          <w:rFonts w:ascii="Verdana" w:eastAsia="Calibri" w:hAnsi="Verdana"/>
          <w:lang w:val="pt-BR" w:eastAsia="en-US"/>
        </w:rPr>
        <w:t>Manrique</w:t>
      </w:r>
      <w:proofErr w:type="spellEnd"/>
      <w:r w:rsidR="00EF3FE3" w:rsidRPr="00E055CB">
        <w:rPr>
          <w:rFonts w:ascii="Verdana" w:eastAsia="Calibri" w:hAnsi="Verdana"/>
          <w:lang w:val="pt-BR" w:eastAsia="en-US"/>
        </w:rPr>
        <w:t xml:space="preserve">                            Eduardo Ferrer </w:t>
      </w:r>
      <w:proofErr w:type="spellStart"/>
      <w:r w:rsidR="00EF3FE3" w:rsidRPr="00E055CB">
        <w:rPr>
          <w:rFonts w:ascii="Verdana" w:eastAsia="Calibri" w:hAnsi="Verdana"/>
          <w:lang w:val="pt-BR" w:eastAsia="en-US"/>
        </w:rPr>
        <w:t>Mac-Gregor</w:t>
      </w:r>
      <w:proofErr w:type="spellEnd"/>
      <w:r w:rsidR="00EF3FE3" w:rsidRPr="00E055CB">
        <w:rPr>
          <w:rFonts w:ascii="Verdana" w:eastAsia="Calibri" w:hAnsi="Verdana"/>
          <w:lang w:val="pt-BR" w:eastAsia="en-US"/>
        </w:rPr>
        <w:t xml:space="preserve"> </w:t>
      </w:r>
      <w:proofErr w:type="spellStart"/>
      <w:r w:rsidR="00EF3FE3" w:rsidRPr="00E055CB">
        <w:rPr>
          <w:rFonts w:ascii="Verdana" w:eastAsia="Calibri" w:hAnsi="Verdana"/>
          <w:lang w:val="pt-BR" w:eastAsia="en-US"/>
        </w:rPr>
        <w:t>Poisot</w:t>
      </w:r>
      <w:proofErr w:type="spellEnd"/>
    </w:p>
    <w:p w14:paraId="47EADB91" w14:textId="5D2D2000" w:rsidR="002455F5" w:rsidRPr="00E055CB" w:rsidRDefault="002455F5" w:rsidP="00CC0B4C">
      <w:pPr>
        <w:pStyle w:val="NormalWeb"/>
        <w:spacing w:before="0" w:beforeAutospacing="0" w:after="0" w:afterAutospacing="0"/>
        <w:ind w:left="708" w:right="615" w:firstLine="708"/>
        <w:rPr>
          <w:rFonts w:ascii="Verdana" w:eastAsia="Calibri" w:hAnsi="Verdana"/>
          <w:lang w:val="pt-BR" w:eastAsia="en-US"/>
        </w:rPr>
      </w:pPr>
      <w:r w:rsidRPr="00E055CB">
        <w:rPr>
          <w:rFonts w:ascii="Verdana" w:eastAsia="Calibri" w:hAnsi="Verdana"/>
          <w:lang w:val="pt-BR" w:eastAsia="en-US"/>
        </w:rPr>
        <w:t>Presidente</w:t>
      </w:r>
      <w:r w:rsidR="00EF3FE3" w:rsidRPr="00E055CB">
        <w:rPr>
          <w:rFonts w:ascii="Verdana" w:eastAsia="Calibri" w:hAnsi="Verdana"/>
          <w:lang w:val="pt-BR" w:eastAsia="en-US"/>
        </w:rPr>
        <w:t xml:space="preserve">                                                      </w:t>
      </w:r>
      <w:proofErr w:type="spellStart"/>
      <w:r w:rsidR="00EF3FE3" w:rsidRPr="00E055CB">
        <w:rPr>
          <w:rFonts w:ascii="Verdana" w:eastAsia="Calibri" w:hAnsi="Verdana"/>
          <w:lang w:val="pt-BR" w:eastAsia="en-US"/>
        </w:rPr>
        <w:t>Vicepresidente</w:t>
      </w:r>
      <w:proofErr w:type="spellEnd"/>
    </w:p>
    <w:p w14:paraId="76EC3841" w14:textId="093DDD4B" w:rsidR="00B57DD8" w:rsidRDefault="00B57DD8" w:rsidP="00CC0B4C">
      <w:pPr>
        <w:ind w:right="615"/>
        <w:rPr>
          <w:rFonts w:ascii="Verdana" w:hAnsi="Verdana"/>
          <w:sz w:val="20"/>
          <w:szCs w:val="20"/>
          <w:lang w:val="pt-BR"/>
        </w:rPr>
      </w:pPr>
    </w:p>
    <w:p w14:paraId="20A5A971" w14:textId="324C858F" w:rsidR="0079249C" w:rsidRPr="00E055CB" w:rsidRDefault="0079249C" w:rsidP="00CC0B4C">
      <w:pPr>
        <w:ind w:right="615"/>
        <w:rPr>
          <w:rFonts w:ascii="Verdana" w:hAnsi="Verdana"/>
          <w:sz w:val="20"/>
          <w:szCs w:val="20"/>
          <w:lang w:val="pt-BR"/>
        </w:rPr>
      </w:pPr>
    </w:p>
    <w:p w14:paraId="58CBAFFA" w14:textId="3DF014E3" w:rsidR="002455F5" w:rsidRPr="00BA4E8B" w:rsidRDefault="002455F5" w:rsidP="000132CD">
      <w:pPr>
        <w:ind w:left="2832" w:right="615" w:firstLine="708"/>
        <w:rPr>
          <w:rFonts w:ascii="Verdana" w:eastAsia="Calibri" w:hAnsi="Verdana"/>
          <w:sz w:val="20"/>
          <w:szCs w:val="20"/>
          <w:lang w:val="pt-BR" w:eastAsia="en-US"/>
        </w:rPr>
      </w:pPr>
      <w:r w:rsidRPr="00BA4E8B">
        <w:rPr>
          <w:rFonts w:ascii="Verdana" w:eastAsia="Calibri" w:hAnsi="Verdana"/>
          <w:sz w:val="20"/>
          <w:szCs w:val="20"/>
          <w:lang w:val="pt-BR" w:eastAsia="en-US"/>
        </w:rPr>
        <w:t>Rodrigo Mudrovitsch</w:t>
      </w:r>
    </w:p>
    <w:p w14:paraId="192AF4F8" w14:textId="5A292470" w:rsidR="00240394" w:rsidRPr="00E055CB" w:rsidRDefault="002455F5" w:rsidP="00CC0B4C">
      <w:pPr>
        <w:pStyle w:val="NormalWeb"/>
        <w:spacing w:before="0" w:beforeAutospacing="0" w:after="0" w:afterAutospacing="0"/>
        <w:ind w:left="3960" w:right="615" w:firstLine="360"/>
        <w:rPr>
          <w:rFonts w:ascii="Verdana" w:eastAsia="Calibri" w:hAnsi="Verdana"/>
          <w:lang w:val="pt-BR" w:eastAsia="en-US"/>
        </w:rPr>
      </w:pPr>
      <w:proofErr w:type="spellStart"/>
      <w:r w:rsidRPr="00E055CB">
        <w:rPr>
          <w:rFonts w:ascii="Verdana" w:eastAsia="Calibri" w:hAnsi="Verdana"/>
          <w:lang w:val="pt-BR" w:eastAsia="en-US"/>
        </w:rPr>
        <w:t>Juez</w:t>
      </w:r>
      <w:proofErr w:type="spellEnd"/>
    </w:p>
    <w:p w14:paraId="6C359E4E" w14:textId="3D039BF4" w:rsidR="00EF3FE3" w:rsidRPr="00E055CB" w:rsidRDefault="00EF3FE3" w:rsidP="00CC0B4C">
      <w:pPr>
        <w:ind w:right="615"/>
        <w:rPr>
          <w:rFonts w:ascii="Verdana" w:hAnsi="Verdana"/>
          <w:sz w:val="20"/>
          <w:szCs w:val="20"/>
          <w:lang w:val="pt-BR"/>
        </w:rPr>
      </w:pPr>
    </w:p>
    <w:p w14:paraId="600714BD" w14:textId="43725059" w:rsidR="00240394" w:rsidRDefault="00240394" w:rsidP="000132CD">
      <w:pPr>
        <w:ind w:right="615"/>
        <w:rPr>
          <w:rFonts w:ascii="Verdana" w:hAnsi="Verdana"/>
          <w:sz w:val="20"/>
          <w:szCs w:val="20"/>
          <w:lang w:val="pt-BR"/>
        </w:rPr>
      </w:pPr>
      <w:r w:rsidRPr="00E055CB">
        <w:rPr>
          <w:rFonts w:ascii="Verdana" w:hAnsi="Verdana"/>
          <w:sz w:val="20"/>
          <w:szCs w:val="20"/>
          <w:lang w:val="pt-BR"/>
        </w:rPr>
        <w:t xml:space="preserve">      Pablo Saavedra Alessandri</w:t>
      </w:r>
    </w:p>
    <w:p w14:paraId="0AB380FD" w14:textId="7C92AEC7" w:rsidR="0003460F" w:rsidRPr="005718D1" w:rsidRDefault="000132CD" w:rsidP="000132CD">
      <w:pPr>
        <w:pStyle w:val="Prrafodelista"/>
        <w:ind w:left="0" w:right="615"/>
        <w:jc w:val="both"/>
        <w:rPr>
          <w:rFonts w:ascii="Verdana" w:hAnsi="Verdana"/>
          <w:lang w:val="pt-BR"/>
        </w:rPr>
      </w:pPr>
      <w:r>
        <w:rPr>
          <w:rFonts w:ascii="Verdana" w:hAnsi="Verdana"/>
          <w:lang w:val="pt-BR"/>
        </w:rPr>
        <w:t xml:space="preserve">                </w:t>
      </w:r>
      <w:r w:rsidR="00151AA8">
        <w:rPr>
          <w:rFonts w:ascii="Verdana" w:hAnsi="Verdana"/>
          <w:lang w:val="pt-BR"/>
        </w:rPr>
        <w:t xml:space="preserve">  </w:t>
      </w:r>
      <w:r w:rsidR="00240394" w:rsidRPr="00E055CB">
        <w:rPr>
          <w:rFonts w:ascii="Verdana" w:hAnsi="Verdana"/>
          <w:lang w:val="pt-BR"/>
        </w:rPr>
        <w:t>Secretario</w:t>
      </w:r>
    </w:p>
    <w:sectPr w:rsidR="0003460F" w:rsidRPr="005718D1" w:rsidSect="0026757D">
      <w:footerReference w:type="even" r:id="rId13"/>
      <w:footerReference w:type="default" r:id="rId14"/>
      <w:pgSz w:w="12240" w:h="15840"/>
      <w:pgMar w:top="1417" w:right="1418"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05145" w14:textId="77777777" w:rsidR="00F9543B" w:rsidRDefault="00F9543B" w:rsidP="00240394">
      <w:r>
        <w:separator/>
      </w:r>
    </w:p>
  </w:endnote>
  <w:endnote w:type="continuationSeparator" w:id="0">
    <w:p w14:paraId="53CFB8E0" w14:textId="77777777" w:rsidR="00F9543B" w:rsidRDefault="00F9543B" w:rsidP="00240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Cuerpo en alfa">
    <w:charset w:val="00"/>
    <w:family w:val="roman"/>
    <w:pitch w:val="default"/>
  </w:font>
  <w:font w:name="Open Sans">
    <w:charset w:val="00"/>
    <w:family w:val="swiss"/>
    <w:pitch w:val="variable"/>
    <w:sig w:usb0="E00002EF" w:usb1="4000205B" w:usb2="00000028"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BFBC3" w14:textId="77777777" w:rsidR="0026757D" w:rsidRDefault="0026757D" w:rsidP="0026757D">
    <w:pPr>
      <w:pStyle w:val="Piedepgina"/>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10266CB1" w14:textId="77777777" w:rsidR="0026757D" w:rsidRDefault="0026757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1E19A" w14:textId="77777777" w:rsidR="0026757D" w:rsidRPr="00E367DA" w:rsidRDefault="0026757D" w:rsidP="0026757D">
    <w:pPr>
      <w:pStyle w:val="Piedepgina"/>
      <w:framePr w:wrap="none" w:vAnchor="text" w:hAnchor="margin" w:xAlign="center" w:y="1"/>
      <w:rPr>
        <w:rStyle w:val="Nmerodepgina"/>
        <w:rFonts w:ascii="Verdana" w:hAnsi="Verdana"/>
        <w:sz w:val="16"/>
        <w:szCs w:val="16"/>
      </w:rPr>
    </w:pPr>
    <w:r w:rsidRPr="00E367DA">
      <w:rPr>
        <w:rStyle w:val="Nmerodepgina"/>
        <w:rFonts w:ascii="Verdana" w:hAnsi="Verdana"/>
        <w:sz w:val="16"/>
        <w:szCs w:val="16"/>
      </w:rPr>
      <w:fldChar w:fldCharType="begin"/>
    </w:r>
    <w:r w:rsidRPr="00E367DA">
      <w:rPr>
        <w:rStyle w:val="Nmerodepgina"/>
        <w:rFonts w:ascii="Verdana" w:hAnsi="Verdana"/>
        <w:sz w:val="16"/>
        <w:szCs w:val="16"/>
      </w:rPr>
      <w:instrText xml:space="preserve">PAGE  </w:instrText>
    </w:r>
    <w:r w:rsidRPr="00E367DA">
      <w:rPr>
        <w:rStyle w:val="Nmerodepgina"/>
        <w:rFonts w:ascii="Verdana" w:hAnsi="Verdana"/>
        <w:sz w:val="16"/>
        <w:szCs w:val="16"/>
      </w:rPr>
      <w:fldChar w:fldCharType="separate"/>
    </w:r>
    <w:r w:rsidR="00080CBA">
      <w:rPr>
        <w:rStyle w:val="Nmerodepgina"/>
        <w:rFonts w:ascii="Verdana" w:hAnsi="Verdana"/>
        <w:noProof/>
        <w:sz w:val="16"/>
        <w:szCs w:val="16"/>
      </w:rPr>
      <w:t>11</w:t>
    </w:r>
    <w:r w:rsidRPr="00E367DA">
      <w:rPr>
        <w:rStyle w:val="Nmerodepgina"/>
        <w:rFonts w:ascii="Verdana" w:hAnsi="Verdana"/>
        <w:sz w:val="16"/>
        <w:szCs w:val="16"/>
      </w:rPr>
      <w:fldChar w:fldCharType="end"/>
    </w:r>
  </w:p>
  <w:p w14:paraId="2808B247" w14:textId="77777777" w:rsidR="0026757D" w:rsidRPr="00E367DA" w:rsidRDefault="0026757D">
    <w:pPr>
      <w:pStyle w:val="Piedepgina"/>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A0FDA" w14:textId="77777777" w:rsidR="00F9543B" w:rsidRDefault="00F9543B" w:rsidP="00240394">
      <w:r>
        <w:separator/>
      </w:r>
    </w:p>
  </w:footnote>
  <w:footnote w:type="continuationSeparator" w:id="0">
    <w:p w14:paraId="74E29E19" w14:textId="77777777" w:rsidR="00F9543B" w:rsidRDefault="00F9543B" w:rsidP="00240394">
      <w:r>
        <w:continuationSeparator/>
      </w:r>
    </w:p>
  </w:footnote>
  <w:footnote w:id="1">
    <w:p w14:paraId="4B8657D8" w14:textId="77777777" w:rsidR="007E0AEE" w:rsidRPr="00A852A8" w:rsidRDefault="007E0AEE" w:rsidP="0079249C">
      <w:pPr>
        <w:pStyle w:val="Textonotapie"/>
        <w:tabs>
          <w:tab w:val="left" w:pos="567"/>
          <w:tab w:val="left" w:pos="709"/>
        </w:tabs>
        <w:spacing w:before="120" w:after="120"/>
        <w:ind w:right="615"/>
        <w:jc w:val="both"/>
        <w:rPr>
          <w:rFonts w:ascii="Verdana" w:hAnsi="Verdana"/>
          <w:sz w:val="16"/>
          <w:szCs w:val="16"/>
        </w:rPr>
      </w:pPr>
      <w:r w:rsidRPr="00A852A8">
        <w:rPr>
          <w:rStyle w:val="Refdenotaalpie"/>
          <w:rFonts w:ascii="Verdana" w:hAnsi="Verdana"/>
          <w:sz w:val="16"/>
          <w:szCs w:val="16"/>
        </w:rPr>
        <w:footnoteRef/>
      </w:r>
      <w:r w:rsidRPr="00A852A8">
        <w:rPr>
          <w:rFonts w:ascii="Verdana" w:hAnsi="Verdana"/>
          <w:sz w:val="16"/>
          <w:szCs w:val="16"/>
        </w:rPr>
        <w:t xml:space="preserve"> </w:t>
      </w:r>
      <w:r w:rsidRPr="00A852A8">
        <w:rPr>
          <w:rFonts w:ascii="Verdana" w:hAnsi="Verdana"/>
          <w:sz w:val="16"/>
          <w:szCs w:val="16"/>
        </w:rPr>
        <w:tab/>
      </w:r>
      <w:r w:rsidRPr="00A852A8">
        <w:rPr>
          <w:rFonts w:ascii="Verdana" w:hAnsi="Verdana"/>
          <w:i/>
          <w:sz w:val="16"/>
          <w:szCs w:val="16"/>
        </w:rPr>
        <w:t>Cfr</w:t>
      </w:r>
      <w:r w:rsidRPr="00A852A8">
        <w:rPr>
          <w:rFonts w:ascii="Verdana" w:hAnsi="Verdana"/>
          <w:sz w:val="16"/>
          <w:szCs w:val="16"/>
        </w:rPr>
        <w:t xml:space="preserve">. </w:t>
      </w:r>
      <w:r w:rsidRPr="00A852A8">
        <w:rPr>
          <w:rFonts w:ascii="Verdana" w:hAnsi="Verdana"/>
          <w:bCs/>
          <w:i/>
          <w:sz w:val="16"/>
          <w:szCs w:val="16"/>
        </w:rPr>
        <w:t>Caso "La Última Tentación de Cristo" (Olmedo Bustos y otros) Vs. Chile. Fondo, Reparaciones y Costa</w:t>
      </w:r>
      <w:r w:rsidRPr="00A852A8">
        <w:rPr>
          <w:rFonts w:ascii="Verdana" w:hAnsi="Verdana"/>
          <w:bCs/>
          <w:sz w:val="16"/>
          <w:szCs w:val="16"/>
        </w:rPr>
        <w:t>s</w:t>
      </w:r>
      <w:r w:rsidRPr="00A852A8">
        <w:rPr>
          <w:rFonts w:ascii="Verdana" w:hAnsi="Verdana"/>
          <w:sz w:val="16"/>
          <w:szCs w:val="16"/>
        </w:rPr>
        <w:t xml:space="preserve">. Sentencia de 5 de febrero de 2001. Serie C No. 73, párr. 87; </w:t>
      </w:r>
      <w:r w:rsidRPr="00A852A8">
        <w:rPr>
          <w:rFonts w:ascii="Verdana" w:hAnsi="Verdana"/>
          <w:bCs/>
          <w:i/>
          <w:sz w:val="16"/>
          <w:szCs w:val="16"/>
        </w:rPr>
        <w:t>Caso Zambrano Vélez y otros Vs. Ecuador. Fondo, Reparaciones y Costas</w:t>
      </w:r>
      <w:r w:rsidRPr="00A852A8">
        <w:rPr>
          <w:rFonts w:ascii="Verdana" w:hAnsi="Verdana"/>
          <w:sz w:val="16"/>
          <w:szCs w:val="16"/>
        </w:rPr>
        <w:t>. Sentencia de 4 de julio de 2007. Serie C No. 166, párr. 56, entre otros.</w:t>
      </w:r>
    </w:p>
  </w:footnote>
  <w:footnote w:id="2">
    <w:p w14:paraId="7BE4CCA3" w14:textId="77777777" w:rsidR="007E0AEE" w:rsidRPr="00A852A8" w:rsidRDefault="007E0AEE" w:rsidP="0079249C">
      <w:pPr>
        <w:pStyle w:val="Textonotapie"/>
        <w:tabs>
          <w:tab w:val="left" w:pos="567"/>
          <w:tab w:val="left" w:pos="709"/>
        </w:tabs>
        <w:spacing w:before="120" w:after="120"/>
        <w:ind w:right="615"/>
        <w:jc w:val="both"/>
        <w:rPr>
          <w:rFonts w:ascii="Verdana" w:hAnsi="Verdana"/>
          <w:sz w:val="16"/>
          <w:szCs w:val="16"/>
        </w:rPr>
      </w:pPr>
      <w:r w:rsidRPr="00A852A8">
        <w:rPr>
          <w:rStyle w:val="Refdenotaalpie"/>
          <w:rFonts w:ascii="Verdana" w:hAnsi="Verdana"/>
          <w:sz w:val="16"/>
          <w:szCs w:val="16"/>
        </w:rPr>
        <w:footnoteRef/>
      </w:r>
      <w:r w:rsidRPr="00A852A8">
        <w:rPr>
          <w:rFonts w:ascii="Verdana" w:hAnsi="Verdana"/>
          <w:sz w:val="16"/>
          <w:szCs w:val="16"/>
        </w:rPr>
        <w:t xml:space="preserve"> </w:t>
      </w:r>
      <w:r w:rsidRPr="00A852A8">
        <w:rPr>
          <w:rFonts w:ascii="Verdana" w:hAnsi="Verdana"/>
          <w:sz w:val="16"/>
          <w:szCs w:val="16"/>
        </w:rPr>
        <w:tab/>
      </w:r>
      <w:r w:rsidRPr="00A852A8">
        <w:rPr>
          <w:rFonts w:ascii="Verdana" w:hAnsi="Verdana"/>
          <w:i/>
          <w:sz w:val="16"/>
          <w:szCs w:val="16"/>
        </w:rPr>
        <w:t xml:space="preserve">Cfr. </w:t>
      </w:r>
      <w:r w:rsidRPr="00A852A8">
        <w:rPr>
          <w:rFonts w:ascii="Verdana" w:hAnsi="Verdana"/>
          <w:bCs/>
          <w:i/>
          <w:sz w:val="16"/>
          <w:szCs w:val="16"/>
        </w:rPr>
        <w:t xml:space="preserve">Caso Castillo </w:t>
      </w:r>
      <w:proofErr w:type="spellStart"/>
      <w:r w:rsidRPr="00A852A8">
        <w:rPr>
          <w:rFonts w:ascii="Verdana" w:hAnsi="Verdana"/>
          <w:bCs/>
          <w:i/>
          <w:sz w:val="16"/>
          <w:szCs w:val="16"/>
        </w:rPr>
        <w:t>Petruzzi</w:t>
      </w:r>
      <w:proofErr w:type="spellEnd"/>
      <w:r w:rsidRPr="00A852A8">
        <w:rPr>
          <w:rFonts w:ascii="Verdana" w:hAnsi="Verdana"/>
          <w:bCs/>
          <w:i/>
          <w:sz w:val="16"/>
          <w:szCs w:val="16"/>
        </w:rPr>
        <w:t xml:space="preserve"> y otros Vs. Perú. Fondo, Reparaciones y Costas</w:t>
      </w:r>
      <w:r w:rsidRPr="00A852A8">
        <w:rPr>
          <w:rFonts w:ascii="Verdana" w:hAnsi="Verdana"/>
          <w:i/>
          <w:sz w:val="16"/>
          <w:szCs w:val="16"/>
        </w:rPr>
        <w:t xml:space="preserve">. </w:t>
      </w:r>
      <w:r w:rsidRPr="00A852A8">
        <w:rPr>
          <w:rFonts w:ascii="Verdana" w:hAnsi="Verdana"/>
          <w:sz w:val="16"/>
          <w:szCs w:val="16"/>
        </w:rPr>
        <w:t>Sentencia de 30 de mayo de 1999. Serie C No. 52, párr. 207, y</w:t>
      </w:r>
      <w:r w:rsidRPr="00A852A8">
        <w:rPr>
          <w:rFonts w:ascii="Verdana" w:hAnsi="Verdana"/>
          <w:i/>
          <w:sz w:val="16"/>
          <w:szCs w:val="16"/>
        </w:rPr>
        <w:t xml:space="preserve"> </w:t>
      </w:r>
      <w:r w:rsidRPr="00A852A8">
        <w:rPr>
          <w:rFonts w:ascii="Verdana" w:hAnsi="Verdana"/>
          <w:bCs/>
          <w:i/>
          <w:sz w:val="16"/>
          <w:szCs w:val="16"/>
        </w:rPr>
        <w:t>Caso Cantoral Benavides vs. Perú. Fondo</w:t>
      </w:r>
      <w:r w:rsidRPr="00A852A8">
        <w:rPr>
          <w:rFonts w:ascii="Verdana" w:hAnsi="Verdana"/>
          <w:i/>
          <w:sz w:val="16"/>
          <w:szCs w:val="16"/>
        </w:rPr>
        <w:t xml:space="preserve">. </w:t>
      </w:r>
      <w:r w:rsidRPr="00A852A8">
        <w:rPr>
          <w:rFonts w:ascii="Verdana" w:hAnsi="Verdana"/>
          <w:sz w:val="16"/>
          <w:szCs w:val="16"/>
        </w:rPr>
        <w:t>Sentencia de 18 de agosto de 2000. Serie C No. 69, párr. 178.</w:t>
      </w:r>
    </w:p>
  </w:footnote>
  <w:footnote w:id="3">
    <w:p w14:paraId="138B7AE2" w14:textId="77777777" w:rsidR="007E0AEE" w:rsidRPr="00A852A8" w:rsidRDefault="007E0AEE" w:rsidP="0079249C">
      <w:pPr>
        <w:pStyle w:val="Textonotapie"/>
        <w:tabs>
          <w:tab w:val="left" w:pos="567"/>
          <w:tab w:val="left" w:pos="709"/>
        </w:tabs>
        <w:spacing w:before="120" w:after="120"/>
        <w:ind w:right="615"/>
        <w:jc w:val="both"/>
        <w:rPr>
          <w:rFonts w:ascii="Verdana" w:hAnsi="Verdana"/>
          <w:sz w:val="16"/>
          <w:szCs w:val="16"/>
        </w:rPr>
      </w:pPr>
      <w:r w:rsidRPr="00A852A8">
        <w:rPr>
          <w:rStyle w:val="Refdenotaalpie"/>
          <w:rFonts w:ascii="Verdana" w:hAnsi="Verdana"/>
          <w:sz w:val="16"/>
          <w:szCs w:val="16"/>
        </w:rPr>
        <w:footnoteRef/>
      </w:r>
      <w:r w:rsidRPr="00A852A8">
        <w:rPr>
          <w:rFonts w:ascii="Verdana" w:hAnsi="Verdana"/>
          <w:sz w:val="16"/>
          <w:szCs w:val="16"/>
        </w:rPr>
        <w:t xml:space="preserve"> </w:t>
      </w:r>
      <w:r w:rsidRPr="00A852A8">
        <w:rPr>
          <w:rFonts w:ascii="Verdana" w:hAnsi="Verdana"/>
          <w:sz w:val="16"/>
          <w:szCs w:val="16"/>
        </w:rPr>
        <w:tab/>
      </w:r>
      <w:r w:rsidRPr="00A852A8">
        <w:rPr>
          <w:rFonts w:ascii="Verdana" w:hAnsi="Verdana"/>
          <w:i/>
          <w:iCs/>
          <w:sz w:val="16"/>
          <w:szCs w:val="16"/>
        </w:rPr>
        <w:t>Cfr.</w:t>
      </w:r>
      <w:r w:rsidRPr="00A852A8">
        <w:rPr>
          <w:rFonts w:ascii="Verdana" w:hAnsi="Verdana"/>
          <w:sz w:val="16"/>
          <w:szCs w:val="16"/>
        </w:rPr>
        <w:t xml:space="preserve"> </w:t>
      </w:r>
      <w:r w:rsidRPr="00A852A8">
        <w:rPr>
          <w:rFonts w:ascii="Verdana" w:hAnsi="Verdana"/>
          <w:bCs/>
          <w:i/>
          <w:sz w:val="16"/>
          <w:szCs w:val="16"/>
        </w:rPr>
        <w:t>Caso La Cantuta vs. Perú, Fondo, Reparaciones y Costas</w:t>
      </w:r>
      <w:r w:rsidRPr="00A852A8">
        <w:rPr>
          <w:rFonts w:ascii="Verdana" w:hAnsi="Verdana"/>
          <w:bCs/>
          <w:sz w:val="16"/>
          <w:szCs w:val="16"/>
        </w:rPr>
        <w:t>.</w:t>
      </w:r>
      <w:r w:rsidRPr="00A852A8">
        <w:rPr>
          <w:rFonts w:ascii="Verdana" w:hAnsi="Verdana"/>
          <w:sz w:val="16"/>
          <w:szCs w:val="16"/>
        </w:rPr>
        <w:t xml:space="preserve"> Sentencia de 29 de noviembre de 2006. Serie C No. 162, párr. 172; </w:t>
      </w:r>
      <w:r w:rsidRPr="00A852A8">
        <w:rPr>
          <w:rFonts w:ascii="Verdana" w:hAnsi="Verdana"/>
          <w:bCs/>
          <w:i/>
          <w:sz w:val="16"/>
          <w:szCs w:val="16"/>
        </w:rPr>
        <w:t>Caso Zambrano Vélez y otros Vs. Ecuador. Fondo, Reparaciones y Costas</w:t>
      </w:r>
      <w:r w:rsidRPr="00A852A8">
        <w:rPr>
          <w:rFonts w:ascii="Verdana" w:hAnsi="Verdana"/>
          <w:bCs/>
          <w:sz w:val="16"/>
          <w:szCs w:val="16"/>
        </w:rPr>
        <w:t>.</w:t>
      </w:r>
      <w:r w:rsidRPr="00A852A8">
        <w:rPr>
          <w:rFonts w:ascii="Verdana" w:hAnsi="Verdana"/>
          <w:sz w:val="16"/>
          <w:szCs w:val="16"/>
        </w:rPr>
        <w:t xml:space="preserve"> Sentencia de 4 de julio de 2007. Serie C No. 166, párr. 57; </w:t>
      </w:r>
      <w:r w:rsidRPr="00A852A8">
        <w:rPr>
          <w:rFonts w:ascii="Verdana" w:hAnsi="Verdana"/>
          <w:bCs/>
          <w:i/>
          <w:sz w:val="16"/>
          <w:szCs w:val="16"/>
        </w:rPr>
        <w:t>Caso Chinchilla Sandoval y otros Vs. Guatemala. Excepción Preliminar, Fondo, Reparaciones y Costas</w:t>
      </w:r>
      <w:r w:rsidRPr="00A852A8">
        <w:rPr>
          <w:rFonts w:ascii="Verdana" w:hAnsi="Verdana"/>
          <w:bCs/>
          <w:sz w:val="16"/>
          <w:szCs w:val="16"/>
        </w:rPr>
        <w:t>.</w:t>
      </w:r>
      <w:r w:rsidRPr="00A852A8">
        <w:rPr>
          <w:rFonts w:ascii="Verdana" w:hAnsi="Verdana"/>
          <w:sz w:val="16"/>
          <w:szCs w:val="16"/>
        </w:rPr>
        <w:t xml:space="preserve"> Sentencia de 29 de febrero de 2016. Serie C No. 312, párr. 254.</w:t>
      </w:r>
    </w:p>
  </w:footnote>
  <w:footnote w:id="4">
    <w:p w14:paraId="68F5F8B4" w14:textId="77777777" w:rsidR="007E0AEE" w:rsidRPr="00A852A8" w:rsidRDefault="007E0AEE" w:rsidP="0079249C">
      <w:pPr>
        <w:pStyle w:val="Textonotapie"/>
        <w:tabs>
          <w:tab w:val="left" w:pos="567"/>
          <w:tab w:val="left" w:pos="709"/>
        </w:tabs>
        <w:spacing w:before="120" w:after="120"/>
        <w:ind w:right="615"/>
        <w:jc w:val="both"/>
        <w:rPr>
          <w:rFonts w:ascii="Verdana" w:hAnsi="Verdana"/>
          <w:sz w:val="16"/>
          <w:szCs w:val="16"/>
        </w:rPr>
      </w:pPr>
      <w:r w:rsidRPr="00A852A8">
        <w:rPr>
          <w:rStyle w:val="Refdenotaalpie"/>
          <w:rFonts w:ascii="Verdana" w:hAnsi="Verdana"/>
          <w:sz w:val="16"/>
          <w:szCs w:val="16"/>
        </w:rPr>
        <w:footnoteRef/>
      </w:r>
      <w:r w:rsidRPr="00A852A8">
        <w:rPr>
          <w:rFonts w:ascii="Verdana" w:hAnsi="Verdana"/>
          <w:sz w:val="16"/>
          <w:szCs w:val="16"/>
        </w:rPr>
        <w:t xml:space="preserve"> </w:t>
      </w:r>
      <w:r w:rsidRPr="00A852A8">
        <w:rPr>
          <w:rFonts w:ascii="Verdana" w:hAnsi="Verdana"/>
          <w:sz w:val="16"/>
          <w:szCs w:val="16"/>
        </w:rPr>
        <w:tab/>
        <w:t xml:space="preserve">Respecto a Perú, la Corte analizó las Leyes de </w:t>
      </w:r>
      <w:proofErr w:type="spellStart"/>
      <w:r w:rsidRPr="00A852A8">
        <w:rPr>
          <w:rFonts w:ascii="Verdana" w:hAnsi="Verdana"/>
          <w:sz w:val="16"/>
          <w:szCs w:val="16"/>
        </w:rPr>
        <w:t>Aministia</w:t>
      </w:r>
      <w:proofErr w:type="spellEnd"/>
      <w:r w:rsidRPr="00A852A8">
        <w:rPr>
          <w:rFonts w:ascii="Verdana" w:hAnsi="Verdana"/>
          <w:sz w:val="16"/>
          <w:szCs w:val="16"/>
        </w:rPr>
        <w:t xml:space="preserve"> No. 26479 y No. 26492; en lo relativo a Chile, estudió la compatibilidad del Decreto Ley No. 2.191; en lo concerniente a Brasil, se pronunció sobre la Ley No. 6.683/79. </w:t>
      </w:r>
      <w:r w:rsidRPr="00A852A8">
        <w:rPr>
          <w:rFonts w:ascii="Verdana" w:hAnsi="Verdana"/>
          <w:i/>
          <w:sz w:val="16"/>
          <w:szCs w:val="16"/>
        </w:rPr>
        <w:t xml:space="preserve">Cfr. </w:t>
      </w:r>
      <w:r w:rsidRPr="00A852A8">
        <w:rPr>
          <w:rFonts w:ascii="Verdana" w:hAnsi="Verdana"/>
          <w:bCs/>
          <w:i/>
          <w:sz w:val="16"/>
          <w:szCs w:val="16"/>
        </w:rPr>
        <w:t>Caso Barrios Altos Vs. Perú. Fondo</w:t>
      </w:r>
      <w:r w:rsidRPr="00A852A8">
        <w:rPr>
          <w:rFonts w:ascii="Verdana" w:hAnsi="Verdana"/>
          <w:i/>
          <w:sz w:val="16"/>
          <w:szCs w:val="16"/>
        </w:rPr>
        <w:t xml:space="preserve">. </w:t>
      </w:r>
      <w:r w:rsidRPr="00A852A8">
        <w:rPr>
          <w:rFonts w:ascii="Verdana" w:hAnsi="Verdana"/>
          <w:sz w:val="16"/>
          <w:szCs w:val="16"/>
        </w:rPr>
        <w:t>Sentencia de 14 de marzo de 2001. Serie C No. 75</w:t>
      </w:r>
      <w:r w:rsidRPr="00A852A8">
        <w:rPr>
          <w:rFonts w:ascii="Verdana" w:hAnsi="Verdana"/>
          <w:i/>
          <w:sz w:val="16"/>
          <w:szCs w:val="16"/>
        </w:rPr>
        <w:t xml:space="preserve">; </w:t>
      </w:r>
      <w:r w:rsidRPr="00A852A8">
        <w:rPr>
          <w:rFonts w:ascii="Verdana" w:hAnsi="Verdana"/>
          <w:bCs/>
          <w:i/>
          <w:sz w:val="16"/>
          <w:szCs w:val="16"/>
        </w:rPr>
        <w:t>Caso Almonacid Arellano y otros Vs. Chile. Excepciones Preliminares, Fondo, Reparaciones y Costas.</w:t>
      </w:r>
      <w:r w:rsidRPr="00A852A8">
        <w:rPr>
          <w:rFonts w:ascii="Verdana" w:hAnsi="Verdana"/>
          <w:i/>
          <w:sz w:val="16"/>
          <w:szCs w:val="16"/>
        </w:rPr>
        <w:t xml:space="preserve"> </w:t>
      </w:r>
      <w:r w:rsidRPr="00A852A8">
        <w:rPr>
          <w:rFonts w:ascii="Verdana" w:hAnsi="Verdana"/>
          <w:sz w:val="16"/>
          <w:szCs w:val="16"/>
        </w:rPr>
        <w:t>Sentencia de 26 de septiembre de 2006. Serie C No. 154</w:t>
      </w:r>
      <w:r w:rsidRPr="00A852A8">
        <w:rPr>
          <w:rFonts w:ascii="Verdana" w:hAnsi="Verdana"/>
          <w:i/>
          <w:sz w:val="16"/>
          <w:szCs w:val="16"/>
        </w:rPr>
        <w:t xml:space="preserve">; </w:t>
      </w:r>
      <w:r w:rsidRPr="00A852A8">
        <w:rPr>
          <w:rFonts w:ascii="Verdana" w:hAnsi="Verdana"/>
          <w:bCs/>
          <w:i/>
          <w:sz w:val="16"/>
          <w:szCs w:val="16"/>
        </w:rPr>
        <w:t>y Caso Gomes Lund y otros ("</w:t>
      </w:r>
      <w:proofErr w:type="spellStart"/>
      <w:r w:rsidRPr="00A852A8">
        <w:rPr>
          <w:rFonts w:ascii="Verdana" w:hAnsi="Verdana"/>
          <w:bCs/>
          <w:i/>
          <w:sz w:val="16"/>
          <w:szCs w:val="16"/>
        </w:rPr>
        <w:t>Guerrilha</w:t>
      </w:r>
      <w:proofErr w:type="spellEnd"/>
      <w:r w:rsidRPr="00A852A8">
        <w:rPr>
          <w:rFonts w:ascii="Verdana" w:hAnsi="Verdana"/>
          <w:bCs/>
          <w:i/>
          <w:sz w:val="16"/>
          <w:szCs w:val="16"/>
        </w:rPr>
        <w:t xml:space="preserve"> do </w:t>
      </w:r>
      <w:proofErr w:type="spellStart"/>
      <w:r w:rsidRPr="00A852A8">
        <w:rPr>
          <w:rFonts w:ascii="Verdana" w:hAnsi="Verdana"/>
          <w:bCs/>
          <w:i/>
          <w:sz w:val="16"/>
          <w:szCs w:val="16"/>
        </w:rPr>
        <w:t>Araguaia</w:t>
      </w:r>
      <w:proofErr w:type="spellEnd"/>
      <w:r w:rsidRPr="00A852A8">
        <w:rPr>
          <w:rFonts w:ascii="Verdana" w:hAnsi="Verdana"/>
          <w:bCs/>
          <w:i/>
          <w:sz w:val="16"/>
          <w:szCs w:val="16"/>
        </w:rPr>
        <w:t>") Vs. Brasil. Excepciones Preliminares, Fondo, Reparaciones y Costas</w:t>
      </w:r>
      <w:r w:rsidRPr="00A852A8">
        <w:rPr>
          <w:rFonts w:ascii="Verdana" w:hAnsi="Verdana"/>
          <w:i/>
          <w:sz w:val="16"/>
          <w:szCs w:val="16"/>
        </w:rPr>
        <w:t xml:space="preserve">. </w:t>
      </w:r>
      <w:r w:rsidRPr="00A852A8">
        <w:rPr>
          <w:rFonts w:ascii="Verdana" w:hAnsi="Verdana"/>
          <w:sz w:val="16"/>
          <w:szCs w:val="16"/>
        </w:rPr>
        <w:t>Sentencia de 24 de noviembre de 2010. Serie C No. 219</w:t>
      </w:r>
      <w:r w:rsidRPr="00A852A8">
        <w:rPr>
          <w:rFonts w:ascii="Verdana" w:hAnsi="Verdana"/>
          <w:i/>
          <w:sz w:val="16"/>
          <w:szCs w:val="16"/>
        </w:rPr>
        <w:t>.</w:t>
      </w:r>
      <w:r w:rsidRPr="00A852A8">
        <w:rPr>
          <w:rFonts w:ascii="Verdana" w:hAnsi="Verdana"/>
          <w:sz w:val="16"/>
          <w:szCs w:val="16"/>
        </w:rPr>
        <w:t xml:space="preserve"> En el mismo sentido: </w:t>
      </w:r>
      <w:r w:rsidRPr="00A852A8">
        <w:rPr>
          <w:rFonts w:ascii="Verdana" w:hAnsi="Verdana"/>
          <w:bCs/>
          <w:i/>
          <w:sz w:val="16"/>
          <w:szCs w:val="16"/>
        </w:rPr>
        <w:t>Caso La Cantuta Vs. Perú. Fondo, Reparaciones y Costas</w:t>
      </w:r>
      <w:r w:rsidRPr="00A852A8">
        <w:rPr>
          <w:rFonts w:ascii="Verdana" w:hAnsi="Verdana"/>
          <w:sz w:val="16"/>
          <w:szCs w:val="16"/>
        </w:rPr>
        <w:t xml:space="preserve">. Sentencia de 29 de noviembre de 2006. Serie C No. 162; </w:t>
      </w:r>
      <w:r w:rsidRPr="00A852A8">
        <w:rPr>
          <w:rFonts w:ascii="Verdana" w:hAnsi="Verdana"/>
          <w:bCs/>
          <w:i/>
          <w:sz w:val="16"/>
          <w:szCs w:val="16"/>
        </w:rPr>
        <w:t xml:space="preserve">Caso </w:t>
      </w:r>
      <w:proofErr w:type="spellStart"/>
      <w:r w:rsidRPr="00A852A8">
        <w:rPr>
          <w:rFonts w:ascii="Verdana" w:hAnsi="Verdana"/>
          <w:bCs/>
          <w:i/>
          <w:sz w:val="16"/>
          <w:szCs w:val="16"/>
        </w:rPr>
        <w:t>Anzualdo</w:t>
      </w:r>
      <w:proofErr w:type="spellEnd"/>
      <w:r w:rsidRPr="00A852A8">
        <w:rPr>
          <w:rFonts w:ascii="Verdana" w:hAnsi="Verdana"/>
          <w:bCs/>
          <w:i/>
          <w:sz w:val="16"/>
          <w:szCs w:val="16"/>
        </w:rPr>
        <w:t xml:space="preserve"> Castro Vs. Perú. Excepción Preliminar, Fondo, Reparaciones y Costas</w:t>
      </w:r>
      <w:r w:rsidRPr="00A852A8">
        <w:rPr>
          <w:rFonts w:ascii="Verdana" w:hAnsi="Verdana"/>
          <w:sz w:val="16"/>
          <w:szCs w:val="16"/>
        </w:rPr>
        <w:t xml:space="preserve">. Sentencia de 22 de septiembre de 2009. Serie C No. 202; </w:t>
      </w:r>
      <w:r w:rsidRPr="00A852A8">
        <w:rPr>
          <w:rFonts w:ascii="Verdana" w:hAnsi="Verdana"/>
          <w:bCs/>
          <w:i/>
          <w:sz w:val="16"/>
          <w:szCs w:val="16"/>
        </w:rPr>
        <w:t>Caso García Lucero y otras Vs. Chile. Excepción Preliminar, Fondo y Reparaciones</w:t>
      </w:r>
      <w:r w:rsidRPr="00A852A8">
        <w:rPr>
          <w:rFonts w:ascii="Verdana" w:hAnsi="Verdana"/>
          <w:sz w:val="16"/>
          <w:szCs w:val="16"/>
        </w:rPr>
        <w:t xml:space="preserve">. Sentencia de 28 de agosto de 2013. Serie C No. 267; </w:t>
      </w:r>
      <w:r w:rsidRPr="00A852A8">
        <w:rPr>
          <w:rFonts w:ascii="Verdana" w:hAnsi="Verdana"/>
          <w:bCs/>
          <w:i/>
          <w:sz w:val="16"/>
          <w:szCs w:val="16"/>
        </w:rPr>
        <w:t>Caso Comunidad Campesina de Santa Bárbara Vs. Perú. Excepciones Preliminares, Fondo, Reparaciones y Costas</w:t>
      </w:r>
      <w:r w:rsidRPr="00A852A8">
        <w:rPr>
          <w:rFonts w:ascii="Verdana" w:hAnsi="Verdana"/>
          <w:sz w:val="16"/>
          <w:szCs w:val="16"/>
        </w:rPr>
        <w:t xml:space="preserve">. Sentencia de 1 de septiembre de 2015. Serie C No. 299; </w:t>
      </w:r>
      <w:r w:rsidRPr="00A852A8">
        <w:rPr>
          <w:rFonts w:ascii="Verdana" w:hAnsi="Verdana"/>
          <w:bCs/>
          <w:i/>
          <w:sz w:val="16"/>
          <w:szCs w:val="16"/>
        </w:rPr>
        <w:t>Caso Tenorio Roca y otros Vs. Perú. Excepciones Preliminares, Fondo, Reparaciones y Costas</w:t>
      </w:r>
      <w:r w:rsidRPr="00A852A8">
        <w:rPr>
          <w:rFonts w:ascii="Verdana" w:hAnsi="Verdana"/>
          <w:sz w:val="16"/>
          <w:szCs w:val="16"/>
        </w:rPr>
        <w:t xml:space="preserve">. Sentencia de 22 de junio de 2016. Serie C No. 314; </w:t>
      </w:r>
      <w:r w:rsidRPr="00A852A8">
        <w:rPr>
          <w:rFonts w:ascii="Verdana" w:hAnsi="Verdana"/>
          <w:bCs/>
          <w:i/>
          <w:sz w:val="16"/>
          <w:szCs w:val="16"/>
        </w:rPr>
        <w:t>Caso Herzog y otros Vs. Brasil. Excepciones Preliminares, Fondo, Reparaciones y Costas</w:t>
      </w:r>
      <w:r w:rsidRPr="00A852A8">
        <w:rPr>
          <w:rFonts w:ascii="Verdana" w:hAnsi="Verdana"/>
          <w:sz w:val="16"/>
          <w:szCs w:val="16"/>
        </w:rPr>
        <w:t>. Sentencia de 15 de marzo de 2018. Serie C No. 353, entre otros.</w:t>
      </w:r>
    </w:p>
  </w:footnote>
  <w:footnote w:id="5">
    <w:p w14:paraId="3F5311F8" w14:textId="77777777" w:rsidR="007E0AEE" w:rsidRPr="00A852A8" w:rsidRDefault="007E0AEE" w:rsidP="0079249C">
      <w:pPr>
        <w:pStyle w:val="Textonotapie"/>
        <w:tabs>
          <w:tab w:val="left" w:pos="567"/>
          <w:tab w:val="left" w:pos="709"/>
        </w:tabs>
        <w:spacing w:before="120" w:after="120"/>
        <w:ind w:right="615"/>
        <w:jc w:val="both"/>
        <w:rPr>
          <w:rFonts w:ascii="Verdana" w:hAnsi="Verdana"/>
          <w:sz w:val="16"/>
          <w:szCs w:val="16"/>
        </w:rPr>
      </w:pPr>
      <w:r w:rsidRPr="00A852A8">
        <w:rPr>
          <w:rStyle w:val="Refdenotaalpie"/>
          <w:rFonts w:ascii="Verdana" w:hAnsi="Verdana"/>
          <w:sz w:val="16"/>
          <w:szCs w:val="16"/>
        </w:rPr>
        <w:footnoteRef/>
      </w:r>
      <w:r w:rsidRPr="00A852A8">
        <w:rPr>
          <w:rFonts w:ascii="Verdana" w:hAnsi="Verdana"/>
          <w:sz w:val="16"/>
          <w:szCs w:val="16"/>
        </w:rPr>
        <w:t xml:space="preserve"> </w:t>
      </w:r>
      <w:r w:rsidRPr="00A852A8">
        <w:rPr>
          <w:rFonts w:ascii="Verdana" w:hAnsi="Verdana"/>
          <w:sz w:val="16"/>
          <w:szCs w:val="16"/>
        </w:rPr>
        <w:tab/>
      </w:r>
      <w:r w:rsidRPr="00A852A8">
        <w:rPr>
          <w:rFonts w:ascii="Verdana" w:hAnsi="Verdana"/>
          <w:i/>
          <w:sz w:val="16"/>
          <w:szCs w:val="16"/>
        </w:rPr>
        <w:t xml:space="preserve">Cfr. </w:t>
      </w:r>
      <w:r w:rsidRPr="00A852A8">
        <w:rPr>
          <w:rFonts w:ascii="Verdana" w:hAnsi="Verdana"/>
          <w:bCs/>
          <w:i/>
          <w:sz w:val="16"/>
          <w:szCs w:val="16"/>
        </w:rPr>
        <w:t>Caso Barrios Altos Vs. Perú. Fondo</w:t>
      </w:r>
      <w:r w:rsidRPr="00A852A8">
        <w:rPr>
          <w:rFonts w:ascii="Verdana" w:hAnsi="Verdana"/>
          <w:i/>
          <w:sz w:val="16"/>
          <w:szCs w:val="16"/>
        </w:rPr>
        <w:t xml:space="preserve">. </w:t>
      </w:r>
      <w:r w:rsidRPr="00A852A8">
        <w:rPr>
          <w:rFonts w:ascii="Verdana" w:hAnsi="Verdana"/>
          <w:sz w:val="16"/>
          <w:szCs w:val="16"/>
        </w:rPr>
        <w:t>Sentencia de 14 de marzo de 2001. Serie C No. 75, párr. 41</w:t>
      </w:r>
      <w:r w:rsidRPr="00A852A8">
        <w:rPr>
          <w:rFonts w:ascii="Verdana" w:hAnsi="Verdana"/>
          <w:i/>
          <w:sz w:val="16"/>
          <w:szCs w:val="16"/>
        </w:rPr>
        <w:t xml:space="preserve">; </w:t>
      </w:r>
      <w:r w:rsidRPr="00A852A8">
        <w:rPr>
          <w:rFonts w:ascii="Verdana" w:hAnsi="Verdana"/>
          <w:bCs/>
          <w:i/>
          <w:sz w:val="16"/>
          <w:szCs w:val="16"/>
        </w:rPr>
        <w:t xml:space="preserve">Caso de la Masacre de Las Dos Erres Vs. Guatemala. Excepción Preliminar, Fondo, Reparaciones y Costas. </w:t>
      </w:r>
      <w:r w:rsidRPr="00A852A8">
        <w:rPr>
          <w:rFonts w:ascii="Verdana" w:hAnsi="Verdana"/>
          <w:sz w:val="16"/>
          <w:szCs w:val="16"/>
        </w:rPr>
        <w:t>Sentencia de 24 de noviembre de 2009. Serie C No. 211, párr. 129</w:t>
      </w:r>
      <w:r w:rsidRPr="00A852A8">
        <w:rPr>
          <w:rFonts w:ascii="Verdana" w:hAnsi="Verdana"/>
          <w:i/>
          <w:sz w:val="16"/>
          <w:szCs w:val="16"/>
        </w:rPr>
        <w:t xml:space="preserve">; y </w:t>
      </w:r>
      <w:r w:rsidRPr="00A852A8">
        <w:rPr>
          <w:rFonts w:ascii="Verdana" w:hAnsi="Verdana"/>
          <w:bCs/>
          <w:i/>
          <w:sz w:val="16"/>
          <w:szCs w:val="16"/>
        </w:rPr>
        <w:t>Caso Gomes Lund y otros ("</w:t>
      </w:r>
      <w:proofErr w:type="spellStart"/>
      <w:r w:rsidRPr="00A852A8">
        <w:rPr>
          <w:rFonts w:ascii="Verdana" w:hAnsi="Verdana"/>
          <w:bCs/>
          <w:i/>
          <w:sz w:val="16"/>
          <w:szCs w:val="16"/>
        </w:rPr>
        <w:t>Guerrilha</w:t>
      </w:r>
      <w:proofErr w:type="spellEnd"/>
      <w:r w:rsidRPr="00A852A8">
        <w:rPr>
          <w:rFonts w:ascii="Verdana" w:hAnsi="Verdana"/>
          <w:bCs/>
          <w:i/>
          <w:sz w:val="16"/>
          <w:szCs w:val="16"/>
        </w:rPr>
        <w:t xml:space="preserve"> do </w:t>
      </w:r>
      <w:proofErr w:type="spellStart"/>
      <w:r w:rsidRPr="00A852A8">
        <w:rPr>
          <w:rFonts w:ascii="Verdana" w:hAnsi="Verdana"/>
          <w:bCs/>
          <w:i/>
          <w:sz w:val="16"/>
          <w:szCs w:val="16"/>
        </w:rPr>
        <w:t>Araguaia</w:t>
      </w:r>
      <w:proofErr w:type="spellEnd"/>
      <w:r w:rsidRPr="00A852A8">
        <w:rPr>
          <w:rFonts w:ascii="Verdana" w:hAnsi="Verdana"/>
          <w:bCs/>
          <w:i/>
          <w:sz w:val="16"/>
          <w:szCs w:val="16"/>
        </w:rPr>
        <w:t>") Vs. Brasil. Excepciones Preliminares, Fondo, Reparaciones y Costas</w:t>
      </w:r>
      <w:r w:rsidRPr="00A852A8">
        <w:rPr>
          <w:rFonts w:ascii="Verdana" w:hAnsi="Verdana"/>
          <w:i/>
          <w:sz w:val="16"/>
          <w:szCs w:val="16"/>
        </w:rPr>
        <w:t xml:space="preserve">. </w:t>
      </w:r>
      <w:r w:rsidRPr="00A852A8">
        <w:rPr>
          <w:rFonts w:ascii="Verdana" w:hAnsi="Verdana"/>
          <w:sz w:val="16"/>
          <w:szCs w:val="16"/>
        </w:rPr>
        <w:t>Sentencia de 24 de noviembre de 2010. Serie C No. 219, párr. 171</w:t>
      </w:r>
      <w:r w:rsidRPr="00A852A8">
        <w:rPr>
          <w:rFonts w:ascii="Verdana" w:hAnsi="Verdana"/>
          <w:i/>
          <w:sz w:val="16"/>
          <w:szCs w:val="16"/>
        </w:rPr>
        <w:t>.</w:t>
      </w:r>
    </w:p>
  </w:footnote>
  <w:footnote w:id="6">
    <w:p w14:paraId="70E5253E" w14:textId="77777777" w:rsidR="007E0AEE" w:rsidRPr="00A852A8" w:rsidRDefault="007E0AEE" w:rsidP="0079249C">
      <w:pPr>
        <w:pStyle w:val="Textonotapie"/>
        <w:tabs>
          <w:tab w:val="left" w:pos="567"/>
          <w:tab w:val="left" w:pos="709"/>
        </w:tabs>
        <w:spacing w:before="120" w:after="120"/>
        <w:ind w:right="615"/>
        <w:jc w:val="both"/>
        <w:rPr>
          <w:rFonts w:ascii="Verdana" w:hAnsi="Verdana"/>
          <w:sz w:val="16"/>
          <w:szCs w:val="16"/>
        </w:rPr>
      </w:pPr>
      <w:r w:rsidRPr="00A852A8">
        <w:rPr>
          <w:rStyle w:val="Refdenotaalpie"/>
          <w:rFonts w:ascii="Verdana" w:hAnsi="Verdana"/>
          <w:sz w:val="16"/>
          <w:szCs w:val="16"/>
        </w:rPr>
        <w:footnoteRef/>
      </w:r>
      <w:r w:rsidRPr="00A852A8">
        <w:rPr>
          <w:rFonts w:ascii="Verdana" w:hAnsi="Verdana"/>
          <w:sz w:val="16"/>
          <w:szCs w:val="16"/>
        </w:rPr>
        <w:t xml:space="preserve"> </w:t>
      </w:r>
      <w:r w:rsidRPr="00A852A8">
        <w:rPr>
          <w:rFonts w:ascii="Verdana" w:hAnsi="Verdana"/>
          <w:sz w:val="16"/>
          <w:szCs w:val="16"/>
        </w:rPr>
        <w:tab/>
      </w:r>
      <w:r w:rsidRPr="00A852A8">
        <w:rPr>
          <w:rFonts w:ascii="Verdana" w:hAnsi="Verdana"/>
          <w:i/>
          <w:sz w:val="16"/>
          <w:szCs w:val="16"/>
        </w:rPr>
        <w:t xml:space="preserve">Cfr. </w:t>
      </w:r>
      <w:r w:rsidRPr="00A852A8">
        <w:rPr>
          <w:rFonts w:ascii="Verdana" w:hAnsi="Verdana"/>
          <w:bCs/>
          <w:i/>
          <w:sz w:val="16"/>
          <w:szCs w:val="16"/>
        </w:rPr>
        <w:t>Caso Barrios Altos Vs. Perú. Fondo</w:t>
      </w:r>
      <w:r w:rsidRPr="00A852A8">
        <w:rPr>
          <w:rFonts w:ascii="Verdana" w:hAnsi="Verdana"/>
          <w:i/>
          <w:sz w:val="16"/>
          <w:szCs w:val="16"/>
        </w:rPr>
        <w:t xml:space="preserve">. </w:t>
      </w:r>
      <w:r w:rsidRPr="00A852A8">
        <w:rPr>
          <w:rFonts w:ascii="Verdana" w:hAnsi="Verdana"/>
          <w:sz w:val="16"/>
          <w:szCs w:val="16"/>
        </w:rPr>
        <w:t>Sentencia de 14 de marzo de 2001. Serie C No. 75, párr. 44</w:t>
      </w:r>
      <w:r w:rsidRPr="00A852A8">
        <w:rPr>
          <w:rFonts w:ascii="Verdana" w:hAnsi="Verdana"/>
          <w:i/>
          <w:sz w:val="16"/>
          <w:szCs w:val="16"/>
        </w:rPr>
        <w:t xml:space="preserve">; </w:t>
      </w:r>
      <w:r w:rsidRPr="00A852A8">
        <w:rPr>
          <w:rFonts w:ascii="Verdana" w:hAnsi="Verdana"/>
          <w:bCs/>
          <w:i/>
          <w:sz w:val="16"/>
          <w:szCs w:val="16"/>
        </w:rPr>
        <w:t>Caso Almonacid Arellano y otros Vs. Chile. Excepciones Preliminares, Fondo, Reparaciones y Costas</w:t>
      </w:r>
      <w:r w:rsidRPr="00A852A8">
        <w:rPr>
          <w:rFonts w:ascii="Verdana" w:hAnsi="Verdana"/>
          <w:i/>
          <w:sz w:val="16"/>
          <w:szCs w:val="16"/>
        </w:rPr>
        <w:t xml:space="preserve">. </w:t>
      </w:r>
      <w:r w:rsidRPr="00A852A8">
        <w:rPr>
          <w:rFonts w:ascii="Verdana" w:hAnsi="Verdana"/>
          <w:sz w:val="16"/>
          <w:szCs w:val="16"/>
        </w:rPr>
        <w:t>Sentencia de 26 de septiembre de 2006. Serie C No. 154, párr. 119</w:t>
      </w:r>
      <w:r w:rsidRPr="00A852A8">
        <w:rPr>
          <w:rFonts w:ascii="Verdana" w:hAnsi="Verdana"/>
          <w:i/>
          <w:sz w:val="16"/>
          <w:szCs w:val="16"/>
        </w:rPr>
        <w:t xml:space="preserve">; </w:t>
      </w:r>
      <w:r w:rsidRPr="00A852A8">
        <w:rPr>
          <w:rFonts w:ascii="Verdana" w:hAnsi="Verdana"/>
          <w:bCs/>
          <w:i/>
          <w:sz w:val="16"/>
          <w:szCs w:val="16"/>
        </w:rPr>
        <w:t>y Caso Gomes Lund y otros ("</w:t>
      </w:r>
      <w:proofErr w:type="spellStart"/>
      <w:r w:rsidRPr="00A852A8">
        <w:rPr>
          <w:rFonts w:ascii="Verdana" w:hAnsi="Verdana"/>
          <w:bCs/>
          <w:i/>
          <w:sz w:val="16"/>
          <w:szCs w:val="16"/>
        </w:rPr>
        <w:t>Guerrilha</w:t>
      </w:r>
      <w:proofErr w:type="spellEnd"/>
      <w:r w:rsidRPr="00A852A8">
        <w:rPr>
          <w:rFonts w:ascii="Verdana" w:hAnsi="Verdana"/>
          <w:bCs/>
          <w:i/>
          <w:sz w:val="16"/>
          <w:szCs w:val="16"/>
        </w:rPr>
        <w:t xml:space="preserve"> do </w:t>
      </w:r>
      <w:proofErr w:type="spellStart"/>
      <w:r w:rsidRPr="00A852A8">
        <w:rPr>
          <w:rFonts w:ascii="Verdana" w:hAnsi="Verdana"/>
          <w:bCs/>
          <w:i/>
          <w:sz w:val="16"/>
          <w:szCs w:val="16"/>
        </w:rPr>
        <w:t>Araguaia</w:t>
      </w:r>
      <w:proofErr w:type="spellEnd"/>
      <w:r w:rsidRPr="00A852A8">
        <w:rPr>
          <w:rFonts w:ascii="Verdana" w:hAnsi="Verdana"/>
          <w:bCs/>
          <w:i/>
          <w:sz w:val="16"/>
          <w:szCs w:val="16"/>
        </w:rPr>
        <w:t>") Vs. Brasil. Excepciones Preliminares, Fondo, Reparaciones y Costas</w:t>
      </w:r>
      <w:r w:rsidRPr="00A852A8">
        <w:rPr>
          <w:rFonts w:ascii="Verdana" w:hAnsi="Verdana"/>
          <w:i/>
          <w:sz w:val="16"/>
          <w:szCs w:val="16"/>
        </w:rPr>
        <w:t xml:space="preserve">. </w:t>
      </w:r>
      <w:r w:rsidRPr="00A852A8">
        <w:rPr>
          <w:rFonts w:ascii="Verdana" w:hAnsi="Verdana"/>
          <w:sz w:val="16"/>
          <w:szCs w:val="16"/>
        </w:rPr>
        <w:t>Sentencia de 24 de noviembre de 2010. Serie C No. 219, párr. 174.</w:t>
      </w:r>
    </w:p>
  </w:footnote>
  <w:footnote w:id="7">
    <w:p w14:paraId="21D2A6AC" w14:textId="77777777" w:rsidR="007E0AEE" w:rsidRPr="00A852A8" w:rsidRDefault="007E0AEE" w:rsidP="0079249C">
      <w:pPr>
        <w:pStyle w:val="Textonotapie"/>
        <w:tabs>
          <w:tab w:val="left" w:pos="567"/>
          <w:tab w:val="left" w:pos="709"/>
        </w:tabs>
        <w:spacing w:before="120" w:after="120"/>
        <w:ind w:right="615"/>
        <w:jc w:val="both"/>
        <w:rPr>
          <w:rFonts w:ascii="Verdana" w:hAnsi="Verdana"/>
          <w:sz w:val="16"/>
          <w:szCs w:val="16"/>
        </w:rPr>
      </w:pPr>
      <w:r w:rsidRPr="00A852A8">
        <w:rPr>
          <w:rStyle w:val="Refdenotaalpie"/>
          <w:rFonts w:ascii="Verdana" w:hAnsi="Verdana"/>
          <w:sz w:val="16"/>
          <w:szCs w:val="16"/>
        </w:rPr>
        <w:footnoteRef/>
      </w:r>
      <w:r w:rsidRPr="00A852A8">
        <w:rPr>
          <w:rFonts w:ascii="Verdana" w:hAnsi="Verdana"/>
          <w:sz w:val="16"/>
          <w:szCs w:val="16"/>
        </w:rPr>
        <w:t xml:space="preserve"> </w:t>
      </w:r>
      <w:r w:rsidRPr="00A852A8">
        <w:rPr>
          <w:rFonts w:ascii="Verdana" w:hAnsi="Verdana"/>
          <w:sz w:val="16"/>
          <w:szCs w:val="16"/>
        </w:rPr>
        <w:tab/>
        <w:t xml:space="preserve">En el contexto de la aplicación de la Ley de Delitos contra la Personas de Trinidad y Tobago que, entre otros aspectos, ya había sido objeto de pronunciamiento en lo relativo a la imposición mecánica y automática de la pena de muerte para todo culpable de homicidio intencional, el Tribunal sostuvo que “es posible declarar una violación del artículo 2 de la Convención, en virtud de que la sola existencia de la Ley de Delitos contra la Persona es per se violatoria de esa disposición convencional”. </w:t>
      </w:r>
      <w:r w:rsidRPr="00A852A8">
        <w:rPr>
          <w:rFonts w:ascii="Verdana" w:hAnsi="Verdana"/>
          <w:i/>
          <w:sz w:val="16"/>
          <w:szCs w:val="16"/>
        </w:rPr>
        <w:t>Cfr</w:t>
      </w:r>
      <w:r w:rsidRPr="00A852A8">
        <w:rPr>
          <w:rFonts w:ascii="Verdana" w:hAnsi="Verdana"/>
          <w:sz w:val="16"/>
          <w:szCs w:val="16"/>
        </w:rPr>
        <w:t xml:space="preserve">. </w:t>
      </w:r>
      <w:r w:rsidRPr="00A852A8">
        <w:rPr>
          <w:rFonts w:ascii="Verdana" w:hAnsi="Verdana"/>
          <w:bCs/>
          <w:i/>
          <w:sz w:val="16"/>
          <w:szCs w:val="16"/>
        </w:rPr>
        <w:t xml:space="preserve">Caso Hilaire, </w:t>
      </w:r>
      <w:proofErr w:type="spellStart"/>
      <w:r w:rsidRPr="00A852A8">
        <w:rPr>
          <w:rFonts w:ascii="Verdana" w:hAnsi="Verdana"/>
          <w:bCs/>
          <w:i/>
          <w:sz w:val="16"/>
          <w:szCs w:val="16"/>
        </w:rPr>
        <w:t>Constantine</w:t>
      </w:r>
      <w:proofErr w:type="spellEnd"/>
      <w:r w:rsidRPr="00A852A8">
        <w:rPr>
          <w:rFonts w:ascii="Verdana" w:hAnsi="Verdana"/>
          <w:bCs/>
          <w:i/>
          <w:sz w:val="16"/>
          <w:szCs w:val="16"/>
        </w:rPr>
        <w:t xml:space="preserve"> y </w:t>
      </w:r>
      <w:proofErr w:type="spellStart"/>
      <w:r w:rsidRPr="00A852A8">
        <w:rPr>
          <w:rFonts w:ascii="Verdana" w:hAnsi="Verdana"/>
          <w:bCs/>
          <w:i/>
          <w:sz w:val="16"/>
          <w:szCs w:val="16"/>
        </w:rPr>
        <w:t>Benjamin</w:t>
      </w:r>
      <w:proofErr w:type="spellEnd"/>
      <w:r w:rsidRPr="00A852A8">
        <w:rPr>
          <w:rFonts w:ascii="Verdana" w:hAnsi="Verdana"/>
          <w:bCs/>
          <w:i/>
          <w:sz w:val="16"/>
          <w:szCs w:val="16"/>
        </w:rPr>
        <w:t xml:space="preserve"> y otros Vs. Trinidad y Tobago. Fondo, Reparaciones y Costas</w:t>
      </w:r>
      <w:r w:rsidRPr="00A852A8">
        <w:rPr>
          <w:rFonts w:ascii="Verdana" w:hAnsi="Verdana"/>
          <w:bCs/>
          <w:sz w:val="16"/>
          <w:szCs w:val="16"/>
        </w:rPr>
        <w:t>.</w:t>
      </w:r>
      <w:r w:rsidRPr="00A852A8">
        <w:rPr>
          <w:rFonts w:ascii="Verdana" w:hAnsi="Verdana"/>
          <w:sz w:val="16"/>
          <w:szCs w:val="16"/>
        </w:rPr>
        <w:t xml:space="preserve"> Sentencia de 21 de junio de 2002. Serie C No. 94, párr. 116. En el mismo sentido: </w:t>
      </w:r>
      <w:r w:rsidRPr="00A852A8">
        <w:rPr>
          <w:rFonts w:ascii="Verdana" w:hAnsi="Verdana"/>
          <w:bCs/>
          <w:i/>
          <w:sz w:val="16"/>
          <w:szCs w:val="16"/>
        </w:rPr>
        <w:t>Caso Boyce y otros Vs. Barbados. Excepción Preliminar, Fondo, Reparaciones y Costas</w:t>
      </w:r>
      <w:r w:rsidRPr="00A852A8">
        <w:rPr>
          <w:rFonts w:ascii="Verdana" w:hAnsi="Verdana"/>
          <w:bCs/>
          <w:sz w:val="16"/>
          <w:szCs w:val="16"/>
        </w:rPr>
        <w:t>.</w:t>
      </w:r>
      <w:r w:rsidRPr="00A852A8">
        <w:rPr>
          <w:rFonts w:ascii="Verdana" w:hAnsi="Verdana"/>
          <w:sz w:val="16"/>
          <w:szCs w:val="16"/>
        </w:rPr>
        <w:t xml:space="preserve"> Sentencia de 20 de noviembre de 2007. Serie C No. 169, párr. 72; y </w:t>
      </w:r>
      <w:r w:rsidRPr="00A852A8">
        <w:rPr>
          <w:rFonts w:ascii="Verdana" w:hAnsi="Verdana"/>
          <w:bCs/>
          <w:i/>
          <w:sz w:val="16"/>
          <w:szCs w:val="16"/>
        </w:rPr>
        <w:t>Caso Dial y otro Vs. Trinidad y Tobago. Fondo y Reparaciones</w:t>
      </w:r>
      <w:r w:rsidRPr="00A852A8">
        <w:rPr>
          <w:rFonts w:ascii="Verdana" w:hAnsi="Verdana"/>
          <w:bCs/>
          <w:sz w:val="16"/>
          <w:szCs w:val="16"/>
        </w:rPr>
        <w:t>.</w:t>
      </w:r>
      <w:r w:rsidRPr="00A852A8">
        <w:rPr>
          <w:rFonts w:ascii="Verdana" w:hAnsi="Verdana"/>
          <w:sz w:val="16"/>
          <w:szCs w:val="16"/>
        </w:rPr>
        <w:t xml:space="preserve"> Sentencia de 21 de noviembre de 2022. Serie C No. 476, párr. 49. </w:t>
      </w:r>
    </w:p>
  </w:footnote>
  <w:footnote w:id="8">
    <w:p w14:paraId="2950E4BC" w14:textId="77777777" w:rsidR="007E0AEE" w:rsidRPr="00A852A8" w:rsidRDefault="007E0AEE" w:rsidP="0079249C">
      <w:pPr>
        <w:pStyle w:val="Textonotapie"/>
        <w:tabs>
          <w:tab w:val="left" w:pos="567"/>
          <w:tab w:val="left" w:pos="709"/>
        </w:tabs>
        <w:spacing w:before="120" w:after="120"/>
        <w:ind w:right="615"/>
        <w:jc w:val="both"/>
        <w:rPr>
          <w:rFonts w:ascii="Verdana" w:hAnsi="Verdana"/>
          <w:sz w:val="16"/>
          <w:szCs w:val="16"/>
        </w:rPr>
      </w:pPr>
      <w:r w:rsidRPr="00A852A8">
        <w:rPr>
          <w:rStyle w:val="Refdenotaalpie"/>
          <w:rFonts w:ascii="Verdana" w:hAnsi="Verdana"/>
          <w:sz w:val="16"/>
          <w:szCs w:val="16"/>
        </w:rPr>
        <w:footnoteRef/>
      </w:r>
      <w:r w:rsidRPr="00A852A8">
        <w:rPr>
          <w:rFonts w:ascii="Verdana" w:hAnsi="Verdana"/>
          <w:sz w:val="16"/>
          <w:szCs w:val="16"/>
        </w:rPr>
        <w:t xml:space="preserve"> </w:t>
      </w:r>
      <w:r w:rsidRPr="00A852A8">
        <w:rPr>
          <w:rFonts w:ascii="Verdana" w:hAnsi="Verdana"/>
          <w:sz w:val="16"/>
          <w:szCs w:val="16"/>
        </w:rPr>
        <w:tab/>
        <w:t xml:space="preserve">Concretamente la Corte se refirió a la figura del arraigo como medida de naturaleza </w:t>
      </w:r>
      <w:proofErr w:type="spellStart"/>
      <w:r w:rsidRPr="00A852A8">
        <w:rPr>
          <w:rFonts w:ascii="Verdana" w:hAnsi="Verdana"/>
          <w:sz w:val="16"/>
          <w:szCs w:val="16"/>
        </w:rPr>
        <w:t>preprocesal</w:t>
      </w:r>
      <w:proofErr w:type="spellEnd"/>
      <w:r w:rsidRPr="00A852A8">
        <w:rPr>
          <w:rFonts w:ascii="Verdana" w:hAnsi="Verdana"/>
          <w:sz w:val="16"/>
          <w:szCs w:val="16"/>
        </w:rPr>
        <w:t xml:space="preserve"> restrictiva de la libertad con fines investigativos, en el marco regulatorio de la investigación penal en México. Al respecto, señaló que dicha figura y su regulación normativa “contenían cláusulas que, per se, son contrarias a varios derechos establecidos en la Convención Americana, a saber: el derecho a no ser privado de la libertad arbitrariamente (art. 7.3), al control judicial de la privación de la libertad y la razonabilidad del plazo de la prisión preventiva (art. 7.5), a ser oído (art. 8.1), a la presunción de inocencia (art. 8.2) y a no declarar contra sí mismo (art.8.</w:t>
      </w:r>
      <w:proofErr w:type="gramStart"/>
      <w:r w:rsidRPr="00A852A8">
        <w:rPr>
          <w:rFonts w:ascii="Verdana" w:hAnsi="Verdana"/>
          <w:sz w:val="16"/>
          <w:szCs w:val="16"/>
        </w:rPr>
        <w:t>2.g</w:t>
      </w:r>
      <w:proofErr w:type="gramEnd"/>
      <w:r w:rsidRPr="00A852A8">
        <w:rPr>
          <w:rFonts w:ascii="Verdana" w:hAnsi="Verdana"/>
          <w:sz w:val="16"/>
          <w:szCs w:val="16"/>
        </w:rPr>
        <w:t xml:space="preserve">)”. </w:t>
      </w:r>
      <w:r w:rsidRPr="00A852A8">
        <w:rPr>
          <w:rFonts w:ascii="Verdana" w:hAnsi="Verdana"/>
          <w:i/>
          <w:sz w:val="16"/>
          <w:szCs w:val="16"/>
        </w:rPr>
        <w:t xml:space="preserve">Cfr. </w:t>
      </w:r>
      <w:r w:rsidRPr="00A852A8">
        <w:rPr>
          <w:rFonts w:ascii="Verdana" w:hAnsi="Verdana"/>
          <w:bCs/>
          <w:i/>
          <w:sz w:val="16"/>
          <w:szCs w:val="16"/>
        </w:rPr>
        <w:t xml:space="preserve">Caso </w:t>
      </w:r>
      <w:proofErr w:type="spellStart"/>
      <w:r w:rsidRPr="00A852A8">
        <w:rPr>
          <w:rFonts w:ascii="Verdana" w:hAnsi="Verdana"/>
          <w:bCs/>
          <w:i/>
          <w:sz w:val="16"/>
          <w:szCs w:val="16"/>
        </w:rPr>
        <w:t>Tzompaxtle</w:t>
      </w:r>
      <w:proofErr w:type="spellEnd"/>
      <w:r w:rsidRPr="00A852A8">
        <w:rPr>
          <w:rFonts w:ascii="Verdana" w:hAnsi="Verdana"/>
          <w:bCs/>
          <w:i/>
          <w:sz w:val="16"/>
          <w:szCs w:val="16"/>
        </w:rPr>
        <w:t xml:space="preserve"> </w:t>
      </w:r>
      <w:proofErr w:type="spellStart"/>
      <w:r w:rsidRPr="00A852A8">
        <w:rPr>
          <w:rFonts w:ascii="Verdana" w:hAnsi="Verdana"/>
          <w:bCs/>
          <w:i/>
          <w:sz w:val="16"/>
          <w:szCs w:val="16"/>
        </w:rPr>
        <w:t>Tecpile</w:t>
      </w:r>
      <w:proofErr w:type="spellEnd"/>
      <w:r w:rsidRPr="00A852A8">
        <w:rPr>
          <w:rFonts w:ascii="Verdana" w:hAnsi="Verdana"/>
          <w:bCs/>
          <w:i/>
          <w:sz w:val="16"/>
          <w:szCs w:val="16"/>
        </w:rPr>
        <w:t xml:space="preserve"> y otros Vs. México. Excepción Preliminar, Fondo, Reparaciones y Costas</w:t>
      </w:r>
      <w:r w:rsidRPr="00A852A8">
        <w:rPr>
          <w:rFonts w:ascii="Verdana" w:hAnsi="Verdana"/>
          <w:i/>
          <w:sz w:val="16"/>
          <w:szCs w:val="16"/>
        </w:rPr>
        <w:t xml:space="preserve">. </w:t>
      </w:r>
      <w:r w:rsidRPr="00A852A8">
        <w:rPr>
          <w:rFonts w:ascii="Verdana" w:hAnsi="Verdana"/>
          <w:sz w:val="16"/>
          <w:szCs w:val="16"/>
        </w:rPr>
        <w:t xml:space="preserve">Sentencia de 7 de noviembre de 2022. Serie C No. 470, párr. 157; y </w:t>
      </w:r>
      <w:r w:rsidRPr="00A852A8">
        <w:rPr>
          <w:rFonts w:ascii="Verdana" w:hAnsi="Verdana"/>
          <w:bCs/>
          <w:i/>
          <w:sz w:val="16"/>
          <w:szCs w:val="16"/>
        </w:rPr>
        <w:t>Caso García Rodríguez y otro Vs. México. Excepciones Preliminares, Fondo, Reparaciones y Costas</w:t>
      </w:r>
      <w:r w:rsidRPr="00A852A8">
        <w:rPr>
          <w:rFonts w:ascii="Verdana" w:hAnsi="Verdana"/>
          <w:sz w:val="16"/>
          <w:szCs w:val="16"/>
        </w:rPr>
        <w:t>. Sentencia de 25 de enero de 2023. Serie C No. 482, párr. 151.</w:t>
      </w:r>
    </w:p>
  </w:footnote>
  <w:footnote w:id="9">
    <w:p w14:paraId="1F63C861" w14:textId="77777777" w:rsidR="007E0AEE" w:rsidRPr="00A852A8" w:rsidRDefault="007E0AEE" w:rsidP="0079249C">
      <w:pPr>
        <w:pStyle w:val="Textonotapie"/>
        <w:tabs>
          <w:tab w:val="left" w:pos="567"/>
          <w:tab w:val="left" w:pos="709"/>
        </w:tabs>
        <w:spacing w:before="120" w:after="120"/>
        <w:ind w:right="615"/>
        <w:jc w:val="both"/>
        <w:rPr>
          <w:rFonts w:ascii="Verdana" w:hAnsi="Verdana"/>
          <w:color w:val="000000"/>
          <w:sz w:val="16"/>
          <w:szCs w:val="16"/>
        </w:rPr>
      </w:pPr>
      <w:r w:rsidRPr="00A852A8">
        <w:rPr>
          <w:rStyle w:val="Refdenotaalpie"/>
          <w:rFonts w:ascii="Verdana" w:hAnsi="Verdana"/>
          <w:sz w:val="16"/>
          <w:szCs w:val="16"/>
        </w:rPr>
        <w:footnoteRef/>
      </w:r>
      <w:r w:rsidRPr="00A852A8">
        <w:rPr>
          <w:rFonts w:ascii="Verdana" w:hAnsi="Verdana"/>
          <w:sz w:val="16"/>
          <w:szCs w:val="16"/>
        </w:rPr>
        <w:t xml:space="preserve"> </w:t>
      </w:r>
      <w:r w:rsidRPr="00A852A8">
        <w:rPr>
          <w:rFonts w:ascii="Verdana" w:hAnsi="Verdana"/>
          <w:sz w:val="16"/>
          <w:szCs w:val="16"/>
        </w:rPr>
        <w:tab/>
      </w:r>
      <w:r w:rsidRPr="00A852A8">
        <w:rPr>
          <w:rFonts w:ascii="Verdana" w:hAnsi="Verdana"/>
          <w:i/>
          <w:color w:val="000000"/>
          <w:sz w:val="16"/>
          <w:szCs w:val="16"/>
        </w:rPr>
        <w:t xml:space="preserve">Cfr. </w:t>
      </w:r>
      <w:r w:rsidRPr="00A852A8">
        <w:rPr>
          <w:rFonts w:ascii="Verdana" w:hAnsi="Verdana"/>
          <w:bCs/>
          <w:i/>
          <w:color w:val="000000"/>
          <w:sz w:val="16"/>
          <w:szCs w:val="16"/>
        </w:rPr>
        <w:t>Caso Genie Lacayo Vs. Nicaragua. Excepciones Preliminares</w:t>
      </w:r>
      <w:r w:rsidRPr="00A852A8">
        <w:rPr>
          <w:rFonts w:ascii="Verdana" w:hAnsi="Verdana"/>
          <w:bCs/>
          <w:color w:val="000000"/>
          <w:sz w:val="16"/>
          <w:szCs w:val="16"/>
        </w:rPr>
        <w:t>.</w:t>
      </w:r>
      <w:r w:rsidRPr="00A852A8">
        <w:rPr>
          <w:rFonts w:ascii="Verdana" w:hAnsi="Verdana"/>
          <w:color w:val="000000"/>
          <w:sz w:val="16"/>
          <w:szCs w:val="16"/>
        </w:rPr>
        <w:t xml:space="preserve"> Sentencia de 27 de enero de 1995. Serie C No. 21, párr. 50; </w:t>
      </w:r>
      <w:r w:rsidRPr="00A852A8">
        <w:rPr>
          <w:rFonts w:ascii="Verdana" w:hAnsi="Verdana"/>
          <w:bCs/>
          <w:i/>
          <w:color w:val="000000"/>
          <w:sz w:val="16"/>
          <w:szCs w:val="16"/>
        </w:rPr>
        <w:t>Caso Reverón Trujillo Vs. Venezuela. Excepción Preliminar, Fondo, Reparaciones y Costas</w:t>
      </w:r>
      <w:r w:rsidRPr="00A852A8">
        <w:rPr>
          <w:rFonts w:ascii="Verdana" w:hAnsi="Verdana"/>
          <w:bCs/>
          <w:color w:val="000000"/>
          <w:sz w:val="16"/>
          <w:szCs w:val="16"/>
        </w:rPr>
        <w:t xml:space="preserve">. </w:t>
      </w:r>
      <w:r w:rsidRPr="00A852A8">
        <w:rPr>
          <w:rFonts w:ascii="Verdana" w:hAnsi="Verdana"/>
          <w:color w:val="000000"/>
          <w:sz w:val="16"/>
          <w:szCs w:val="16"/>
        </w:rPr>
        <w:t xml:space="preserve">Sentencia de 30 de junio de 2009. Serie C No. 197, nota al pie 158; </w:t>
      </w:r>
      <w:r w:rsidRPr="00A852A8">
        <w:rPr>
          <w:rFonts w:ascii="Verdana" w:hAnsi="Verdana"/>
          <w:bCs/>
          <w:i/>
          <w:color w:val="000000"/>
          <w:sz w:val="16"/>
          <w:szCs w:val="16"/>
        </w:rPr>
        <w:t xml:space="preserve">Caso </w:t>
      </w:r>
      <w:proofErr w:type="spellStart"/>
      <w:r w:rsidRPr="00A852A8">
        <w:rPr>
          <w:rFonts w:ascii="Verdana" w:hAnsi="Verdana"/>
          <w:bCs/>
          <w:i/>
          <w:color w:val="000000"/>
          <w:sz w:val="16"/>
          <w:szCs w:val="16"/>
        </w:rPr>
        <w:t>Usón</w:t>
      </w:r>
      <w:proofErr w:type="spellEnd"/>
      <w:r w:rsidRPr="00A852A8">
        <w:rPr>
          <w:rFonts w:ascii="Verdana" w:hAnsi="Verdana"/>
          <w:bCs/>
          <w:i/>
          <w:color w:val="000000"/>
          <w:sz w:val="16"/>
          <w:szCs w:val="16"/>
        </w:rPr>
        <w:t xml:space="preserve"> Ramírez Vs. Venezuela. Excepción Preliminar, Fondo, Reparaciones y Costas</w:t>
      </w:r>
      <w:r w:rsidRPr="00A852A8">
        <w:rPr>
          <w:rFonts w:ascii="Verdana" w:hAnsi="Verdana"/>
          <w:bCs/>
          <w:color w:val="000000"/>
          <w:sz w:val="16"/>
          <w:szCs w:val="16"/>
        </w:rPr>
        <w:t>.</w:t>
      </w:r>
      <w:r w:rsidRPr="00A852A8">
        <w:rPr>
          <w:rFonts w:ascii="Verdana" w:hAnsi="Verdana"/>
          <w:color w:val="000000"/>
          <w:sz w:val="16"/>
          <w:szCs w:val="16"/>
        </w:rPr>
        <w:t xml:space="preserve"> Sentencia de 20 de noviembre de 2009. Serie C No. 207, párr. 154, </w:t>
      </w:r>
      <w:r w:rsidRPr="00A852A8">
        <w:rPr>
          <w:rFonts w:ascii="Verdana" w:hAnsi="Verdana"/>
          <w:bCs/>
          <w:i/>
          <w:color w:val="000000"/>
          <w:sz w:val="16"/>
          <w:szCs w:val="16"/>
        </w:rPr>
        <w:t>Caso Cepeda Vargas Vs. Colombia. Excepciones Preliminares, Fondo, Reparaciones y Costas</w:t>
      </w:r>
      <w:r w:rsidRPr="00A852A8">
        <w:rPr>
          <w:rFonts w:ascii="Verdana" w:hAnsi="Verdana"/>
          <w:color w:val="000000"/>
          <w:sz w:val="16"/>
          <w:szCs w:val="16"/>
        </w:rPr>
        <w:t xml:space="preserve">. Sentencia de 26 de mayo de 2010. Serie C No. 213, párr.51, </w:t>
      </w:r>
      <w:r w:rsidRPr="00A852A8">
        <w:rPr>
          <w:rFonts w:ascii="Verdana" w:hAnsi="Verdana"/>
          <w:bCs/>
          <w:i/>
          <w:color w:val="000000"/>
          <w:sz w:val="16"/>
          <w:szCs w:val="16"/>
        </w:rPr>
        <w:t>Caso Contreras y otros Vs. El Salvador. Fondo, Reparaciones y Costas</w:t>
      </w:r>
      <w:r w:rsidRPr="00A852A8">
        <w:rPr>
          <w:rFonts w:ascii="Verdana" w:hAnsi="Verdana"/>
          <w:color w:val="000000"/>
          <w:sz w:val="16"/>
          <w:szCs w:val="16"/>
        </w:rPr>
        <w:t xml:space="preserve">. Sentencia de 31 de agosto de 2011. Serie C No. 232, párr. 172, entre otros. </w:t>
      </w:r>
    </w:p>
  </w:footnote>
  <w:footnote w:id="10">
    <w:p w14:paraId="520B0109" w14:textId="77777777" w:rsidR="00B050A4" w:rsidRPr="00A852A8" w:rsidRDefault="00B050A4" w:rsidP="0079249C">
      <w:pPr>
        <w:pStyle w:val="Textonotapie"/>
        <w:tabs>
          <w:tab w:val="left" w:pos="567"/>
          <w:tab w:val="left" w:pos="709"/>
        </w:tabs>
        <w:spacing w:before="120" w:after="120"/>
        <w:ind w:right="615"/>
        <w:jc w:val="both"/>
        <w:rPr>
          <w:rFonts w:ascii="Verdana" w:hAnsi="Verdana"/>
          <w:sz w:val="16"/>
          <w:szCs w:val="16"/>
        </w:rPr>
      </w:pPr>
      <w:r w:rsidRPr="00A852A8">
        <w:rPr>
          <w:rStyle w:val="Refdenotaalpie"/>
          <w:rFonts w:ascii="Verdana" w:hAnsi="Verdana"/>
          <w:sz w:val="16"/>
          <w:szCs w:val="16"/>
        </w:rPr>
        <w:footnoteRef/>
      </w:r>
      <w:r w:rsidRPr="00A852A8">
        <w:rPr>
          <w:rFonts w:ascii="Verdana" w:hAnsi="Verdana"/>
          <w:sz w:val="16"/>
          <w:szCs w:val="16"/>
        </w:rPr>
        <w:t xml:space="preserve"> </w:t>
      </w:r>
      <w:r w:rsidRPr="00A852A8">
        <w:rPr>
          <w:rFonts w:ascii="Verdana" w:hAnsi="Verdana"/>
          <w:sz w:val="16"/>
          <w:szCs w:val="16"/>
        </w:rPr>
        <w:tab/>
      </w:r>
      <w:r w:rsidRPr="00A852A8">
        <w:rPr>
          <w:rFonts w:ascii="Verdana" w:hAnsi="Verdana"/>
          <w:i/>
          <w:sz w:val="16"/>
          <w:szCs w:val="16"/>
        </w:rPr>
        <w:t>Cfr</w:t>
      </w:r>
      <w:r w:rsidRPr="00A852A8">
        <w:rPr>
          <w:rFonts w:ascii="Verdana" w:hAnsi="Verdana"/>
          <w:sz w:val="16"/>
          <w:szCs w:val="16"/>
        </w:rPr>
        <w:t xml:space="preserve">. </w:t>
      </w:r>
      <w:r w:rsidRPr="00A852A8">
        <w:rPr>
          <w:rFonts w:ascii="Verdana" w:hAnsi="Verdana"/>
          <w:bCs/>
          <w:i/>
          <w:sz w:val="16"/>
          <w:szCs w:val="16"/>
        </w:rPr>
        <w:t>Caso Cabrera García y Montiel Flores Vs. México. Excepción Preliminar, Fondo, Reparaciones y Costas</w:t>
      </w:r>
      <w:r w:rsidRPr="00A852A8">
        <w:rPr>
          <w:rFonts w:ascii="Verdana" w:hAnsi="Verdana"/>
          <w:bCs/>
          <w:sz w:val="16"/>
          <w:szCs w:val="16"/>
        </w:rPr>
        <w:t>.</w:t>
      </w:r>
      <w:r w:rsidRPr="00A852A8">
        <w:rPr>
          <w:rFonts w:ascii="Verdana" w:hAnsi="Verdana"/>
          <w:sz w:val="16"/>
          <w:szCs w:val="16"/>
        </w:rPr>
        <w:t xml:space="preserve"> Sentencia de 26 de noviembre de 2010. Serie C No. 220, párr. 207.</w:t>
      </w:r>
    </w:p>
  </w:footnote>
  <w:footnote w:id="11">
    <w:p w14:paraId="0B33A145" w14:textId="77777777" w:rsidR="007E0AEE" w:rsidRPr="00A852A8" w:rsidRDefault="007E0AEE" w:rsidP="0079249C">
      <w:pPr>
        <w:pStyle w:val="Textonotapie"/>
        <w:tabs>
          <w:tab w:val="left" w:pos="567"/>
          <w:tab w:val="left" w:pos="709"/>
        </w:tabs>
        <w:spacing w:before="120" w:after="120"/>
        <w:ind w:right="615"/>
        <w:jc w:val="both"/>
        <w:rPr>
          <w:rFonts w:ascii="Verdana" w:hAnsi="Verdana"/>
          <w:sz w:val="16"/>
          <w:szCs w:val="16"/>
        </w:rPr>
      </w:pPr>
      <w:r w:rsidRPr="00A852A8">
        <w:rPr>
          <w:rStyle w:val="Refdenotaalpie"/>
          <w:rFonts w:ascii="Verdana" w:hAnsi="Verdana"/>
          <w:sz w:val="16"/>
          <w:szCs w:val="16"/>
        </w:rPr>
        <w:footnoteRef/>
      </w:r>
      <w:r w:rsidRPr="00A852A8">
        <w:rPr>
          <w:rFonts w:ascii="Verdana" w:hAnsi="Verdana"/>
          <w:sz w:val="16"/>
          <w:szCs w:val="16"/>
        </w:rPr>
        <w:t xml:space="preserve"> </w:t>
      </w:r>
      <w:r w:rsidRPr="00A852A8">
        <w:rPr>
          <w:rFonts w:ascii="Verdana" w:hAnsi="Verdana"/>
          <w:sz w:val="16"/>
          <w:szCs w:val="16"/>
        </w:rPr>
        <w:tab/>
      </w:r>
      <w:r w:rsidRPr="00A852A8">
        <w:rPr>
          <w:rFonts w:ascii="Verdana" w:hAnsi="Verdana"/>
          <w:i/>
          <w:color w:val="000000"/>
          <w:sz w:val="16"/>
          <w:szCs w:val="16"/>
        </w:rPr>
        <w:t xml:space="preserve">Cfr. </w:t>
      </w:r>
      <w:r w:rsidRPr="00A852A8">
        <w:rPr>
          <w:rFonts w:ascii="Verdana" w:hAnsi="Verdana"/>
          <w:bCs/>
          <w:i/>
          <w:color w:val="000000"/>
          <w:sz w:val="16"/>
          <w:szCs w:val="16"/>
        </w:rPr>
        <w:t>Caso Radilla Pacheco Vs. México. Excepciones Preliminares, Fondo, Reparaciones y Costas</w:t>
      </w:r>
      <w:r w:rsidRPr="00A852A8">
        <w:rPr>
          <w:rFonts w:ascii="Verdana" w:hAnsi="Verdana"/>
          <w:color w:val="000000"/>
          <w:sz w:val="16"/>
          <w:szCs w:val="16"/>
        </w:rPr>
        <w:t xml:space="preserve">. Sentencia de 23 de noviembre de 2009. Serie C No. 209, </w:t>
      </w:r>
      <w:proofErr w:type="spellStart"/>
      <w:r w:rsidRPr="00A852A8">
        <w:rPr>
          <w:rFonts w:ascii="Verdana" w:hAnsi="Verdana"/>
          <w:color w:val="000000"/>
          <w:sz w:val="16"/>
          <w:szCs w:val="16"/>
        </w:rPr>
        <w:t>párrs</w:t>
      </w:r>
      <w:proofErr w:type="spellEnd"/>
      <w:r w:rsidRPr="00A852A8">
        <w:rPr>
          <w:rFonts w:ascii="Verdana" w:hAnsi="Verdana"/>
          <w:color w:val="000000"/>
          <w:sz w:val="16"/>
          <w:szCs w:val="16"/>
        </w:rPr>
        <w:t xml:space="preserve">. 283 a 289; </w:t>
      </w:r>
      <w:r w:rsidRPr="00A852A8">
        <w:rPr>
          <w:rFonts w:ascii="Verdana" w:hAnsi="Verdana"/>
          <w:bCs/>
          <w:i/>
          <w:color w:val="000000"/>
          <w:sz w:val="16"/>
          <w:szCs w:val="16"/>
        </w:rPr>
        <w:t>Caso Fernández Ortega y otros Vs. México. Excepción Preliminar, Fondo, Reparaciones y Costas</w:t>
      </w:r>
      <w:r w:rsidRPr="00A852A8">
        <w:rPr>
          <w:rFonts w:ascii="Verdana" w:hAnsi="Verdana"/>
          <w:bCs/>
          <w:color w:val="000000"/>
          <w:sz w:val="16"/>
          <w:szCs w:val="16"/>
        </w:rPr>
        <w:t>.</w:t>
      </w:r>
      <w:r w:rsidRPr="00A852A8">
        <w:rPr>
          <w:rFonts w:ascii="Verdana" w:hAnsi="Verdana"/>
          <w:color w:val="000000"/>
          <w:sz w:val="16"/>
          <w:szCs w:val="16"/>
        </w:rPr>
        <w:t xml:space="preserve"> Sentencia de 30 de agosto de 2010. Serie C No. 215, </w:t>
      </w:r>
      <w:proofErr w:type="spellStart"/>
      <w:r w:rsidRPr="00A852A8">
        <w:rPr>
          <w:rFonts w:ascii="Verdana" w:hAnsi="Verdana"/>
          <w:color w:val="000000"/>
          <w:sz w:val="16"/>
          <w:szCs w:val="16"/>
        </w:rPr>
        <w:t>párrs</w:t>
      </w:r>
      <w:proofErr w:type="spellEnd"/>
      <w:r w:rsidRPr="00A852A8">
        <w:rPr>
          <w:rFonts w:ascii="Verdana" w:hAnsi="Verdana"/>
          <w:color w:val="000000"/>
          <w:sz w:val="16"/>
          <w:szCs w:val="16"/>
        </w:rPr>
        <w:t xml:space="preserve">. 178 y 179; </w:t>
      </w:r>
      <w:r w:rsidRPr="00A852A8">
        <w:rPr>
          <w:rFonts w:ascii="Verdana" w:hAnsi="Verdana"/>
          <w:bCs/>
          <w:i/>
          <w:color w:val="000000"/>
          <w:sz w:val="16"/>
          <w:szCs w:val="16"/>
        </w:rPr>
        <w:t>Caso Rosendo Cantú y otra Vs. México. Excepción Preliminar, Fondo, Reparaciones y Costas</w:t>
      </w:r>
      <w:r w:rsidRPr="00A852A8">
        <w:rPr>
          <w:rFonts w:ascii="Verdana" w:hAnsi="Verdana"/>
          <w:color w:val="000000"/>
          <w:sz w:val="16"/>
          <w:szCs w:val="16"/>
        </w:rPr>
        <w:t xml:space="preserve">. Sentencia de 31 de agosto de 2010. Serie C No. 216, </w:t>
      </w:r>
      <w:proofErr w:type="spellStart"/>
      <w:r w:rsidRPr="00A852A8">
        <w:rPr>
          <w:rFonts w:ascii="Verdana" w:hAnsi="Verdana"/>
          <w:color w:val="000000"/>
          <w:sz w:val="16"/>
          <w:szCs w:val="16"/>
        </w:rPr>
        <w:t>párrs</w:t>
      </w:r>
      <w:proofErr w:type="spellEnd"/>
      <w:r w:rsidRPr="00A852A8">
        <w:rPr>
          <w:rFonts w:ascii="Verdana" w:hAnsi="Verdana"/>
          <w:color w:val="000000"/>
          <w:sz w:val="16"/>
          <w:szCs w:val="16"/>
        </w:rPr>
        <w:t>.</w:t>
      </w:r>
      <w:r w:rsidRPr="00A852A8">
        <w:rPr>
          <w:rFonts w:ascii="Verdana" w:hAnsi="Verdana"/>
          <w:i/>
          <w:color w:val="000000"/>
          <w:sz w:val="16"/>
          <w:szCs w:val="16"/>
        </w:rPr>
        <w:t xml:space="preserve"> </w:t>
      </w:r>
      <w:r w:rsidRPr="00A852A8">
        <w:rPr>
          <w:rFonts w:ascii="Verdana" w:hAnsi="Verdana"/>
          <w:color w:val="000000"/>
          <w:sz w:val="16"/>
          <w:szCs w:val="16"/>
        </w:rPr>
        <w:t xml:space="preserve">162 y 163; </w:t>
      </w:r>
      <w:r w:rsidRPr="00A852A8">
        <w:rPr>
          <w:rFonts w:ascii="Verdana" w:hAnsi="Verdana"/>
          <w:bCs/>
          <w:i/>
          <w:sz w:val="16"/>
          <w:szCs w:val="16"/>
        </w:rPr>
        <w:t>Caso Cabrera García y Montiel Flores Vs. México. Excepción Preliminar, Fondo, Reparaciones y Costas</w:t>
      </w:r>
      <w:r w:rsidRPr="00A852A8">
        <w:rPr>
          <w:rFonts w:ascii="Verdana" w:hAnsi="Verdana"/>
          <w:sz w:val="16"/>
          <w:szCs w:val="16"/>
        </w:rPr>
        <w:t>. Sentencia de 26 de noviembre de 2010. Serie C No. 220, párr. 206, entre otros.</w:t>
      </w:r>
    </w:p>
  </w:footnote>
  <w:footnote w:id="12">
    <w:p w14:paraId="56BE963A" w14:textId="77777777" w:rsidR="007E0AEE" w:rsidRPr="00A852A8" w:rsidRDefault="007E0AEE" w:rsidP="0079249C">
      <w:pPr>
        <w:pStyle w:val="Textonotapie"/>
        <w:tabs>
          <w:tab w:val="left" w:pos="567"/>
          <w:tab w:val="left" w:pos="709"/>
        </w:tabs>
        <w:spacing w:before="120" w:after="120"/>
        <w:ind w:right="615"/>
        <w:jc w:val="both"/>
        <w:rPr>
          <w:rFonts w:ascii="Verdana" w:hAnsi="Verdana"/>
          <w:color w:val="000000"/>
          <w:sz w:val="16"/>
          <w:szCs w:val="16"/>
        </w:rPr>
      </w:pPr>
      <w:r w:rsidRPr="00A852A8">
        <w:rPr>
          <w:rStyle w:val="Refdenotaalpie"/>
          <w:rFonts w:ascii="Verdana" w:hAnsi="Verdana"/>
          <w:sz w:val="16"/>
          <w:szCs w:val="16"/>
        </w:rPr>
        <w:footnoteRef/>
      </w:r>
      <w:r w:rsidRPr="00A852A8">
        <w:rPr>
          <w:rFonts w:ascii="Verdana" w:hAnsi="Verdana"/>
          <w:sz w:val="16"/>
          <w:szCs w:val="16"/>
        </w:rPr>
        <w:t xml:space="preserve"> </w:t>
      </w:r>
      <w:r w:rsidRPr="00A852A8">
        <w:rPr>
          <w:rFonts w:ascii="Verdana" w:hAnsi="Verdana"/>
          <w:sz w:val="16"/>
          <w:szCs w:val="16"/>
        </w:rPr>
        <w:tab/>
      </w:r>
      <w:r w:rsidRPr="00A852A8">
        <w:rPr>
          <w:rFonts w:ascii="Verdana" w:hAnsi="Verdana"/>
          <w:i/>
          <w:color w:val="000000"/>
          <w:sz w:val="16"/>
          <w:szCs w:val="16"/>
        </w:rPr>
        <w:t>Cfr.</w:t>
      </w:r>
      <w:r w:rsidRPr="00A852A8">
        <w:rPr>
          <w:rFonts w:ascii="Verdana" w:hAnsi="Verdana"/>
          <w:sz w:val="16"/>
          <w:szCs w:val="16"/>
        </w:rPr>
        <w:t xml:space="preserve"> </w:t>
      </w:r>
      <w:r w:rsidRPr="00A852A8">
        <w:rPr>
          <w:rFonts w:ascii="Verdana" w:hAnsi="Verdana"/>
          <w:bCs/>
          <w:i/>
          <w:color w:val="000000"/>
          <w:sz w:val="16"/>
          <w:szCs w:val="16"/>
        </w:rPr>
        <w:t xml:space="preserve">Caso </w:t>
      </w:r>
      <w:proofErr w:type="spellStart"/>
      <w:r w:rsidRPr="00A852A8">
        <w:rPr>
          <w:rFonts w:ascii="Verdana" w:hAnsi="Verdana"/>
          <w:bCs/>
          <w:i/>
          <w:color w:val="000000"/>
          <w:sz w:val="16"/>
          <w:szCs w:val="16"/>
        </w:rPr>
        <w:t>Kimel</w:t>
      </w:r>
      <w:proofErr w:type="spellEnd"/>
      <w:r w:rsidRPr="00A852A8">
        <w:rPr>
          <w:rFonts w:ascii="Verdana" w:hAnsi="Verdana"/>
          <w:bCs/>
          <w:i/>
          <w:color w:val="000000"/>
          <w:sz w:val="16"/>
          <w:szCs w:val="16"/>
        </w:rPr>
        <w:t xml:space="preserve"> Vs. Argentina. Fondo, Reparaciones y Costas</w:t>
      </w:r>
      <w:r w:rsidRPr="00A852A8">
        <w:rPr>
          <w:rFonts w:ascii="Verdana" w:hAnsi="Verdana"/>
          <w:i/>
          <w:color w:val="000000"/>
          <w:sz w:val="16"/>
          <w:szCs w:val="16"/>
        </w:rPr>
        <w:t xml:space="preserve">. </w:t>
      </w:r>
      <w:r w:rsidRPr="00A852A8">
        <w:rPr>
          <w:rFonts w:ascii="Verdana" w:hAnsi="Verdana"/>
          <w:color w:val="000000"/>
          <w:sz w:val="16"/>
          <w:szCs w:val="16"/>
        </w:rPr>
        <w:t xml:space="preserve">Sentencia de 2 de mayo de 2008. Serie C No. 177, </w:t>
      </w:r>
      <w:proofErr w:type="spellStart"/>
      <w:r w:rsidRPr="00A852A8">
        <w:rPr>
          <w:rFonts w:ascii="Verdana" w:hAnsi="Verdana"/>
          <w:color w:val="000000"/>
          <w:sz w:val="16"/>
          <w:szCs w:val="16"/>
        </w:rPr>
        <w:t>párrs</w:t>
      </w:r>
      <w:proofErr w:type="spellEnd"/>
      <w:r w:rsidRPr="00A852A8">
        <w:rPr>
          <w:rFonts w:ascii="Verdana" w:hAnsi="Verdana"/>
          <w:color w:val="000000"/>
          <w:sz w:val="16"/>
          <w:szCs w:val="16"/>
        </w:rPr>
        <w:t>. 66 y 67.</w:t>
      </w:r>
    </w:p>
  </w:footnote>
  <w:footnote w:id="13">
    <w:p w14:paraId="689617D1" w14:textId="77777777" w:rsidR="007E0AEE" w:rsidRPr="00A852A8" w:rsidRDefault="007E0AEE" w:rsidP="0079249C">
      <w:pPr>
        <w:pStyle w:val="Textonotapie"/>
        <w:tabs>
          <w:tab w:val="left" w:pos="567"/>
          <w:tab w:val="left" w:pos="709"/>
        </w:tabs>
        <w:spacing w:before="120" w:after="120"/>
        <w:ind w:right="615"/>
        <w:jc w:val="both"/>
        <w:rPr>
          <w:rFonts w:ascii="Verdana" w:hAnsi="Verdana"/>
          <w:color w:val="000000"/>
          <w:sz w:val="16"/>
          <w:szCs w:val="16"/>
        </w:rPr>
      </w:pPr>
      <w:r w:rsidRPr="00A852A8">
        <w:rPr>
          <w:rStyle w:val="Refdenotaalpie"/>
          <w:rFonts w:ascii="Verdana" w:hAnsi="Verdana"/>
          <w:sz w:val="16"/>
          <w:szCs w:val="16"/>
        </w:rPr>
        <w:footnoteRef/>
      </w:r>
      <w:r w:rsidRPr="00A852A8">
        <w:rPr>
          <w:rFonts w:ascii="Verdana" w:hAnsi="Verdana"/>
          <w:sz w:val="16"/>
          <w:szCs w:val="16"/>
        </w:rPr>
        <w:t xml:space="preserve"> </w:t>
      </w:r>
      <w:r w:rsidRPr="00A852A8">
        <w:rPr>
          <w:rFonts w:ascii="Verdana" w:hAnsi="Verdana"/>
          <w:sz w:val="16"/>
          <w:szCs w:val="16"/>
        </w:rPr>
        <w:tab/>
      </w:r>
      <w:r w:rsidRPr="00A852A8">
        <w:rPr>
          <w:rFonts w:ascii="Verdana" w:hAnsi="Verdana"/>
          <w:i/>
          <w:color w:val="000000"/>
          <w:sz w:val="16"/>
          <w:szCs w:val="16"/>
        </w:rPr>
        <w:t xml:space="preserve">Cfr. </w:t>
      </w:r>
      <w:r w:rsidRPr="00A852A8">
        <w:rPr>
          <w:rFonts w:ascii="Verdana" w:hAnsi="Verdana"/>
          <w:color w:val="000000"/>
          <w:sz w:val="16"/>
          <w:szCs w:val="16"/>
        </w:rPr>
        <w:t xml:space="preserve"> </w:t>
      </w:r>
      <w:r w:rsidRPr="00A852A8">
        <w:rPr>
          <w:rFonts w:ascii="Verdana" w:hAnsi="Verdana"/>
          <w:bCs/>
          <w:i/>
          <w:color w:val="000000"/>
          <w:sz w:val="16"/>
          <w:szCs w:val="16"/>
        </w:rPr>
        <w:t>Caso López Soto y otros Vs. Venezuela. Fondo, Reparaciones y Costas</w:t>
      </w:r>
      <w:r w:rsidRPr="00A852A8">
        <w:rPr>
          <w:rFonts w:ascii="Verdana" w:hAnsi="Verdana"/>
          <w:color w:val="000000"/>
          <w:sz w:val="16"/>
          <w:szCs w:val="16"/>
        </w:rPr>
        <w:t xml:space="preserve">. Sentencia de 26 de septiembre de 2018. Serie C No. 362, </w:t>
      </w:r>
      <w:proofErr w:type="spellStart"/>
      <w:r w:rsidRPr="00A852A8">
        <w:rPr>
          <w:rFonts w:ascii="Verdana" w:hAnsi="Verdana"/>
          <w:color w:val="000000"/>
          <w:sz w:val="16"/>
          <w:szCs w:val="16"/>
        </w:rPr>
        <w:t>párrs</w:t>
      </w:r>
      <w:proofErr w:type="spellEnd"/>
      <w:r w:rsidRPr="00A852A8">
        <w:rPr>
          <w:rFonts w:ascii="Verdana" w:hAnsi="Verdana"/>
          <w:color w:val="000000"/>
          <w:sz w:val="16"/>
          <w:szCs w:val="16"/>
        </w:rPr>
        <w:t xml:space="preserve">. 227 a 234. </w:t>
      </w:r>
    </w:p>
  </w:footnote>
  <w:footnote w:id="14">
    <w:p w14:paraId="611CAA94" w14:textId="77777777" w:rsidR="007E0AEE" w:rsidRPr="00A852A8" w:rsidRDefault="007E0AEE" w:rsidP="0079249C">
      <w:pPr>
        <w:pStyle w:val="Textonotapie"/>
        <w:tabs>
          <w:tab w:val="left" w:pos="567"/>
          <w:tab w:val="left" w:pos="709"/>
        </w:tabs>
        <w:spacing w:before="120" w:after="120"/>
        <w:ind w:right="615"/>
        <w:jc w:val="both"/>
        <w:rPr>
          <w:rFonts w:ascii="Verdana" w:hAnsi="Verdana"/>
          <w:sz w:val="16"/>
          <w:szCs w:val="16"/>
        </w:rPr>
      </w:pPr>
      <w:r w:rsidRPr="00A852A8">
        <w:rPr>
          <w:rStyle w:val="Refdenotaalpie"/>
          <w:rFonts w:ascii="Verdana" w:hAnsi="Verdana"/>
          <w:sz w:val="16"/>
          <w:szCs w:val="16"/>
        </w:rPr>
        <w:footnoteRef/>
      </w:r>
      <w:r w:rsidRPr="00A852A8">
        <w:rPr>
          <w:rFonts w:ascii="Verdana" w:hAnsi="Verdana"/>
          <w:sz w:val="16"/>
          <w:szCs w:val="16"/>
        </w:rPr>
        <w:t xml:space="preserve"> </w:t>
      </w:r>
      <w:r w:rsidRPr="00A852A8">
        <w:rPr>
          <w:rFonts w:ascii="Verdana" w:hAnsi="Verdana"/>
          <w:sz w:val="16"/>
          <w:szCs w:val="16"/>
        </w:rPr>
        <w:tab/>
      </w:r>
      <w:r w:rsidRPr="00A852A8">
        <w:rPr>
          <w:rFonts w:ascii="Verdana" w:hAnsi="Verdana"/>
          <w:i/>
          <w:sz w:val="16"/>
          <w:szCs w:val="16"/>
        </w:rPr>
        <w:t xml:space="preserve">Cfr. </w:t>
      </w:r>
      <w:r w:rsidRPr="00A852A8">
        <w:rPr>
          <w:rFonts w:ascii="Verdana" w:hAnsi="Verdana"/>
          <w:bCs/>
          <w:i/>
          <w:sz w:val="16"/>
          <w:szCs w:val="16"/>
        </w:rPr>
        <w:t xml:space="preserve">Caso </w:t>
      </w:r>
      <w:proofErr w:type="spellStart"/>
      <w:r w:rsidRPr="00A852A8">
        <w:rPr>
          <w:rFonts w:ascii="Verdana" w:hAnsi="Verdana"/>
          <w:bCs/>
          <w:i/>
          <w:sz w:val="16"/>
          <w:szCs w:val="16"/>
        </w:rPr>
        <w:t>Norín</w:t>
      </w:r>
      <w:proofErr w:type="spellEnd"/>
      <w:r w:rsidRPr="00A852A8">
        <w:rPr>
          <w:rFonts w:ascii="Verdana" w:hAnsi="Verdana"/>
          <w:bCs/>
          <w:i/>
          <w:sz w:val="16"/>
          <w:szCs w:val="16"/>
        </w:rPr>
        <w:t xml:space="preserve"> </w:t>
      </w:r>
      <w:proofErr w:type="spellStart"/>
      <w:r w:rsidRPr="00A852A8">
        <w:rPr>
          <w:rFonts w:ascii="Verdana" w:hAnsi="Verdana"/>
          <w:bCs/>
          <w:i/>
          <w:sz w:val="16"/>
          <w:szCs w:val="16"/>
        </w:rPr>
        <w:t>Catrimán</w:t>
      </w:r>
      <w:proofErr w:type="spellEnd"/>
      <w:r w:rsidRPr="00A852A8">
        <w:rPr>
          <w:rFonts w:ascii="Verdana" w:hAnsi="Verdana"/>
          <w:bCs/>
          <w:i/>
          <w:sz w:val="16"/>
          <w:szCs w:val="16"/>
        </w:rPr>
        <w:t xml:space="preserve"> y otros (Dirigentes, Miembros y Activista del Pueblo Indígena Mapuche) Vs. Chile. Fondo, Reparaciones y Costas</w:t>
      </w:r>
      <w:r w:rsidRPr="00A852A8">
        <w:rPr>
          <w:rFonts w:ascii="Verdana" w:hAnsi="Verdana"/>
          <w:sz w:val="16"/>
          <w:szCs w:val="16"/>
        </w:rPr>
        <w:t xml:space="preserve">. Sentencia de 29 de mayo de 2014. Serie C No. 279, </w:t>
      </w:r>
      <w:proofErr w:type="spellStart"/>
      <w:r w:rsidRPr="00A852A8">
        <w:rPr>
          <w:rFonts w:ascii="Verdana" w:hAnsi="Verdana"/>
          <w:sz w:val="16"/>
          <w:szCs w:val="16"/>
        </w:rPr>
        <w:t>párrs</w:t>
      </w:r>
      <w:proofErr w:type="spellEnd"/>
      <w:r w:rsidRPr="00A852A8">
        <w:rPr>
          <w:rFonts w:ascii="Verdana" w:hAnsi="Verdana"/>
          <w:sz w:val="16"/>
          <w:szCs w:val="16"/>
        </w:rPr>
        <w:t xml:space="preserve">. 173 y 174. </w:t>
      </w:r>
    </w:p>
  </w:footnote>
  <w:footnote w:id="15">
    <w:p w14:paraId="23C8E10F" w14:textId="77777777" w:rsidR="007E0AEE" w:rsidRPr="00A852A8" w:rsidRDefault="007E0AEE" w:rsidP="0079249C">
      <w:pPr>
        <w:pStyle w:val="Textonotapie"/>
        <w:tabs>
          <w:tab w:val="left" w:pos="567"/>
          <w:tab w:val="left" w:pos="709"/>
        </w:tabs>
        <w:spacing w:before="120" w:after="120"/>
        <w:ind w:right="615"/>
        <w:jc w:val="both"/>
        <w:rPr>
          <w:rFonts w:ascii="Verdana" w:hAnsi="Verdana"/>
          <w:sz w:val="16"/>
          <w:szCs w:val="16"/>
        </w:rPr>
      </w:pPr>
      <w:r w:rsidRPr="00A852A8">
        <w:rPr>
          <w:rStyle w:val="Refdenotaalpie"/>
          <w:rFonts w:ascii="Verdana" w:hAnsi="Verdana"/>
          <w:sz w:val="16"/>
          <w:szCs w:val="16"/>
        </w:rPr>
        <w:footnoteRef/>
      </w:r>
      <w:r w:rsidRPr="00A852A8">
        <w:rPr>
          <w:rFonts w:ascii="Verdana" w:hAnsi="Verdana"/>
          <w:sz w:val="16"/>
          <w:szCs w:val="16"/>
        </w:rPr>
        <w:t xml:space="preserve"> </w:t>
      </w:r>
      <w:r w:rsidRPr="00A852A8">
        <w:rPr>
          <w:rFonts w:ascii="Verdana" w:hAnsi="Verdana"/>
          <w:sz w:val="16"/>
          <w:szCs w:val="16"/>
        </w:rPr>
        <w:tab/>
      </w:r>
      <w:r w:rsidRPr="00A852A8">
        <w:rPr>
          <w:rFonts w:ascii="Verdana" w:hAnsi="Verdana"/>
          <w:i/>
          <w:sz w:val="16"/>
          <w:szCs w:val="16"/>
        </w:rPr>
        <w:t xml:space="preserve">Cfr. </w:t>
      </w:r>
      <w:r w:rsidRPr="00A852A8">
        <w:rPr>
          <w:rFonts w:ascii="Verdana" w:hAnsi="Verdana"/>
          <w:bCs/>
          <w:i/>
          <w:sz w:val="16"/>
          <w:szCs w:val="16"/>
        </w:rPr>
        <w:t>Caso Azul Rojas Marín y otra Vs. Perú. Excepciones Preliminares, Fondo, Reparaciones y Costas</w:t>
      </w:r>
      <w:r w:rsidRPr="00A852A8">
        <w:rPr>
          <w:rFonts w:ascii="Verdana" w:hAnsi="Verdana"/>
          <w:sz w:val="16"/>
          <w:szCs w:val="16"/>
        </w:rPr>
        <w:t xml:space="preserve">. Sentencia de 12 de marzo de 2020. Serie C No. 402, </w:t>
      </w:r>
      <w:proofErr w:type="spellStart"/>
      <w:r w:rsidRPr="00A852A8">
        <w:rPr>
          <w:rFonts w:ascii="Verdana" w:hAnsi="Verdana"/>
          <w:sz w:val="16"/>
          <w:szCs w:val="16"/>
        </w:rPr>
        <w:t>párrs</w:t>
      </w:r>
      <w:proofErr w:type="spellEnd"/>
      <w:r w:rsidRPr="00A852A8">
        <w:rPr>
          <w:rFonts w:ascii="Verdana" w:hAnsi="Verdana"/>
          <w:sz w:val="16"/>
          <w:szCs w:val="16"/>
        </w:rPr>
        <w:t>. 207 y 208.</w:t>
      </w:r>
    </w:p>
  </w:footnote>
  <w:footnote w:id="16">
    <w:p w14:paraId="6C6EC880" w14:textId="77777777" w:rsidR="007E0AEE" w:rsidRPr="00A852A8" w:rsidRDefault="007E0AEE" w:rsidP="0079249C">
      <w:pPr>
        <w:pStyle w:val="Textonotapie"/>
        <w:tabs>
          <w:tab w:val="left" w:pos="567"/>
          <w:tab w:val="left" w:pos="709"/>
        </w:tabs>
        <w:spacing w:before="120" w:after="120"/>
        <w:ind w:right="615"/>
        <w:jc w:val="both"/>
        <w:rPr>
          <w:rFonts w:ascii="Verdana" w:hAnsi="Verdana"/>
          <w:sz w:val="16"/>
          <w:szCs w:val="16"/>
        </w:rPr>
      </w:pPr>
      <w:r w:rsidRPr="00A852A8">
        <w:rPr>
          <w:rStyle w:val="Refdenotaalpie"/>
          <w:rFonts w:ascii="Verdana" w:hAnsi="Verdana"/>
          <w:sz w:val="16"/>
          <w:szCs w:val="16"/>
        </w:rPr>
        <w:footnoteRef/>
      </w:r>
      <w:r w:rsidRPr="00A852A8">
        <w:rPr>
          <w:rFonts w:ascii="Verdana" w:hAnsi="Verdana"/>
          <w:sz w:val="16"/>
          <w:szCs w:val="16"/>
        </w:rPr>
        <w:t xml:space="preserve"> </w:t>
      </w:r>
      <w:r w:rsidRPr="00A852A8">
        <w:rPr>
          <w:rFonts w:ascii="Verdana" w:hAnsi="Verdana"/>
          <w:sz w:val="16"/>
          <w:szCs w:val="16"/>
        </w:rPr>
        <w:tab/>
      </w:r>
      <w:r w:rsidRPr="00A852A8">
        <w:rPr>
          <w:rFonts w:ascii="Verdana" w:hAnsi="Verdana"/>
          <w:i/>
          <w:sz w:val="16"/>
          <w:szCs w:val="16"/>
        </w:rPr>
        <w:t xml:space="preserve">Cfr. </w:t>
      </w:r>
      <w:r w:rsidRPr="00A852A8">
        <w:rPr>
          <w:rFonts w:ascii="Verdana" w:hAnsi="Verdana"/>
          <w:bCs/>
          <w:i/>
          <w:sz w:val="16"/>
          <w:szCs w:val="16"/>
        </w:rPr>
        <w:t>Caso Maldonado Ordóñez Vs. Guatemala. Excepción Preliminar, Fondo, Reparaciones y Costas</w:t>
      </w:r>
      <w:r w:rsidRPr="00A852A8">
        <w:rPr>
          <w:rFonts w:ascii="Verdana" w:hAnsi="Verdana"/>
          <w:bCs/>
          <w:sz w:val="16"/>
          <w:szCs w:val="16"/>
        </w:rPr>
        <w:t>.</w:t>
      </w:r>
      <w:r w:rsidRPr="00A852A8">
        <w:rPr>
          <w:rFonts w:ascii="Verdana" w:hAnsi="Verdana"/>
          <w:sz w:val="16"/>
          <w:szCs w:val="16"/>
        </w:rPr>
        <w:t xml:space="preserve"> Sentencia de 3 de mayo de 2016. Serie C No. 311, párr. 120.</w:t>
      </w:r>
    </w:p>
  </w:footnote>
  <w:footnote w:id="17">
    <w:p w14:paraId="710EBE59" w14:textId="77777777" w:rsidR="007E0AEE" w:rsidRPr="00A852A8" w:rsidRDefault="007E0AEE" w:rsidP="0079249C">
      <w:pPr>
        <w:pStyle w:val="Textonotapie"/>
        <w:tabs>
          <w:tab w:val="left" w:pos="567"/>
          <w:tab w:val="left" w:pos="709"/>
        </w:tabs>
        <w:spacing w:before="120" w:after="120"/>
        <w:ind w:right="615"/>
        <w:jc w:val="both"/>
        <w:rPr>
          <w:rFonts w:ascii="Verdana" w:hAnsi="Verdana"/>
          <w:sz w:val="16"/>
          <w:szCs w:val="16"/>
        </w:rPr>
      </w:pPr>
      <w:r w:rsidRPr="00A852A8">
        <w:rPr>
          <w:rStyle w:val="Refdenotaalpie"/>
          <w:rFonts w:ascii="Verdana" w:hAnsi="Verdana"/>
          <w:sz w:val="16"/>
          <w:szCs w:val="16"/>
        </w:rPr>
        <w:footnoteRef/>
      </w:r>
      <w:r w:rsidRPr="00A852A8">
        <w:rPr>
          <w:rFonts w:ascii="Verdana" w:hAnsi="Verdana"/>
          <w:sz w:val="16"/>
          <w:szCs w:val="16"/>
        </w:rPr>
        <w:t xml:space="preserve"> </w:t>
      </w:r>
      <w:r w:rsidRPr="00A852A8">
        <w:rPr>
          <w:rFonts w:ascii="Verdana" w:hAnsi="Verdana"/>
          <w:sz w:val="16"/>
          <w:szCs w:val="16"/>
        </w:rPr>
        <w:tab/>
      </w:r>
      <w:r w:rsidRPr="00A852A8">
        <w:rPr>
          <w:rFonts w:ascii="Verdana" w:hAnsi="Verdana"/>
          <w:i/>
          <w:sz w:val="16"/>
          <w:szCs w:val="16"/>
        </w:rPr>
        <w:t xml:space="preserve">Cfr. </w:t>
      </w:r>
      <w:r w:rsidRPr="00A852A8">
        <w:rPr>
          <w:rFonts w:ascii="Verdana" w:hAnsi="Verdana"/>
          <w:bCs/>
          <w:i/>
          <w:sz w:val="16"/>
          <w:szCs w:val="16"/>
        </w:rPr>
        <w:t>Caso Trabajadores de la Hacienda Brasil Verde Vs. Brasil. Excepciones Preliminares, Fondo, Reparaciones y Costas</w:t>
      </w:r>
      <w:r w:rsidRPr="00A852A8">
        <w:rPr>
          <w:rFonts w:ascii="Verdana" w:hAnsi="Verdana"/>
          <w:sz w:val="16"/>
          <w:szCs w:val="16"/>
        </w:rPr>
        <w:t>. Sentencia de 20 de octubre de 2016. Serie C No. 318, párr. 412 y 413.</w:t>
      </w:r>
    </w:p>
  </w:footnote>
  <w:footnote w:id="18">
    <w:p w14:paraId="5DA9533E" w14:textId="77777777" w:rsidR="007E0AEE" w:rsidRPr="00A852A8" w:rsidRDefault="007E0AEE" w:rsidP="0079249C">
      <w:pPr>
        <w:pStyle w:val="Textonotapie"/>
        <w:tabs>
          <w:tab w:val="left" w:pos="567"/>
          <w:tab w:val="left" w:pos="709"/>
        </w:tabs>
        <w:spacing w:before="120" w:after="120"/>
        <w:ind w:right="615"/>
        <w:jc w:val="both"/>
        <w:rPr>
          <w:rFonts w:ascii="Verdana" w:hAnsi="Verdana"/>
          <w:sz w:val="16"/>
          <w:szCs w:val="16"/>
        </w:rPr>
      </w:pPr>
      <w:r w:rsidRPr="00A852A8">
        <w:rPr>
          <w:rStyle w:val="Refdenotaalpie"/>
          <w:rFonts w:ascii="Verdana" w:hAnsi="Verdana"/>
          <w:sz w:val="16"/>
          <w:szCs w:val="16"/>
        </w:rPr>
        <w:footnoteRef/>
      </w:r>
      <w:r w:rsidRPr="00A852A8">
        <w:rPr>
          <w:rFonts w:ascii="Verdana" w:hAnsi="Verdana"/>
          <w:sz w:val="16"/>
          <w:szCs w:val="16"/>
        </w:rPr>
        <w:t xml:space="preserve"> </w:t>
      </w:r>
      <w:r w:rsidRPr="00A852A8">
        <w:rPr>
          <w:rFonts w:ascii="Verdana" w:hAnsi="Verdana"/>
          <w:sz w:val="16"/>
          <w:szCs w:val="16"/>
        </w:rPr>
        <w:tab/>
        <w:t xml:space="preserve">A mayor detalle, en el </w:t>
      </w:r>
      <w:r w:rsidRPr="00A852A8">
        <w:rPr>
          <w:rFonts w:ascii="Verdana" w:hAnsi="Verdana"/>
          <w:i/>
          <w:iCs/>
          <w:sz w:val="16"/>
          <w:szCs w:val="16"/>
        </w:rPr>
        <w:t xml:space="preserve">Caso </w:t>
      </w:r>
      <w:proofErr w:type="spellStart"/>
      <w:r w:rsidRPr="00A852A8">
        <w:rPr>
          <w:rFonts w:ascii="Verdana" w:hAnsi="Verdana"/>
          <w:i/>
          <w:iCs/>
          <w:sz w:val="16"/>
          <w:szCs w:val="16"/>
        </w:rPr>
        <w:t>Gorigoitía</w:t>
      </w:r>
      <w:proofErr w:type="spellEnd"/>
      <w:r w:rsidRPr="00A852A8">
        <w:rPr>
          <w:rFonts w:ascii="Verdana" w:hAnsi="Verdana"/>
          <w:i/>
          <w:iCs/>
          <w:sz w:val="16"/>
          <w:szCs w:val="16"/>
        </w:rPr>
        <w:t xml:space="preserve"> Vs. Argentina</w:t>
      </w:r>
      <w:r w:rsidRPr="00A852A8">
        <w:rPr>
          <w:rFonts w:ascii="Verdana" w:hAnsi="Verdana"/>
          <w:sz w:val="16"/>
          <w:szCs w:val="16"/>
        </w:rPr>
        <w:t xml:space="preserve">, la Corte Interamericana identificó que el artículo 503 de la Ley No. 1.908 –que imposibilitaba la revisión integral del fallo condenatorio– había sido derogada por la por la Ley No. 6.730 del año 1999, modificada por la Ley No. 9.040 publicada en el año 2018. Por su parte, en el </w:t>
      </w:r>
      <w:r w:rsidRPr="00A852A8">
        <w:rPr>
          <w:rFonts w:ascii="Verdana" w:hAnsi="Verdana"/>
          <w:i/>
          <w:iCs/>
          <w:sz w:val="16"/>
          <w:szCs w:val="16"/>
        </w:rPr>
        <w:t xml:space="preserve">Caso Fernández Prieto y </w:t>
      </w:r>
      <w:proofErr w:type="spellStart"/>
      <w:r w:rsidRPr="00A852A8">
        <w:rPr>
          <w:rFonts w:ascii="Verdana" w:hAnsi="Verdana"/>
          <w:i/>
          <w:iCs/>
          <w:sz w:val="16"/>
          <w:szCs w:val="16"/>
        </w:rPr>
        <w:t>Tumbeiro</w:t>
      </w:r>
      <w:proofErr w:type="spellEnd"/>
      <w:r w:rsidRPr="00A852A8">
        <w:rPr>
          <w:rFonts w:ascii="Verdana" w:hAnsi="Verdana"/>
          <w:i/>
          <w:iCs/>
          <w:sz w:val="16"/>
          <w:szCs w:val="16"/>
        </w:rPr>
        <w:t xml:space="preserve"> Vs. Argentina</w:t>
      </w:r>
      <w:r w:rsidRPr="00A852A8">
        <w:rPr>
          <w:rFonts w:ascii="Verdana" w:hAnsi="Verdana"/>
          <w:sz w:val="16"/>
          <w:szCs w:val="16"/>
        </w:rPr>
        <w:t xml:space="preserve">, el Tribunal dio cuenta que la regulación que autorizaba la realización de requisas con fines de prevención del delito, prevista en los artículos 230 y 284 del Código Procesal Penal de la Nación, vigente en la época de los hechos, habían sido abrogados con la emisión del nuevo Código Procesal Penal Federal de la Nación y, particularmente, con la vigencia del artículo 138 de dicho código. </w:t>
      </w:r>
      <w:r w:rsidRPr="00A852A8">
        <w:rPr>
          <w:rFonts w:ascii="Verdana" w:hAnsi="Verdana"/>
          <w:i/>
          <w:sz w:val="16"/>
          <w:szCs w:val="16"/>
        </w:rPr>
        <w:t xml:space="preserve">Cfr. </w:t>
      </w:r>
      <w:r w:rsidRPr="00A852A8">
        <w:rPr>
          <w:rFonts w:ascii="Verdana" w:hAnsi="Verdana"/>
          <w:bCs/>
          <w:i/>
          <w:sz w:val="16"/>
          <w:szCs w:val="16"/>
        </w:rPr>
        <w:t xml:space="preserve">Caso </w:t>
      </w:r>
      <w:proofErr w:type="spellStart"/>
      <w:r w:rsidRPr="00A852A8">
        <w:rPr>
          <w:rFonts w:ascii="Verdana" w:hAnsi="Verdana"/>
          <w:bCs/>
          <w:i/>
          <w:sz w:val="16"/>
          <w:szCs w:val="16"/>
        </w:rPr>
        <w:t>Gorigoitía</w:t>
      </w:r>
      <w:proofErr w:type="spellEnd"/>
      <w:r w:rsidRPr="00A852A8">
        <w:rPr>
          <w:rFonts w:ascii="Verdana" w:hAnsi="Verdana"/>
          <w:bCs/>
          <w:i/>
          <w:sz w:val="16"/>
          <w:szCs w:val="16"/>
        </w:rPr>
        <w:t xml:space="preserve"> Vs. Argentina. Excepción Preliminar, Fondo, Reparaciones y Costas</w:t>
      </w:r>
      <w:r w:rsidRPr="00A852A8">
        <w:rPr>
          <w:rFonts w:ascii="Verdana" w:hAnsi="Verdana"/>
          <w:sz w:val="16"/>
          <w:szCs w:val="16"/>
        </w:rPr>
        <w:t xml:space="preserve">. Sentencia de 2 de septiembre de 2019. Serie C No. 382; y, </w:t>
      </w:r>
      <w:r w:rsidRPr="00A852A8">
        <w:rPr>
          <w:rFonts w:ascii="Verdana" w:hAnsi="Verdana"/>
          <w:bCs/>
          <w:i/>
          <w:sz w:val="16"/>
          <w:szCs w:val="16"/>
        </w:rPr>
        <w:t xml:space="preserve">Caso Fernández Prieto y </w:t>
      </w:r>
      <w:proofErr w:type="spellStart"/>
      <w:r w:rsidRPr="00A852A8">
        <w:rPr>
          <w:rFonts w:ascii="Verdana" w:hAnsi="Verdana"/>
          <w:bCs/>
          <w:i/>
          <w:sz w:val="16"/>
          <w:szCs w:val="16"/>
        </w:rPr>
        <w:t>Tumbeiro</w:t>
      </w:r>
      <w:proofErr w:type="spellEnd"/>
      <w:r w:rsidRPr="00A852A8">
        <w:rPr>
          <w:rFonts w:ascii="Verdana" w:hAnsi="Verdana"/>
          <w:bCs/>
          <w:i/>
          <w:sz w:val="16"/>
          <w:szCs w:val="16"/>
        </w:rPr>
        <w:t xml:space="preserve"> Vs. Argentina. Fondo y Reparaciones</w:t>
      </w:r>
      <w:r w:rsidRPr="00A852A8">
        <w:rPr>
          <w:rFonts w:ascii="Verdana" w:hAnsi="Verdana"/>
          <w:sz w:val="16"/>
          <w:szCs w:val="16"/>
        </w:rPr>
        <w:t>. Sentencia de 1 de septiembre de 2020. Serie C No. 411.</w:t>
      </w:r>
    </w:p>
  </w:footnote>
  <w:footnote w:id="19">
    <w:p w14:paraId="43EB558E" w14:textId="77777777" w:rsidR="007E0AEE" w:rsidRPr="00A852A8" w:rsidRDefault="007E0AEE" w:rsidP="0079249C">
      <w:pPr>
        <w:pStyle w:val="Textonotapie"/>
        <w:tabs>
          <w:tab w:val="left" w:pos="567"/>
          <w:tab w:val="left" w:pos="709"/>
        </w:tabs>
        <w:spacing w:before="120" w:after="120"/>
        <w:ind w:right="615"/>
        <w:jc w:val="both"/>
        <w:rPr>
          <w:rFonts w:ascii="Verdana" w:hAnsi="Verdana"/>
          <w:sz w:val="16"/>
          <w:szCs w:val="16"/>
        </w:rPr>
      </w:pPr>
      <w:r w:rsidRPr="00A852A8">
        <w:rPr>
          <w:rStyle w:val="Refdenotaalpie"/>
          <w:rFonts w:ascii="Verdana" w:hAnsi="Verdana"/>
          <w:sz w:val="16"/>
          <w:szCs w:val="16"/>
        </w:rPr>
        <w:footnoteRef/>
      </w:r>
      <w:r w:rsidRPr="00A852A8">
        <w:rPr>
          <w:rFonts w:ascii="Verdana" w:hAnsi="Verdana"/>
          <w:sz w:val="16"/>
          <w:szCs w:val="16"/>
        </w:rPr>
        <w:t xml:space="preserve"> </w:t>
      </w:r>
      <w:r w:rsidRPr="00A852A8">
        <w:rPr>
          <w:rFonts w:ascii="Verdana" w:hAnsi="Verdana"/>
          <w:sz w:val="16"/>
          <w:szCs w:val="16"/>
        </w:rPr>
        <w:tab/>
      </w:r>
      <w:r w:rsidRPr="00A852A8">
        <w:rPr>
          <w:rFonts w:ascii="Verdana" w:hAnsi="Verdana"/>
          <w:i/>
          <w:sz w:val="16"/>
          <w:szCs w:val="16"/>
        </w:rPr>
        <w:t>Cfr</w:t>
      </w:r>
      <w:r w:rsidRPr="00A852A8">
        <w:rPr>
          <w:rFonts w:ascii="Verdana" w:hAnsi="Verdana"/>
          <w:sz w:val="16"/>
          <w:szCs w:val="16"/>
        </w:rPr>
        <w:t xml:space="preserve">. </w:t>
      </w:r>
      <w:r w:rsidRPr="00A852A8">
        <w:rPr>
          <w:rFonts w:ascii="Verdana" w:hAnsi="Verdana"/>
          <w:bCs/>
          <w:i/>
          <w:sz w:val="16"/>
          <w:szCs w:val="16"/>
        </w:rPr>
        <w:t xml:space="preserve">Caso Fernández Prieto y </w:t>
      </w:r>
      <w:proofErr w:type="spellStart"/>
      <w:r w:rsidRPr="00A852A8">
        <w:rPr>
          <w:rFonts w:ascii="Verdana" w:hAnsi="Verdana"/>
          <w:bCs/>
          <w:i/>
          <w:sz w:val="16"/>
          <w:szCs w:val="16"/>
        </w:rPr>
        <w:t>Tumbeiro</w:t>
      </w:r>
      <w:proofErr w:type="spellEnd"/>
      <w:r w:rsidRPr="00A852A8">
        <w:rPr>
          <w:rFonts w:ascii="Verdana" w:hAnsi="Verdana"/>
          <w:bCs/>
          <w:i/>
          <w:sz w:val="16"/>
          <w:szCs w:val="16"/>
        </w:rPr>
        <w:t xml:space="preserve"> Vs. Argentina. Fondo y Reparaciones</w:t>
      </w:r>
      <w:r w:rsidRPr="00A852A8">
        <w:rPr>
          <w:rFonts w:ascii="Verdana" w:hAnsi="Verdana"/>
          <w:sz w:val="16"/>
          <w:szCs w:val="16"/>
        </w:rPr>
        <w:t>. Sentencia de 1 de septiembre de 2020. Serie C No. 411, párr. 121</w:t>
      </w:r>
      <w:r w:rsidR="00335B0B" w:rsidRPr="00A852A8">
        <w:rPr>
          <w:rFonts w:ascii="Verdana" w:hAnsi="Verdana"/>
          <w:sz w:val="16"/>
          <w:szCs w:val="16"/>
        </w:rPr>
        <w:t>, y</w:t>
      </w:r>
      <w:r w:rsidR="00335B0B" w:rsidRPr="00A852A8">
        <w:rPr>
          <w:rFonts w:ascii="Verdana" w:hAnsi="Verdana"/>
          <w:i/>
          <w:sz w:val="16"/>
          <w:szCs w:val="16"/>
          <w:lang w:val="es-ES"/>
        </w:rPr>
        <w:t xml:space="preserve"> </w:t>
      </w:r>
      <w:r w:rsidR="00335B0B" w:rsidRPr="00A852A8">
        <w:rPr>
          <w:rFonts w:ascii="Verdana" w:hAnsi="Verdana"/>
          <w:bCs/>
          <w:i/>
          <w:sz w:val="16"/>
          <w:szCs w:val="16"/>
          <w:lang w:val="es-ES"/>
        </w:rPr>
        <w:t xml:space="preserve">Caso </w:t>
      </w:r>
      <w:proofErr w:type="spellStart"/>
      <w:r w:rsidR="00335B0B" w:rsidRPr="00A852A8">
        <w:rPr>
          <w:rFonts w:ascii="Verdana" w:hAnsi="Verdana"/>
          <w:bCs/>
          <w:i/>
          <w:sz w:val="16"/>
          <w:szCs w:val="16"/>
          <w:lang w:val="es-ES"/>
        </w:rPr>
        <w:t>Gorigoitía</w:t>
      </w:r>
      <w:proofErr w:type="spellEnd"/>
      <w:r w:rsidR="00335B0B" w:rsidRPr="00A852A8">
        <w:rPr>
          <w:rFonts w:ascii="Verdana" w:hAnsi="Verdana"/>
          <w:bCs/>
          <w:i/>
          <w:sz w:val="16"/>
          <w:szCs w:val="16"/>
          <w:lang w:val="es-ES"/>
        </w:rPr>
        <w:t xml:space="preserve"> Vs. Argentina. </w:t>
      </w:r>
      <w:r w:rsidR="00335B0B" w:rsidRPr="00A852A8">
        <w:rPr>
          <w:rFonts w:ascii="Verdana" w:hAnsi="Verdana"/>
          <w:bCs/>
          <w:i/>
          <w:sz w:val="16"/>
          <w:szCs w:val="16"/>
        </w:rPr>
        <w:t>Excepción Preliminar, Fondo, Reparaciones y Costas</w:t>
      </w:r>
      <w:r w:rsidR="00335B0B" w:rsidRPr="00A852A8">
        <w:rPr>
          <w:rFonts w:ascii="Verdana" w:hAnsi="Verdana"/>
          <w:sz w:val="16"/>
          <w:szCs w:val="16"/>
        </w:rPr>
        <w:t>. Sentencia de 2 de septiembre de 2019. Serie C No. 382, párr. 72.</w:t>
      </w:r>
    </w:p>
  </w:footnote>
  <w:footnote w:id="20">
    <w:p w14:paraId="363DEEDF" w14:textId="77777777" w:rsidR="007E0AEE" w:rsidRPr="00A852A8" w:rsidRDefault="007E0AEE" w:rsidP="0079249C">
      <w:pPr>
        <w:pStyle w:val="Textonotapie"/>
        <w:tabs>
          <w:tab w:val="left" w:pos="567"/>
          <w:tab w:val="left" w:pos="709"/>
        </w:tabs>
        <w:spacing w:before="120" w:after="120"/>
        <w:ind w:right="615"/>
        <w:jc w:val="both"/>
        <w:rPr>
          <w:rFonts w:ascii="Verdana" w:hAnsi="Verdana"/>
          <w:i/>
          <w:sz w:val="16"/>
          <w:szCs w:val="16"/>
        </w:rPr>
      </w:pPr>
      <w:r w:rsidRPr="00A852A8">
        <w:rPr>
          <w:rStyle w:val="Refdenotaalpie"/>
          <w:rFonts w:ascii="Verdana" w:hAnsi="Verdana"/>
          <w:sz w:val="16"/>
          <w:szCs w:val="16"/>
        </w:rPr>
        <w:footnoteRef/>
      </w:r>
      <w:r w:rsidRPr="00A852A8">
        <w:rPr>
          <w:rFonts w:ascii="Verdana" w:hAnsi="Verdana"/>
          <w:sz w:val="16"/>
          <w:szCs w:val="16"/>
        </w:rPr>
        <w:t xml:space="preserve"> </w:t>
      </w:r>
      <w:r w:rsidRPr="00A852A8">
        <w:rPr>
          <w:rFonts w:ascii="Verdana" w:hAnsi="Verdana"/>
          <w:sz w:val="16"/>
          <w:szCs w:val="16"/>
        </w:rPr>
        <w:tab/>
      </w:r>
      <w:r w:rsidRPr="00A852A8">
        <w:rPr>
          <w:rFonts w:ascii="Verdana" w:hAnsi="Verdana"/>
          <w:i/>
          <w:sz w:val="16"/>
          <w:szCs w:val="16"/>
        </w:rPr>
        <w:t>Cfr.</w:t>
      </w:r>
      <w:r w:rsidRPr="00A852A8">
        <w:rPr>
          <w:rFonts w:ascii="Verdana" w:hAnsi="Verdana"/>
          <w:sz w:val="16"/>
          <w:szCs w:val="16"/>
        </w:rPr>
        <w:t xml:space="preserve"> </w:t>
      </w:r>
      <w:r w:rsidRPr="00A852A8">
        <w:rPr>
          <w:rFonts w:ascii="Verdana" w:hAnsi="Verdana"/>
          <w:bCs/>
          <w:i/>
          <w:sz w:val="16"/>
          <w:szCs w:val="16"/>
        </w:rPr>
        <w:t>Caso Manuela y otros Vs. El Salvador. Excepciones preliminares, Fondo, Reparaciones y Costas.</w:t>
      </w:r>
      <w:r w:rsidRPr="00A852A8">
        <w:rPr>
          <w:rFonts w:ascii="Verdana" w:hAnsi="Verdana"/>
          <w:i/>
          <w:sz w:val="16"/>
          <w:szCs w:val="16"/>
        </w:rPr>
        <w:t xml:space="preserve"> </w:t>
      </w:r>
      <w:r w:rsidRPr="00A852A8">
        <w:rPr>
          <w:rFonts w:ascii="Verdana" w:hAnsi="Verdana"/>
          <w:sz w:val="16"/>
          <w:szCs w:val="16"/>
        </w:rPr>
        <w:t>Sentencia de 2 de noviembre de 2021. Serie C No. 441, párr. 289;</w:t>
      </w:r>
      <w:r w:rsidRPr="00A852A8">
        <w:rPr>
          <w:rFonts w:ascii="Verdana" w:hAnsi="Verdana"/>
          <w:i/>
          <w:sz w:val="16"/>
          <w:szCs w:val="16"/>
        </w:rPr>
        <w:t xml:space="preserve"> </w:t>
      </w:r>
      <w:r w:rsidRPr="00A852A8">
        <w:rPr>
          <w:rFonts w:ascii="Verdana" w:hAnsi="Verdana"/>
          <w:bCs/>
          <w:i/>
          <w:sz w:val="16"/>
          <w:szCs w:val="16"/>
        </w:rPr>
        <w:t xml:space="preserve">Caso </w:t>
      </w:r>
      <w:proofErr w:type="spellStart"/>
      <w:r w:rsidRPr="00A852A8">
        <w:rPr>
          <w:rFonts w:ascii="Verdana" w:hAnsi="Verdana"/>
          <w:bCs/>
          <w:i/>
          <w:sz w:val="16"/>
          <w:szCs w:val="16"/>
        </w:rPr>
        <w:t>Tzompaxtle</w:t>
      </w:r>
      <w:proofErr w:type="spellEnd"/>
      <w:r w:rsidRPr="00A852A8">
        <w:rPr>
          <w:rFonts w:ascii="Verdana" w:hAnsi="Verdana"/>
          <w:bCs/>
          <w:i/>
          <w:sz w:val="16"/>
          <w:szCs w:val="16"/>
        </w:rPr>
        <w:t xml:space="preserve"> </w:t>
      </w:r>
      <w:proofErr w:type="spellStart"/>
      <w:r w:rsidRPr="00A852A8">
        <w:rPr>
          <w:rFonts w:ascii="Verdana" w:hAnsi="Verdana"/>
          <w:bCs/>
          <w:i/>
          <w:sz w:val="16"/>
          <w:szCs w:val="16"/>
        </w:rPr>
        <w:t>Tecpile</w:t>
      </w:r>
      <w:proofErr w:type="spellEnd"/>
      <w:r w:rsidRPr="00A852A8">
        <w:rPr>
          <w:rFonts w:ascii="Verdana" w:hAnsi="Verdana"/>
          <w:bCs/>
          <w:i/>
          <w:sz w:val="16"/>
          <w:szCs w:val="16"/>
        </w:rPr>
        <w:t xml:space="preserve"> y otros Vs. México. Excepción Preliminar, Fondo, Reparaciones y Costas</w:t>
      </w:r>
      <w:r w:rsidRPr="00A852A8">
        <w:rPr>
          <w:rFonts w:ascii="Verdana" w:hAnsi="Verdana"/>
          <w:i/>
          <w:sz w:val="16"/>
          <w:szCs w:val="16"/>
        </w:rPr>
        <w:t xml:space="preserve">. </w:t>
      </w:r>
      <w:r w:rsidRPr="00A852A8">
        <w:rPr>
          <w:rFonts w:ascii="Verdana" w:hAnsi="Verdana"/>
          <w:sz w:val="16"/>
          <w:szCs w:val="16"/>
        </w:rPr>
        <w:t xml:space="preserve">Sentencia de 7 de noviembre de 2022. Serie C No. 470, párr. 170 a 172; </w:t>
      </w:r>
      <w:r w:rsidRPr="00A852A8">
        <w:rPr>
          <w:rFonts w:ascii="Verdana" w:hAnsi="Verdana"/>
          <w:bCs/>
          <w:i/>
          <w:sz w:val="16"/>
          <w:szCs w:val="16"/>
        </w:rPr>
        <w:t>Caso García Rodríguez y otro Vs. México. Excepciones Preliminares, Fondo, Reparaciones y Costas</w:t>
      </w:r>
      <w:r w:rsidRPr="00A852A8">
        <w:rPr>
          <w:rFonts w:ascii="Verdana" w:hAnsi="Verdana"/>
          <w:bCs/>
          <w:sz w:val="16"/>
          <w:szCs w:val="16"/>
        </w:rPr>
        <w:t>.</w:t>
      </w:r>
      <w:r w:rsidRPr="00A852A8">
        <w:rPr>
          <w:rFonts w:ascii="Verdana" w:hAnsi="Verdana"/>
          <w:sz w:val="16"/>
          <w:szCs w:val="16"/>
        </w:rPr>
        <w:t xml:space="preserve"> Sentencia de 25 de enero de 2023. Serie C No. 482, párr. 292 a 299.</w:t>
      </w:r>
    </w:p>
  </w:footnote>
  <w:footnote w:id="21">
    <w:p w14:paraId="0101A307" w14:textId="77777777" w:rsidR="007E0AEE" w:rsidRPr="00A852A8" w:rsidRDefault="007E0AEE" w:rsidP="0079249C">
      <w:pPr>
        <w:pStyle w:val="Textonotapie"/>
        <w:tabs>
          <w:tab w:val="left" w:pos="567"/>
          <w:tab w:val="left" w:pos="709"/>
        </w:tabs>
        <w:spacing w:before="120" w:after="120"/>
        <w:ind w:right="615"/>
        <w:jc w:val="both"/>
        <w:rPr>
          <w:rFonts w:ascii="Verdana" w:hAnsi="Verdana"/>
          <w:sz w:val="16"/>
          <w:szCs w:val="16"/>
        </w:rPr>
      </w:pPr>
      <w:r w:rsidRPr="00A852A8">
        <w:rPr>
          <w:rStyle w:val="Refdenotaalpie"/>
          <w:rFonts w:ascii="Verdana" w:hAnsi="Verdana"/>
          <w:sz w:val="16"/>
          <w:szCs w:val="16"/>
        </w:rPr>
        <w:footnoteRef/>
      </w:r>
      <w:r w:rsidRPr="00A852A8">
        <w:rPr>
          <w:rFonts w:ascii="Verdana" w:hAnsi="Verdana"/>
          <w:sz w:val="16"/>
          <w:szCs w:val="16"/>
        </w:rPr>
        <w:t xml:space="preserve"> </w:t>
      </w:r>
      <w:r w:rsidRPr="00A852A8">
        <w:rPr>
          <w:rFonts w:ascii="Verdana" w:hAnsi="Verdana"/>
          <w:sz w:val="16"/>
          <w:szCs w:val="16"/>
        </w:rPr>
        <w:tab/>
      </w:r>
      <w:r w:rsidRPr="00A852A8">
        <w:rPr>
          <w:rFonts w:ascii="Verdana" w:hAnsi="Verdana"/>
          <w:i/>
          <w:sz w:val="16"/>
          <w:szCs w:val="16"/>
        </w:rPr>
        <w:t xml:space="preserve">Cfr. </w:t>
      </w:r>
      <w:r w:rsidRPr="00A852A8">
        <w:rPr>
          <w:rFonts w:ascii="Verdana" w:hAnsi="Verdana"/>
          <w:bCs/>
          <w:i/>
          <w:sz w:val="16"/>
          <w:szCs w:val="16"/>
        </w:rPr>
        <w:t>Caso Angulo Losada Vs. Bolivia. Excepciones Preliminares, Fondo y Reparaciones</w:t>
      </w:r>
      <w:r w:rsidRPr="00A852A8">
        <w:rPr>
          <w:rFonts w:ascii="Verdana" w:hAnsi="Verdana"/>
          <w:bCs/>
          <w:sz w:val="16"/>
          <w:szCs w:val="16"/>
        </w:rPr>
        <w:t>.</w:t>
      </w:r>
      <w:r w:rsidRPr="00A852A8">
        <w:rPr>
          <w:rFonts w:ascii="Verdana" w:hAnsi="Verdana"/>
          <w:sz w:val="16"/>
          <w:szCs w:val="16"/>
        </w:rPr>
        <w:t xml:space="preserve"> Sentencia de 18 de noviembre de 2022. Serie C No. 475, párr. 198.</w:t>
      </w:r>
    </w:p>
  </w:footnote>
  <w:footnote w:id="22">
    <w:p w14:paraId="36D7F7FE" w14:textId="77777777" w:rsidR="006C2BBF" w:rsidRPr="00A852A8" w:rsidRDefault="006C2BBF" w:rsidP="0079249C">
      <w:pPr>
        <w:pStyle w:val="Textonotapie"/>
        <w:tabs>
          <w:tab w:val="left" w:pos="540"/>
        </w:tabs>
        <w:spacing w:before="120" w:after="120"/>
        <w:ind w:right="615"/>
        <w:jc w:val="both"/>
        <w:rPr>
          <w:rFonts w:ascii="Verdana" w:hAnsi="Verdana"/>
          <w:sz w:val="16"/>
          <w:szCs w:val="16"/>
        </w:rPr>
      </w:pPr>
      <w:r w:rsidRPr="00A852A8">
        <w:rPr>
          <w:rStyle w:val="Refdenotaalpie"/>
          <w:rFonts w:ascii="Verdana" w:hAnsi="Verdana"/>
          <w:sz w:val="16"/>
          <w:szCs w:val="16"/>
        </w:rPr>
        <w:footnoteRef/>
      </w:r>
      <w:r w:rsidRPr="00A852A8">
        <w:rPr>
          <w:rFonts w:ascii="Verdana" w:hAnsi="Verdana"/>
          <w:sz w:val="16"/>
          <w:szCs w:val="16"/>
          <w:vertAlign w:val="superscript"/>
        </w:rPr>
        <w:t xml:space="preserve"> </w:t>
      </w:r>
      <w:r w:rsidRPr="00A852A8">
        <w:rPr>
          <w:rFonts w:ascii="Verdana" w:hAnsi="Verdana"/>
          <w:sz w:val="16"/>
          <w:szCs w:val="16"/>
        </w:rPr>
        <w:tab/>
      </w:r>
      <w:r w:rsidRPr="00A852A8">
        <w:rPr>
          <w:rFonts w:ascii="Verdana" w:hAnsi="Verdana"/>
          <w:i/>
          <w:iCs/>
          <w:sz w:val="16"/>
          <w:szCs w:val="16"/>
        </w:rPr>
        <w:t>Cfr. Caso Ticona Estrada y otros Vs. Bolivia, supra,</w:t>
      </w:r>
      <w:r w:rsidRPr="00A852A8">
        <w:rPr>
          <w:rFonts w:ascii="Verdana" w:hAnsi="Verdana"/>
          <w:sz w:val="16"/>
          <w:szCs w:val="16"/>
        </w:rPr>
        <w:t xml:space="preserve"> párr. 110, y </w:t>
      </w:r>
      <w:r w:rsidRPr="00A852A8">
        <w:rPr>
          <w:rFonts w:ascii="Verdana" w:hAnsi="Verdana"/>
          <w:i/>
          <w:iCs/>
          <w:sz w:val="16"/>
          <w:szCs w:val="16"/>
        </w:rPr>
        <w:t>Caso Aroca Palma y otros Vs. Ecuador, supra,</w:t>
      </w:r>
      <w:r w:rsidRPr="00A852A8">
        <w:rPr>
          <w:rFonts w:ascii="Verdana" w:hAnsi="Verdana"/>
          <w:sz w:val="16"/>
          <w:szCs w:val="16"/>
        </w:rPr>
        <w:t xml:space="preserve"> párr. 121.</w:t>
      </w:r>
    </w:p>
  </w:footnote>
  <w:footnote w:id="23">
    <w:p w14:paraId="1651AAD0" w14:textId="77777777" w:rsidR="007E0AEE" w:rsidRPr="00A852A8" w:rsidRDefault="007E0AEE" w:rsidP="0079249C">
      <w:pPr>
        <w:pStyle w:val="Textonotapie"/>
        <w:tabs>
          <w:tab w:val="left" w:pos="567"/>
          <w:tab w:val="left" w:pos="709"/>
        </w:tabs>
        <w:spacing w:before="120" w:after="120"/>
        <w:ind w:right="615"/>
        <w:jc w:val="both"/>
        <w:rPr>
          <w:rFonts w:ascii="Verdana" w:hAnsi="Verdana"/>
          <w:sz w:val="16"/>
          <w:szCs w:val="16"/>
        </w:rPr>
      </w:pPr>
      <w:r w:rsidRPr="00A852A8">
        <w:rPr>
          <w:rStyle w:val="Refdenotaalpie"/>
          <w:rFonts w:ascii="Verdana" w:hAnsi="Verdana"/>
          <w:sz w:val="16"/>
          <w:szCs w:val="16"/>
        </w:rPr>
        <w:footnoteRef/>
      </w:r>
      <w:r w:rsidRPr="00A852A8">
        <w:rPr>
          <w:rFonts w:ascii="Verdana" w:hAnsi="Verdana"/>
          <w:sz w:val="16"/>
          <w:szCs w:val="16"/>
        </w:rPr>
        <w:t xml:space="preserve"> </w:t>
      </w:r>
      <w:r w:rsidRPr="00A852A8">
        <w:rPr>
          <w:rFonts w:ascii="Verdana" w:hAnsi="Verdana"/>
          <w:sz w:val="16"/>
          <w:szCs w:val="16"/>
        </w:rPr>
        <w:tab/>
      </w:r>
      <w:r w:rsidRPr="00A852A8">
        <w:rPr>
          <w:rFonts w:ascii="Verdana" w:hAnsi="Verdana"/>
          <w:i/>
          <w:sz w:val="16"/>
          <w:szCs w:val="16"/>
        </w:rPr>
        <w:t>Cfr.</w:t>
      </w:r>
      <w:r w:rsidRPr="00A852A8">
        <w:rPr>
          <w:rFonts w:ascii="Verdana" w:hAnsi="Verdana"/>
          <w:sz w:val="16"/>
          <w:szCs w:val="16"/>
        </w:rPr>
        <w:t xml:space="preserve"> </w:t>
      </w:r>
      <w:r w:rsidRPr="00A852A8">
        <w:rPr>
          <w:rFonts w:ascii="Verdana" w:hAnsi="Verdana"/>
          <w:bCs/>
          <w:i/>
          <w:sz w:val="16"/>
          <w:szCs w:val="16"/>
        </w:rPr>
        <w:t>Caso González y otras (“Campo Algodonero”) Vs. México. Excepción Preliminar, Fondo, Reparaciones y Costas</w:t>
      </w:r>
      <w:r w:rsidRPr="00A852A8">
        <w:rPr>
          <w:rFonts w:ascii="Verdana" w:hAnsi="Verdana"/>
          <w:i/>
          <w:sz w:val="16"/>
          <w:szCs w:val="16"/>
        </w:rPr>
        <w:t xml:space="preserve">. </w:t>
      </w:r>
      <w:r w:rsidRPr="00A852A8">
        <w:rPr>
          <w:rFonts w:ascii="Verdana" w:hAnsi="Verdana"/>
          <w:sz w:val="16"/>
          <w:szCs w:val="16"/>
        </w:rPr>
        <w:t>Sentencia de 16 de noviembre de 2009. Serie C No. 205, párr. 285;</w:t>
      </w:r>
      <w:r w:rsidRPr="00A852A8">
        <w:rPr>
          <w:rFonts w:ascii="Verdana" w:hAnsi="Verdana"/>
          <w:i/>
          <w:sz w:val="16"/>
          <w:szCs w:val="16"/>
        </w:rPr>
        <w:t xml:space="preserve"> </w:t>
      </w:r>
      <w:r w:rsidRPr="00A852A8">
        <w:rPr>
          <w:rFonts w:ascii="Verdana" w:hAnsi="Verdana"/>
          <w:bCs/>
          <w:i/>
          <w:sz w:val="16"/>
          <w:szCs w:val="16"/>
        </w:rPr>
        <w:t>Caso Velásquez Paiz y otros Vs. Guatemala. Excepciones Preliminares, Fondo, Reparaciones y Costas</w:t>
      </w:r>
      <w:r w:rsidRPr="00A852A8">
        <w:rPr>
          <w:rFonts w:ascii="Verdana" w:hAnsi="Verdana"/>
          <w:sz w:val="16"/>
          <w:szCs w:val="16"/>
        </w:rPr>
        <w:t xml:space="preserve">. Sentencia de 19 de noviembre de 2015. Serie C No. 307, párr. 133. </w:t>
      </w:r>
    </w:p>
  </w:footnote>
  <w:footnote w:id="24">
    <w:p w14:paraId="56129CD7" w14:textId="77777777" w:rsidR="007E0AEE" w:rsidRPr="00A852A8" w:rsidRDefault="007E0AEE" w:rsidP="0079249C">
      <w:pPr>
        <w:pStyle w:val="Textonotapie"/>
        <w:tabs>
          <w:tab w:val="left" w:pos="567"/>
          <w:tab w:val="left" w:pos="709"/>
        </w:tabs>
        <w:spacing w:before="120" w:after="120"/>
        <w:ind w:right="615"/>
        <w:jc w:val="both"/>
        <w:rPr>
          <w:rFonts w:ascii="Verdana" w:hAnsi="Verdana"/>
          <w:sz w:val="16"/>
          <w:szCs w:val="16"/>
        </w:rPr>
      </w:pPr>
      <w:r w:rsidRPr="00A852A8">
        <w:rPr>
          <w:rStyle w:val="Refdenotaalpie"/>
          <w:rFonts w:ascii="Verdana" w:hAnsi="Verdana"/>
          <w:sz w:val="16"/>
          <w:szCs w:val="16"/>
        </w:rPr>
        <w:footnoteRef/>
      </w:r>
      <w:r w:rsidRPr="00A852A8">
        <w:rPr>
          <w:rFonts w:ascii="Verdana" w:hAnsi="Verdana"/>
          <w:sz w:val="16"/>
          <w:szCs w:val="16"/>
        </w:rPr>
        <w:t xml:space="preserve"> </w:t>
      </w:r>
      <w:r w:rsidRPr="00A852A8">
        <w:rPr>
          <w:rFonts w:ascii="Verdana" w:hAnsi="Verdana"/>
          <w:sz w:val="16"/>
          <w:szCs w:val="16"/>
        </w:rPr>
        <w:tab/>
      </w:r>
      <w:r w:rsidR="004E1B35" w:rsidRPr="00A852A8">
        <w:rPr>
          <w:rFonts w:ascii="Verdana" w:hAnsi="Verdana"/>
          <w:i/>
          <w:iCs/>
          <w:sz w:val="16"/>
          <w:szCs w:val="16"/>
        </w:rPr>
        <w:t xml:space="preserve">Cfr. </w:t>
      </w:r>
      <w:r w:rsidRPr="00A852A8">
        <w:rPr>
          <w:rFonts w:ascii="Verdana" w:hAnsi="Verdana"/>
          <w:bCs/>
          <w:i/>
          <w:sz w:val="16"/>
          <w:szCs w:val="16"/>
        </w:rPr>
        <w:t>Caso González y otras (“Campo Algodonero”) Vs. México. Excepción Preliminar, Fondo, Reparaciones y Costas</w:t>
      </w:r>
      <w:r w:rsidRPr="00A852A8">
        <w:rPr>
          <w:rFonts w:ascii="Verdana" w:hAnsi="Verdana"/>
          <w:i/>
          <w:sz w:val="16"/>
          <w:szCs w:val="16"/>
        </w:rPr>
        <w:t xml:space="preserve">. </w:t>
      </w:r>
      <w:r w:rsidRPr="00A852A8">
        <w:rPr>
          <w:rFonts w:ascii="Verdana" w:hAnsi="Verdana"/>
          <w:sz w:val="16"/>
          <w:szCs w:val="16"/>
        </w:rPr>
        <w:t>Sentencia de 16 de noviembre de 2009. Serie C No. 205, párr. 410.</w:t>
      </w:r>
    </w:p>
  </w:footnote>
  <w:footnote w:id="25">
    <w:p w14:paraId="2317D58D" w14:textId="77777777" w:rsidR="007E0AEE" w:rsidRPr="00A852A8" w:rsidRDefault="007E0AEE" w:rsidP="0079249C">
      <w:pPr>
        <w:pStyle w:val="Textonotapie"/>
        <w:tabs>
          <w:tab w:val="left" w:pos="567"/>
          <w:tab w:val="left" w:pos="709"/>
        </w:tabs>
        <w:spacing w:before="120" w:after="120"/>
        <w:ind w:right="615"/>
        <w:jc w:val="both"/>
        <w:rPr>
          <w:rFonts w:ascii="Verdana" w:hAnsi="Verdana"/>
          <w:sz w:val="16"/>
          <w:szCs w:val="16"/>
        </w:rPr>
      </w:pPr>
      <w:r w:rsidRPr="00A852A8">
        <w:rPr>
          <w:rStyle w:val="Refdenotaalpie"/>
          <w:rFonts w:ascii="Verdana" w:hAnsi="Verdana"/>
          <w:sz w:val="16"/>
          <w:szCs w:val="16"/>
        </w:rPr>
        <w:footnoteRef/>
      </w:r>
      <w:r w:rsidRPr="00A852A8">
        <w:rPr>
          <w:rFonts w:ascii="Verdana" w:hAnsi="Verdana"/>
          <w:sz w:val="16"/>
          <w:szCs w:val="16"/>
        </w:rPr>
        <w:t xml:space="preserve"> </w:t>
      </w:r>
      <w:r w:rsidRPr="00A852A8">
        <w:rPr>
          <w:rFonts w:ascii="Verdana" w:hAnsi="Verdana"/>
          <w:sz w:val="16"/>
          <w:szCs w:val="16"/>
        </w:rPr>
        <w:tab/>
      </w:r>
      <w:r w:rsidRPr="00A852A8">
        <w:rPr>
          <w:rFonts w:ascii="Verdana" w:hAnsi="Verdana"/>
          <w:i/>
          <w:sz w:val="16"/>
          <w:szCs w:val="16"/>
        </w:rPr>
        <w:t>Cfr.</w:t>
      </w:r>
      <w:r w:rsidRPr="00A852A8">
        <w:rPr>
          <w:rFonts w:ascii="Verdana" w:hAnsi="Verdana"/>
          <w:sz w:val="16"/>
          <w:szCs w:val="16"/>
        </w:rPr>
        <w:t xml:space="preserve"> </w:t>
      </w:r>
      <w:r w:rsidRPr="00A852A8">
        <w:rPr>
          <w:rFonts w:ascii="Verdana" w:hAnsi="Verdana"/>
          <w:bCs/>
          <w:i/>
          <w:sz w:val="16"/>
          <w:szCs w:val="16"/>
        </w:rPr>
        <w:t xml:space="preserve">Caso Fernández Prieto y </w:t>
      </w:r>
      <w:proofErr w:type="spellStart"/>
      <w:r w:rsidRPr="00A852A8">
        <w:rPr>
          <w:rFonts w:ascii="Verdana" w:hAnsi="Verdana"/>
          <w:bCs/>
          <w:i/>
          <w:sz w:val="16"/>
          <w:szCs w:val="16"/>
        </w:rPr>
        <w:t>Tumbeiro</w:t>
      </w:r>
      <w:proofErr w:type="spellEnd"/>
      <w:r w:rsidRPr="00A852A8">
        <w:rPr>
          <w:rFonts w:ascii="Verdana" w:hAnsi="Verdana"/>
          <w:bCs/>
          <w:i/>
          <w:sz w:val="16"/>
          <w:szCs w:val="16"/>
        </w:rPr>
        <w:t xml:space="preserve"> Vs. Argentina. Fondo y Reparaciones</w:t>
      </w:r>
      <w:r w:rsidRPr="00A852A8">
        <w:rPr>
          <w:rFonts w:ascii="Verdana" w:hAnsi="Verdana"/>
          <w:i/>
          <w:sz w:val="16"/>
          <w:szCs w:val="16"/>
        </w:rPr>
        <w:t xml:space="preserve">. </w:t>
      </w:r>
      <w:r w:rsidRPr="00A852A8">
        <w:rPr>
          <w:rFonts w:ascii="Verdana" w:hAnsi="Verdana"/>
          <w:sz w:val="16"/>
          <w:szCs w:val="16"/>
        </w:rPr>
        <w:t xml:space="preserve">Sentencia de 1 de septiembre de 2020. Serie C No. 411, </w:t>
      </w:r>
      <w:proofErr w:type="spellStart"/>
      <w:r w:rsidRPr="00A852A8">
        <w:rPr>
          <w:rFonts w:ascii="Verdana" w:hAnsi="Verdana"/>
          <w:sz w:val="16"/>
          <w:szCs w:val="16"/>
        </w:rPr>
        <w:t>párrs</w:t>
      </w:r>
      <w:proofErr w:type="spellEnd"/>
      <w:r w:rsidRPr="00A852A8">
        <w:rPr>
          <w:rFonts w:ascii="Verdana" w:hAnsi="Verdana"/>
          <w:sz w:val="16"/>
          <w:szCs w:val="16"/>
        </w:rPr>
        <w:t>. 97 y 98.</w:t>
      </w:r>
    </w:p>
  </w:footnote>
  <w:footnote w:id="26">
    <w:p w14:paraId="646835D9" w14:textId="77777777" w:rsidR="007E0AEE" w:rsidRPr="00A852A8" w:rsidRDefault="007E0AEE" w:rsidP="0079249C">
      <w:pPr>
        <w:pStyle w:val="Textonotapie"/>
        <w:tabs>
          <w:tab w:val="left" w:pos="567"/>
          <w:tab w:val="left" w:pos="709"/>
        </w:tabs>
        <w:spacing w:before="120" w:after="120"/>
        <w:ind w:right="615"/>
        <w:jc w:val="both"/>
        <w:rPr>
          <w:rFonts w:ascii="Verdana" w:hAnsi="Verdana"/>
          <w:sz w:val="16"/>
          <w:szCs w:val="16"/>
        </w:rPr>
      </w:pPr>
      <w:r w:rsidRPr="00A852A8">
        <w:rPr>
          <w:rStyle w:val="Refdenotaalpie"/>
          <w:rFonts w:ascii="Verdana" w:hAnsi="Verdana"/>
          <w:sz w:val="16"/>
          <w:szCs w:val="16"/>
        </w:rPr>
        <w:footnoteRef/>
      </w:r>
      <w:r w:rsidRPr="00A852A8">
        <w:rPr>
          <w:rFonts w:ascii="Verdana" w:hAnsi="Verdana"/>
          <w:sz w:val="16"/>
          <w:szCs w:val="16"/>
        </w:rPr>
        <w:t xml:space="preserve"> </w:t>
      </w:r>
      <w:r w:rsidRPr="00A852A8">
        <w:rPr>
          <w:rFonts w:ascii="Verdana" w:hAnsi="Verdana"/>
          <w:sz w:val="16"/>
          <w:szCs w:val="16"/>
        </w:rPr>
        <w:tab/>
      </w:r>
      <w:r w:rsidRPr="00A852A8">
        <w:rPr>
          <w:rFonts w:ascii="Verdana" w:hAnsi="Verdana"/>
          <w:i/>
          <w:sz w:val="16"/>
          <w:szCs w:val="16"/>
        </w:rPr>
        <w:t xml:space="preserve">Cfr. </w:t>
      </w:r>
      <w:r w:rsidRPr="00A852A8">
        <w:rPr>
          <w:rFonts w:ascii="Verdana" w:hAnsi="Verdana"/>
          <w:bCs/>
          <w:i/>
          <w:sz w:val="16"/>
          <w:szCs w:val="16"/>
        </w:rPr>
        <w:t>Caso de la Masacre de Las Dos Erres Vs. Guatemala. Excepción Preliminar, Fondo, Reparaciones y Costas</w:t>
      </w:r>
      <w:r w:rsidRPr="00A852A8">
        <w:rPr>
          <w:rFonts w:ascii="Verdana" w:hAnsi="Verdana"/>
          <w:i/>
          <w:sz w:val="16"/>
          <w:szCs w:val="16"/>
        </w:rPr>
        <w:t xml:space="preserve">. </w:t>
      </w:r>
      <w:r w:rsidRPr="00A852A8">
        <w:rPr>
          <w:rFonts w:ascii="Verdana" w:hAnsi="Verdana"/>
          <w:sz w:val="16"/>
          <w:szCs w:val="16"/>
        </w:rPr>
        <w:t>Sentencia de 24 de noviembre de 2009. Serie C No. 211, párr. 120 y 124.</w:t>
      </w:r>
    </w:p>
  </w:footnote>
  <w:footnote w:id="27">
    <w:p w14:paraId="0CE6A572" w14:textId="77777777" w:rsidR="007E0AEE" w:rsidRPr="00A852A8" w:rsidRDefault="007E0AEE" w:rsidP="0079249C">
      <w:pPr>
        <w:pStyle w:val="Textonotapie"/>
        <w:tabs>
          <w:tab w:val="left" w:pos="567"/>
          <w:tab w:val="left" w:pos="709"/>
        </w:tabs>
        <w:spacing w:before="120" w:after="120"/>
        <w:ind w:right="615"/>
        <w:jc w:val="both"/>
        <w:rPr>
          <w:rFonts w:ascii="Verdana" w:hAnsi="Verdana"/>
          <w:sz w:val="16"/>
          <w:szCs w:val="16"/>
        </w:rPr>
      </w:pPr>
      <w:r w:rsidRPr="00A852A8">
        <w:rPr>
          <w:rStyle w:val="Refdenotaalpie"/>
          <w:rFonts w:ascii="Verdana" w:hAnsi="Verdana"/>
          <w:sz w:val="16"/>
          <w:szCs w:val="16"/>
        </w:rPr>
        <w:footnoteRef/>
      </w:r>
      <w:r w:rsidRPr="00A852A8">
        <w:rPr>
          <w:rFonts w:ascii="Verdana" w:hAnsi="Verdana"/>
          <w:sz w:val="16"/>
          <w:szCs w:val="16"/>
        </w:rPr>
        <w:t xml:space="preserve"> </w:t>
      </w:r>
      <w:r w:rsidRPr="00A852A8">
        <w:rPr>
          <w:rFonts w:ascii="Verdana" w:hAnsi="Verdana"/>
          <w:sz w:val="16"/>
          <w:szCs w:val="16"/>
        </w:rPr>
        <w:tab/>
      </w:r>
      <w:r w:rsidRPr="00A852A8">
        <w:rPr>
          <w:rFonts w:ascii="Verdana" w:hAnsi="Verdana"/>
          <w:i/>
          <w:sz w:val="16"/>
          <w:szCs w:val="16"/>
        </w:rPr>
        <w:t>Cfr</w:t>
      </w:r>
      <w:r w:rsidRPr="00A852A8">
        <w:rPr>
          <w:rFonts w:ascii="Verdana" w:hAnsi="Verdana"/>
          <w:sz w:val="16"/>
          <w:szCs w:val="16"/>
        </w:rPr>
        <w:t xml:space="preserve">. </w:t>
      </w:r>
      <w:r w:rsidRPr="00A852A8">
        <w:rPr>
          <w:rFonts w:ascii="Verdana" w:hAnsi="Verdana"/>
          <w:bCs/>
          <w:i/>
          <w:sz w:val="16"/>
          <w:szCs w:val="16"/>
        </w:rPr>
        <w:t>Caso Acosta Martínez y otros Vs. Argentina. Fondo, Reparaciones y Costas</w:t>
      </w:r>
      <w:r w:rsidRPr="00A852A8">
        <w:rPr>
          <w:rFonts w:ascii="Verdana" w:hAnsi="Verdana"/>
          <w:sz w:val="16"/>
          <w:szCs w:val="16"/>
        </w:rPr>
        <w:t xml:space="preserve">. Sentencia de 31 de agosto de 2020. Serie C No. 410, </w:t>
      </w:r>
      <w:proofErr w:type="spellStart"/>
      <w:r w:rsidRPr="00A852A8">
        <w:rPr>
          <w:rFonts w:ascii="Verdana" w:hAnsi="Verdana"/>
          <w:sz w:val="16"/>
          <w:szCs w:val="16"/>
        </w:rPr>
        <w:t>párrs</w:t>
      </w:r>
      <w:proofErr w:type="spellEnd"/>
      <w:r w:rsidRPr="00A852A8">
        <w:rPr>
          <w:rFonts w:ascii="Verdana" w:hAnsi="Verdana"/>
          <w:sz w:val="16"/>
          <w:szCs w:val="16"/>
        </w:rPr>
        <w:t xml:space="preserve"> .102 y 103.</w:t>
      </w:r>
    </w:p>
  </w:footnote>
  <w:footnote w:id="28">
    <w:p w14:paraId="0765B134" w14:textId="77777777" w:rsidR="00B20C22" w:rsidRPr="00A852A8" w:rsidRDefault="00B20C22" w:rsidP="0079249C">
      <w:pPr>
        <w:pStyle w:val="Textonotapie"/>
        <w:spacing w:before="120" w:after="120"/>
        <w:ind w:right="615"/>
        <w:jc w:val="both"/>
        <w:rPr>
          <w:rFonts w:ascii="Verdana" w:hAnsi="Verdana"/>
          <w:sz w:val="16"/>
          <w:szCs w:val="16"/>
        </w:rPr>
      </w:pPr>
      <w:r w:rsidRPr="00A852A8">
        <w:rPr>
          <w:rStyle w:val="Refdenotaalpie"/>
          <w:rFonts w:ascii="Verdana" w:hAnsi="Verdana"/>
          <w:sz w:val="16"/>
          <w:szCs w:val="16"/>
        </w:rPr>
        <w:footnoteRef/>
      </w:r>
      <w:r w:rsidRPr="00A852A8">
        <w:rPr>
          <w:rFonts w:ascii="Verdana" w:hAnsi="Verdana"/>
          <w:sz w:val="16"/>
          <w:szCs w:val="16"/>
        </w:rPr>
        <w:t xml:space="preserve"> </w:t>
      </w:r>
      <w:r w:rsidRPr="00A852A8">
        <w:rPr>
          <w:rFonts w:ascii="Verdana" w:hAnsi="Verdana"/>
          <w:sz w:val="16"/>
          <w:szCs w:val="16"/>
        </w:rPr>
        <w:tab/>
      </w:r>
      <w:r w:rsidR="004E1B35" w:rsidRPr="00A852A8">
        <w:rPr>
          <w:rFonts w:ascii="Verdana" w:hAnsi="Verdana"/>
          <w:i/>
          <w:iCs/>
          <w:sz w:val="16"/>
          <w:szCs w:val="16"/>
        </w:rPr>
        <w:t xml:space="preserve">Cfr. </w:t>
      </w:r>
      <w:r w:rsidR="004E1B35" w:rsidRPr="00A852A8">
        <w:rPr>
          <w:rFonts w:ascii="Verdana" w:hAnsi="Verdana" w:cs="Open Sans"/>
          <w:i/>
          <w:iCs/>
          <w:sz w:val="16"/>
          <w:szCs w:val="16"/>
          <w:shd w:val="clear" w:color="auto" w:fill="FFFFFF"/>
        </w:rPr>
        <w:t>Caso Velásquez Rodríguez Vs. Honduras. Fondo</w:t>
      </w:r>
      <w:r w:rsidR="004E1B35" w:rsidRPr="00A852A8">
        <w:rPr>
          <w:rFonts w:ascii="Verdana" w:hAnsi="Verdana" w:cs="Open Sans"/>
          <w:sz w:val="16"/>
          <w:szCs w:val="16"/>
          <w:shd w:val="clear" w:color="auto" w:fill="FFFFFF"/>
        </w:rPr>
        <w:t>. Sentencia de 29 de julio de 1988. Serie C No. 4., párr. 165.</w:t>
      </w:r>
    </w:p>
  </w:footnote>
  <w:footnote w:id="29">
    <w:p w14:paraId="634BC080" w14:textId="77777777" w:rsidR="007E0AEE" w:rsidRPr="00A852A8" w:rsidRDefault="007E0AEE" w:rsidP="0079249C">
      <w:pPr>
        <w:pStyle w:val="Textonotapie"/>
        <w:tabs>
          <w:tab w:val="left" w:pos="567"/>
          <w:tab w:val="left" w:pos="709"/>
        </w:tabs>
        <w:spacing w:before="120" w:after="120"/>
        <w:ind w:right="615"/>
        <w:jc w:val="both"/>
        <w:rPr>
          <w:rFonts w:ascii="Verdana" w:hAnsi="Verdana"/>
          <w:sz w:val="16"/>
          <w:szCs w:val="16"/>
        </w:rPr>
      </w:pPr>
      <w:r w:rsidRPr="00A852A8">
        <w:rPr>
          <w:rStyle w:val="Refdenotaalpie"/>
          <w:rFonts w:ascii="Verdana" w:hAnsi="Verdana"/>
          <w:sz w:val="16"/>
          <w:szCs w:val="16"/>
        </w:rPr>
        <w:footnoteRef/>
      </w:r>
      <w:r w:rsidRPr="00A852A8">
        <w:rPr>
          <w:rFonts w:ascii="Verdana" w:hAnsi="Verdana"/>
          <w:sz w:val="16"/>
          <w:szCs w:val="16"/>
        </w:rPr>
        <w:t xml:space="preserve"> </w:t>
      </w:r>
      <w:r w:rsidRPr="00A852A8">
        <w:rPr>
          <w:rFonts w:ascii="Verdana" w:hAnsi="Verdana"/>
          <w:sz w:val="16"/>
          <w:szCs w:val="16"/>
        </w:rPr>
        <w:tab/>
      </w:r>
      <w:r w:rsidRPr="00A852A8">
        <w:rPr>
          <w:rFonts w:ascii="Verdana" w:hAnsi="Verdana"/>
          <w:i/>
          <w:sz w:val="16"/>
          <w:szCs w:val="16"/>
        </w:rPr>
        <w:t>Cfr</w:t>
      </w:r>
      <w:r w:rsidRPr="00A852A8">
        <w:rPr>
          <w:rFonts w:ascii="Verdana" w:hAnsi="Verdana"/>
          <w:sz w:val="16"/>
          <w:szCs w:val="16"/>
        </w:rPr>
        <w:t xml:space="preserve">. </w:t>
      </w:r>
      <w:r w:rsidRPr="00A852A8">
        <w:rPr>
          <w:rFonts w:ascii="Verdana" w:hAnsi="Verdana"/>
          <w:bCs/>
          <w:i/>
          <w:sz w:val="16"/>
          <w:szCs w:val="16"/>
        </w:rPr>
        <w:t xml:space="preserve">Caso de la Comunidad </w:t>
      </w:r>
      <w:proofErr w:type="spellStart"/>
      <w:r w:rsidRPr="00A852A8">
        <w:rPr>
          <w:rFonts w:ascii="Verdana" w:hAnsi="Verdana"/>
          <w:bCs/>
          <w:i/>
          <w:sz w:val="16"/>
          <w:szCs w:val="16"/>
        </w:rPr>
        <w:t>Mayagna</w:t>
      </w:r>
      <w:proofErr w:type="spellEnd"/>
      <w:r w:rsidRPr="00A852A8">
        <w:rPr>
          <w:rFonts w:ascii="Verdana" w:hAnsi="Verdana"/>
          <w:bCs/>
          <w:i/>
          <w:sz w:val="16"/>
          <w:szCs w:val="16"/>
        </w:rPr>
        <w:t xml:space="preserve"> (Sumo) </w:t>
      </w:r>
      <w:proofErr w:type="spellStart"/>
      <w:r w:rsidRPr="00A852A8">
        <w:rPr>
          <w:rFonts w:ascii="Verdana" w:hAnsi="Verdana"/>
          <w:bCs/>
          <w:i/>
          <w:sz w:val="16"/>
          <w:szCs w:val="16"/>
        </w:rPr>
        <w:t>Awas</w:t>
      </w:r>
      <w:proofErr w:type="spellEnd"/>
      <w:r w:rsidRPr="00A852A8">
        <w:rPr>
          <w:rFonts w:ascii="Verdana" w:hAnsi="Verdana"/>
          <w:bCs/>
          <w:i/>
          <w:sz w:val="16"/>
          <w:szCs w:val="16"/>
        </w:rPr>
        <w:t xml:space="preserve"> </w:t>
      </w:r>
      <w:proofErr w:type="spellStart"/>
      <w:r w:rsidRPr="00A852A8">
        <w:rPr>
          <w:rFonts w:ascii="Verdana" w:hAnsi="Verdana"/>
          <w:bCs/>
          <w:i/>
          <w:sz w:val="16"/>
          <w:szCs w:val="16"/>
        </w:rPr>
        <w:t>Tingni</w:t>
      </w:r>
      <w:proofErr w:type="spellEnd"/>
      <w:r w:rsidRPr="00A852A8">
        <w:rPr>
          <w:rFonts w:ascii="Verdana" w:hAnsi="Verdana"/>
          <w:bCs/>
          <w:i/>
          <w:sz w:val="16"/>
          <w:szCs w:val="16"/>
        </w:rPr>
        <w:t xml:space="preserve"> Vs. Nicaragua</w:t>
      </w:r>
      <w:r w:rsidRPr="00A852A8">
        <w:rPr>
          <w:rFonts w:ascii="Verdana" w:hAnsi="Verdana"/>
          <w:bCs/>
          <w:sz w:val="16"/>
          <w:szCs w:val="16"/>
        </w:rPr>
        <w:t>.</w:t>
      </w:r>
      <w:r w:rsidRPr="00A852A8">
        <w:rPr>
          <w:rFonts w:ascii="Verdana" w:hAnsi="Verdana"/>
          <w:sz w:val="16"/>
          <w:szCs w:val="16"/>
        </w:rPr>
        <w:t xml:space="preserve"> Fondo, Reparaciones y Costas. Sentencia de 31 de agosto de 2001. Serie C No. 79, </w:t>
      </w:r>
      <w:proofErr w:type="spellStart"/>
      <w:r w:rsidRPr="00A852A8">
        <w:rPr>
          <w:rFonts w:ascii="Verdana" w:hAnsi="Verdana"/>
          <w:sz w:val="16"/>
          <w:szCs w:val="16"/>
        </w:rPr>
        <w:t>párrs</w:t>
      </w:r>
      <w:proofErr w:type="spellEnd"/>
      <w:r w:rsidRPr="00A852A8">
        <w:rPr>
          <w:rFonts w:ascii="Verdana" w:hAnsi="Verdana"/>
          <w:sz w:val="16"/>
          <w:szCs w:val="16"/>
        </w:rPr>
        <w:t>. 123 y 127. En sentido similar:</w:t>
      </w:r>
    </w:p>
  </w:footnote>
  <w:footnote w:id="30">
    <w:p w14:paraId="6C24D992" w14:textId="77777777" w:rsidR="007E0AEE" w:rsidRPr="00A852A8" w:rsidRDefault="007E0AEE" w:rsidP="0079249C">
      <w:pPr>
        <w:pStyle w:val="Textonotapie"/>
        <w:tabs>
          <w:tab w:val="left" w:pos="567"/>
          <w:tab w:val="left" w:pos="709"/>
        </w:tabs>
        <w:spacing w:before="120" w:after="120"/>
        <w:ind w:right="615"/>
        <w:jc w:val="both"/>
        <w:rPr>
          <w:rFonts w:ascii="Verdana" w:hAnsi="Verdana"/>
          <w:sz w:val="16"/>
          <w:szCs w:val="16"/>
        </w:rPr>
      </w:pPr>
      <w:r w:rsidRPr="00A852A8">
        <w:rPr>
          <w:rStyle w:val="Refdenotaalpie"/>
          <w:rFonts w:ascii="Verdana" w:hAnsi="Verdana"/>
          <w:sz w:val="16"/>
          <w:szCs w:val="16"/>
        </w:rPr>
        <w:footnoteRef/>
      </w:r>
      <w:r w:rsidRPr="00A852A8">
        <w:rPr>
          <w:rFonts w:ascii="Verdana" w:hAnsi="Verdana"/>
          <w:sz w:val="16"/>
          <w:szCs w:val="16"/>
        </w:rPr>
        <w:t xml:space="preserve"> </w:t>
      </w:r>
      <w:r w:rsidRPr="00A852A8">
        <w:rPr>
          <w:rFonts w:ascii="Verdana" w:hAnsi="Verdana"/>
          <w:sz w:val="16"/>
          <w:szCs w:val="16"/>
        </w:rPr>
        <w:tab/>
      </w:r>
      <w:r w:rsidRPr="00A852A8">
        <w:rPr>
          <w:rFonts w:ascii="Verdana" w:hAnsi="Verdana"/>
          <w:i/>
          <w:sz w:val="16"/>
          <w:szCs w:val="16"/>
        </w:rPr>
        <w:t xml:space="preserve">Cfr. </w:t>
      </w:r>
      <w:r w:rsidRPr="00A852A8">
        <w:rPr>
          <w:rFonts w:ascii="Verdana" w:hAnsi="Verdana"/>
          <w:bCs/>
          <w:i/>
          <w:sz w:val="16"/>
          <w:szCs w:val="16"/>
        </w:rPr>
        <w:t xml:space="preserve">Caso del Pueblo </w:t>
      </w:r>
      <w:proofErr w:type="spellStart"/>
      <w:r w:rsidRPr="00A852A8">
        <w:rPr>
          <w:rFonts w:ascii="Verdana" w:hAnsi="Verdana"/>
          <w:bCs/>
          <w:i/>
          <w:sz w:val="16"/>
          <w:szCs w:val="16"/>
        </w:rPr>
        <w:t>Saramaka</w:t>
      </w:r>
      <w:proofErr w:type="spellEnd"/>
      <w:r w:rsidRPr="00A852A8">
        <w:rPr>
          <w:rFonts w:ascii="Verdana" w:hAnsi="Verdana"/>
          <w:bCs/>
          <w:i/>
          <w:sz w:val="16"/>
          <w:szCs w:val="16"/>
        </w:rPr>
        <w:t xml:space="preserve"> Vs. Surinam. Excepciones Preliminares, Fondo, Reparaciones y Costas</w:t>
      </w:r>
      <w:r w:rsidRPr="00A852A8">
        <w:rPr>
          <w:rFonts w:ascii="Verdana" w:hAnsi="Verdana"/>
          <w:bCs/>
          <w:sz w:val="16"/>
          <w:szCs w:val="16"/>
        </w:rPr>
        <w:t>.</w:t>
      </w:r>
      <w:r w:rsidRPr="00A852A8">
        <w:rPr>
          <w:rFonts w:ascii="Verdana" w:hAnsi="Verdana"/>
          <w:sz w:val="16"/>
          <w:szCs w:val="16"/>
        </w:rPr>
        <w:t xml:space="preserve"> Sentencia de 28 de noviembre de 2007. Serie C No. 172, </w:t>
      </w:r>
      <w:proofErr w:type="spellStart"/>
      <w:r w:rsidRPr="00A852A8">
        <w:rPr>
          <w:rFonts w:ascii="Verdana" w:hAnsi="Verdana"/>
          <w:sz w:val="16"/>
          <w:szCs w:val="16"/>
        </w:rPr>
        <w:t>párrs</w:t>
      </w:r>
      <w:proofErr w:type="spellEnd"/>
      <w:r w:rsidRPr="00A852A8">
        <w:rPr>
          <w:rFonts w:ascii="Verdana" w:hAnsi="Verdana"/>
          <w:sz w:val="16"/>
          <w:szCs w:val="16"/>
        </w:rPr>
        <w:t xml:space="preserve">. 115 y 116. En el mismo sentido: </w:t>
      </w:r>
      <w:r w:rsidRPr="00A852A8">
        <w:rPr>
          <w:rFonts w:ascii="Verdana" w:hAnsi="Verdana"/>
          <w:bCs/>
          <w:i/>
          <w:sz w:val="16"/>
          <w:szCs w:val="16"/>
        </w:rPr>
        <w:t xml:space="preserve">Caso Pueblos </w:t>
      </w:r>
      <w:proofErr w:type="spellStart"/>
      <w:r w:rsidRPr="00A852A8">
        <w:rPr>
          <w:rFonts w:ascii="Verdana" w:hAnsi="Verdana"/>
          <w:bCs/>
          <w:i/>
          <w:sz w:val="16"/>
          <w:szCs w:val="16"/>
        </w:rPr>
        <w:t>Kaliña</w:t>
      </w:r>
      <w:proofErr w:type="spellEnd"/>
      <w:r w:rsidRPr="00A852A8">
        <w:rPr>
          <w:rFonts w:ascii="Verdana" w:hAnsi="Verdana"/>
          <w:bCs/>
          <w:i/>
          <w:sz w:val="16"/>
          <w:szCs w:val="16"/>
        </w:rPr>
        <w:t xml:space="preserve"> y </w:t>
      </w:r>
      <w:proofErr w:type="spellStart"/>
      <w:r w:rsidRPr="00A852A8">
        <w:rPr>
          <w:rFonts w:ascii="Verdana" w:hAnsi="Verdana"/>
          <w:bCs/>
          <w:i/>
          <w:sz w:val="16"/>
          <w:szCs w:val="16"/>
        </w:rPr>
        <w:t>Lokono</w:t>
      </w:r>
      <w:proofErr w:type="spellEnd"/>
      <w:r w:rsidRPr="00A852A8">
        <w:rPr>
          <w:rFonts w:ascii="Verdana" w:hAnsi="Verdana"/>
          <w:bCs/>
          <w:i/>
          <w:sz w:val="16"/>
          <w:szCs w:val="16"/>
        </w:rPr>
        <w:t xml:space="preserve"> Vs. Surinam</w:t>
      </w:r>
      <w:r w:rsidRPr="00A852A8">
        <w:rPr>
          <w:rFonts w:ascii="Verdana" w:hAnsi="Verdana"/>
          <w:bCs/>
          <w:sz w:val="16"/>
          <w:szCs w:val="16"/>
        </w:rPr>
        <w:t>.</w:t>
      </w:r>
      <w:r w:rsidRPr="00A852A8">
        <w:rPr>
          <w:rFonts w:ascii="Verdana" w:hAnsi="Verdana"/>
          <w:sz w:val="16"/>
          <w:szCs w:val="16"/>
        </w:rPr>
        <w:t xml:space="preserve"> Fondo, Reparaciones y Costas. Sentencia de 25 de noviembre de 2015. Serie C No. 309, párr. 114.</w:t>
      </w:r>
    </w:p>
  </w:footnote>
  <w:footnote w:id="31">
    <w:p w14:paraId="5CBBA588" w14:textId="77777777" w:rsidR="007E0AEE" w:rsidRPr="00A852A8" w:rsidRDefault="007E0AEE" w:rsidP="0079249C">
      <w:pPr>
        <w:pStyle w:val="Textonotapie"/>
        <w:tabs>
          <w:tab w:val="left" w:pos="567"/>
          <w:tab w:val="left" w:pos="709"/>
        </w:tabs>
        <w:spacing w:before="120" w:after="120"/>
        <w:ind w:right="615"/>
        <w:jc w:val="both"/>
        <w:rPr>
          <w:rFonts w:ascii="Verdana" w:hAnsi="Verdana"/>
          <w:sz w:val="16"/>
          <w:szCs w:val="16"/>
        </w:rPr>
      </w:pPr>
      <w:r w:rsidRPr="00A852A8">
        <w:rPr>
          <w:rStyle w:val="Refdenotaalpie"/>
          <w:rFonts w:ascii="Verdana" w:hAnsi="Verdana"/>
          <w:sz w:val="16"/>
          <w:szCs w:val="16"/>
        </w:rPr>
        <w:footnoteRef/>
      </w:r>
      <w:r w:rsidRPr="00A852A8">
        <w:rPr>
          <w:rFonts w:ascii="Verdana" w:hAnsi="Verdana"/>
          <w:sz w:val="16"/>
          <w:szCs w:val="16"/>
        </w:rPr>
        <w:t xml:space="preserve"> </w:t>
      </w:r>
      <w:r w:rsidRPr="00A852A8">
        <w:rPr>
          <w:rFonts w:ascii="Verdana" w:hAnsi="Verdana"/>
          <w:sz w:val="16"/>
          <w:szCs w:val="16"/>
        </w:rPr>
        <w:tab/>
      </w:r>
      <w:r w:rsidRPr="00A852A8">
        <w:rPr>
          <w:rFonts w:ascii="Verdana" w:hAnsi="Verdana"/>
          <w:i/>
          <w:sz w:val="16"/>
          <w:szCs w:val="16"/>
        </w:rPr>
        <w:t xml:space="preserve">Cfr. </w:t>
      </w:r>
      <w:r w:rsidRPr="00A852A8">
        <w:rPr>
          <w:rFonts w:ascii="Verdana" w:hAnsi="Verdana"/>
          <w:bCs/>
          <w:i/>
          <w:sz w:val="16"/>
          <w:szCs w:val="16"/>
        </w:rPr>
        <w:t>Caso Claude Reyes y otros Vs. Chile. Fondo, Reparaciones y Costas</w:t>
      </w:r>
      <w:r w:rsidRPr="00A852A8">
        <w:rPr>
          <w:rFonts w:ascii="Verdana" w:hAnsi="Verdana"/>
          <w:i/>
          <w:sz w:val="16"/>
          <w:szCs w:val="16"/>
        </w:rPr>
        <w:t xml:space="preserve">. </w:t>
      </w:r>
      <w:r w:rsidRPr="00A852A8">
        <w:rPr>
          <w:rFonts w:ascii="Verdana" w:hAnsi="Verdana"/>
          <w:sz w:val="16"/>
          <w:szCs w:val="16"/>
        </w:rPr>
        <w:t>Sentencia de 19 de septiembre de 2006. Serie C No. 151, párr. 94.</w:t>
      </w:r>
    </w:p>
  </w:footnote>
  <w:footnote w:id="32">
    <w:p w14:paraId="25CA3709" w14:textId="77777777" w:rsidR="007E0AEE" w:rsidRPr="00A852A8" w:rsidRDefault="007E0AEE" w:rsidP="0079249C">
      <w:pPr>
        <w:pStyle w:val="Textonotapie"/>
        <w:tabs>
          <w:tab w:val="left" w:pos="567"/>
          <w:tab w:val="left" w:pos="709"/>
        </w:tabs>
        <w:spacing w:before="120" w:after="120"/>
        <w:ind w:right="615"/>
        <w:jc w:val="both"/>
        <w:rPr>
          <w:rFonts w:ascii="Verdana" w:hAnsi="Verdana"/>
          <w:sz w:val="16"/>
          <w:szCs w:val="16"/>
        </w:rPr>
      </w:pPr>
      <w:r w:rsidRPr="00A852A8">
        <w:rPr>
          <w:rStyle w:val="Refdenotaalpie"/>
          <w:rFonts w:ascii="Verdana" w:hAnsi="Verdana"/>
          <w:sz w:val="16"/>
          <w:szCs w:val="16"/>
        </w:rPr>
        <w:footnoteRef/>
      </w:r>
      <w:r w:rsidRPr="00A852A8">
        <w:rPr>
          <w:rFonts w:ascii="Verdana" w:hAnsi="Verdana"/>
          <w:sz w:val="16"/>
          <w:szCs w:val="16"/>
        </w:rPr>
        <w:t xml:space="preserve"> </w:t>
      </w:r>
      <w:r w:rsidRPr="00A852A8">
        <w:rPr>
          <w:rFonts w:ascii="Verdana" w:hAnsi="Verdana"/>
          <w:sz w:val="16"/>
          <w:szCs w:val="16"/>
        </w:rPr>
        <w:tab/>
      </w:r>
      <w:r w:rsidRPr="00A852A8">
        <w:rPr>
          <w:rFonts w:ascii="Verdana" w:hAnsi="Verdana"/>
          <w:i/>
          <w:sz w:val="16"/>
          <w:szCs w:val="16"/>
        </w:rPr>
        <w:t xml:space="preserve">Cfr. </w:t>
      </w:r>
      <w:r w:rsidRPr="00A852A8">
        <w:rPr>
          <w:rFonts w:ascii="Verdana" w:hAnsi="Verdana"/>
          <w:bCs/>
          <w:i/>
          <w:sz w:val="16"/>
          <w:szCs w:val="16"/>
        </w:rPr>
        <w:t>Caso Manuela y otros Vs. El Salvador. Excepciones preliminares, Fondo, Reparaciones y Costas</w:t>
      </w:r>
      <w:r w:rsidRPr="00A852A8">
        <w:rPr>
          <w:rFonts w:ascii="Verdana" w:hAnsi="Verdana"/>
          <w:bCs/>
          <w:sz w:val="16"/>
          <w:szCs w:val="16"/>
        </w:rPr>
        <w:t>.</w:t>
      </w:r>
      <w:r w:rsidRPr="00A852A8">
        <w:rPr>
          <w:rFonts w:ascii="Verdana" w:hAnsi="Verdana"/>
          <w:sz w:val="16"/>
          <w:szCs w:val="16"/>
        </w:rPr>
        <w:t xml:space="preserve"> Sentencia de 2 de noviembre de 2021. Serie C No. 441, </w:t>
      </w:r>
      <w:proofErr w:type="spellStart"/>
      <w:r w:rsidRPr="00A852A8">
        <w:rPr>
          <w:rFonts w:ascii="Verdana" w:hAnsi="Verdana"/>
          <w:sz w:val="16"/>
          <w:szCs w:val="16"/>
        </w:rPr>
        <w:t>párrs</w:t>
      </w:r>
      <w:proofErr w:type="spellEnd"/>
      <w:r w:rsidRPr="00A852A8">
        <w:rPr>
          <w:rFonts w:ascii="Verdana" w:hAnsi="Verdana"/>
          <w:sz w:val="16"/>
          <w:szCs w:val="16"/>
        </w:rPr>
        <w:t>. 228, 229 y 286.</w:t>
      </w:r>
    </w:p>
  </w:footnote>
  <w:footnote w:id="33">
    <w:p w14:paraId="59AE2BEF" w14:textId="77777777" w:rsidR="007E0AEE" w:rsidRPr="00A852A8" w:rsidRDefault="007E0AEE" w:rsidP="0079249C">
      <w:pPr>
        <w:pStyle w:val="Textonotapie"/>
        <w:tabs>
          <w:tab w:val="left" w:pos="567"/>
          <w:tab w:val="left" w:pos="709"/>
        </w:tabs>
        <w:spacing w:before="120" w:after="120"/>
        <w:ind w:right="615"/>
        <w:jc w:val="both"/>
        <w:rPr>
          <w:rFonts w:ascii="Verdana" w:hAnsi="Verdana"/>
          <w:sz w:val="16"/>
          <w:szCs w:val="16"/>
        </w:rPr>
      </w:pPr>
      <w:r w:rsidRPr="00A852A8">
        <w:rPr>
          <w:rStyle w:val="Refdenotaalpie"/>
          <w:rFonts w:ascii="Verdana" w:hAnsi="Verdana"/>
          <w:sz w:val="16"/>
          <w:szCs w:val="16"/>
        </w:rPr>
        <w:footnoteRef/>
      </w:r>
      <w:r w:rsidRPr="00A852A8">
        <w:rPr>
          <w:rFonts w:ascii="Verdana" w:hAnsi="Verdana"/>
          <w:sz w:val="16"/>
          <w:szCs w:val="16"/>
        </w:rPr>
        <w:t xml:space="preserve"> </w:t>
      </w:r>
      <w:r w:rsidRPr="00A852A8">
        <w:rPr>
          <w:rFonts w:ascii="Verdana" w:hAnsi="Verdana"/>
          <w:sz w:val="16"/>
          <w:szCs w:val="16"/>
        </w:rPr>
        <w:tab/>
      </w:r>
      <w:r w:rsidRPr="00A852A8">
        <w:rPr>
          <w:rFonts w:ascii="Verdana" w:hAnsi="Verdana"/>
          <w:i/>
          <w:sz w:val="16"/>
          <w:szCs w:val="16"/>
        </w:rPr>
        <w:t xml:space="preserve">Cfr. </w:t>
      </w:r>
      <w:r w:rsidRPr="00A852A8">
        <w:rPr>
          <w:rFonts w:ascii="Verdana" w:hAnsi="Verdana"/>
          <w:bCs/>
          <w:i/>
          <w:sz w:val="16"/>
          <w:szCs w:val="16"/>
        </w:rPr>
        <w:t>Caso Ramírez Escobar y otros Vs. Guatemala. Fondo, Reparaciones y Costas</w:t>
      </w:r>
      <w:r w:rsidRPr="00A852A8">
        <w:rPr>
          <w:rFonts w:ascii="Verdana" w:hAnsi="Verdana"/>
          <w:i/>
          <w:sz w:val="16"/>
          <w:szCs w:val="16"/>
        </w:rPr>
        <w:t xml:space="preserve">. </w:t>
      </w:r>
      <w:r w:rsidRPr="00A852A8">
        <w:rPr>
          <w:rFonts w:ascii="Verdana" w:hAnsi="Verdana"/>
          <w:sz w:val="16"/>
          <w:szCs w:val="16"/>
        </w:rPr>
        <w:t>Sentencia de 9 de marzo de 2018. Serie C No. 351, párr. 356 y 357.</w:t>
      </w:r>
    </w:p>
  </w:footnote>
  <w:footnote w:id="34">
    <w:p w14:paraId="09D85D99" w14:textId="77777777" w:rsidR="007E0AEE" w:rsidRPr="00A852A8" w:rsidRDefault="007E0AEE" w:rsidP="0079249C">
      <w:pPr>
        <w:pStyle w:val="Textonotapie"/>
        <w:tabs>
          <w:tab w:val="left" w:pos="567"/>
          <w:tab w:val="left" w:pos="709"/>
        </w:tabs>
        <w:spacing w:before="120" w:after="120"/>
        <w:ind w:right="615"/>
        <w:jc w:val="both"/>
        <w:rPr>
          <w:rFonts w:ascii="Verdana" w:hAnsi="Verdana"/>
          <w:sz w:val="16"/>
          <w:szCs w:val="16"/>
        </w:rPr>
      </w:pPr>
      <w:r w:rsidRPr="00A852A8">
        <w:rPr>
          <w:rStyle w:val="Refdenotaalpie"/>
          <w:rFonts w:ascii="Verdana" w:hAnsi="Verdana"/>
          <w:sz w:val="16"/>
          <w:szCs w:val="16"/>
        </w:rPr>
        <w:footnoteRef/>
      </w:r>
      <w:r w:rsidRPr="00A852A8">
        <w:rPr>
          <w:rFonts w:ascii="Verdana" w:hAnsi="Verdana"/>
          <w:sz w:val="16"/>
          <w:szCs w:val="16"/>
        </w:rPr>
        <w:t xml:space="preserve"> </w:t>
      </w:r>
      <w:r w:rsidRPr="00A852A8">
        <w:rPr>
          <w:rFonts w:ascii="Verdana" w:hAnsi="Verdana"/>
          <w:sz w:val="16"/>
          <w:szCs w:val="16"/>
        </w:rPr>
        <w:tab/>
      </w:r>
      <w:r w:rsidRPr="00A852A8">
        <w:rPr>
          <w:rFonts w:ascii="Verdana" w:hAnsi="Verdana"/>
          <w:i/>
          <w:sz w:val="16"/>
          <w:szCs w:val="16"/>
        </w:rPr>
        <w:t>Cfr.</w:t>
      </w:r>
      <w:r w:rsidRPr="00A852A8">
        <w:rPr>
          <w:rFonts w:ascii="Verdana" w:hAnsi="Verdana"/>
          <w:sz w:val="16"/>
          <w:szCs w:val="16"/>
        </w:rPr>
        <w:t xml:space="preserve"> </w:t>
      </w:r>
      <w:r w:rsidRPr="00A852A8">
        <w:rPr>
          <w:rFonts w:ascii="Verdana" w:hAnsi="Verdana"/>
          <w:bCs/>
          <w:i/>
          <w:sz w:val="16"/>
          <w:szCs w:val="16"/>
        </w:rPr>
        <w:t xml:space="preserve">Caso Fernández Prieto y </w:t>
      </w:r>
      <w:proofErr w:type="spellStart"/>
      <w:r w:rsidRPr="00A852A8">
        <w:rPr>
          <w:rFonts w:ascii="Verdana" w:hAnsi="Verdana"/>
          <w:bCs/>
          <w:i/>
          <w:sz w:val="16"/>
          <w:szCs w:val="16"/>
        </w:rPr>
        <w:t>Tumbeiro</w:t>
      </w:r>
      <w:proofErr w:type="spellEnd"/>
      <w:r w:rsidRPr="00A852A8">
        <w:rPr>
          <w:rFonts w:ascii="Verdana" w:hAnsi="Verdana"/>
          <w:bCs/>
          <w:i/>
          <w:sz w:val="16"/>
          <w:szCs w:val="16"/>
        </w:rPr>
        <w:t xml:space="preserve"> Vs. Argentina. Fondo y Reparaciones</w:t>
      </w:r>
      <w:r w:rsidRPr="00A852A8">
        <w:rPr>
          <w:rFonts w:ascii="Verdana" w:hAnsi="Verdana"/>
          <w:i/>
          <w:sz w:val="16"/>
          <w:szCs w:val="16"/>
        </w:rPr>
        <w:t xml:space="preserve">. </w:t>
      </w:r>
      <w:r w:rsidRPr="00A852A8">
        <w:rPr>
          <w:rFonts w:ascii="Verdana" w:hAnsi="Verdana"/>
          <w:sz w:val="16"/>
          <w:szCs w:val="16"/>
        </w:rPr>
        <w:t>Sentencia de 1 de septiembre de 2020. Serie C No. 411, párr. 90.</w:t>
      </w:r>
    </w:p>
  </w:footnote>
  <w:footnote w:id="35">
    <w:p w14:paraId="4C8B6E07" w14:textId="77777777" w:rsidR="008C7DC0" w:rsidRPr="00A852A8" w:rsidRDefault="008C7DC0" w:rsidP="0079249C">
      <w:pPr>
        <w:pStyle w:val="Textonotapie"/>
        <w:spacing w:before="120" w:after="120"/>
        <w:ind w:right="615"/>
        <w:jc w:val="both"/>
        <w:rPr>
          <w:rFonts w:ascii="Verdana" w:hAnsi="Verdana"/>
          <w:sz w:val="16"/>
          <w:szCs w:val="16"/>
        </w:rPr>
      </w:pPr>
      <w:r w:rsidRPr="00A852A8">
        <w:rPr>
          <w:rStyle w:val="Refdenotaalpie"/>
          <w:rFonts w:ascii="Verdana" w:hAnsi="Verdana"/>
          <w:sz w:val="16"/>
          <w:szCs w:val="16"/>
        </w:rPr>
        <w:footnoteRef/>
      </w:r>
      <w:r w:rsidRPr="00A852A8">
        <w:rPr>
          <w:rFonts w:ascii="Verdana" w:hAnsi="Verdana"/>
          <w:sz w:val="16"/>
          <w:szCs w:val="16"/>
        </w:rPr>
        <w:t xml:space="preserve"> </w:t>
      </w:r>
      <w:r w:rsidRPr="00A852A8">
        <w:rPr>
          <w:rFonts w:ascii="Verdana" w:hAnsi="Verdana"/>
          <w:sz w:val="16"/>
          <w:szCs w:val="16"/>
        </w:rPr>
        <w:tab/>
      </w:r>
      <w:r w:rsidRPr="00A852A8">
        <w:rPr>
          <w:rFonts w:ascii="Verdana" w:hAnsi="Verdana"/>
          <w:i/>
          <w:iCs/>
          <w:sz w:val="16"/>
          <w:szCs w:val="16"/>
        </w:rPr>
        <w:t>Cfr. Caso López y otros Vs. Argentina. Excepciones Preliminares, Fondo, Reparaciones y Costas.</w:t>
      </w:r>
      <w:r w:rsidRPr="00A852A8">
        <w:rPr>
          <w:rFonts w:ascii="Verdana" w:hAnsi="Verdana"/>
          <w:sz w:val="16"/>
          <w:szCs w:val="16"/>
        </w:rPr>
        <w:t xml:space="preserve"> Sentencia de 25 de noviembre de 2019. Serie C No. 396, </w:t>
      </w:r>
      <w:proofErr w:type="spellStart"/>
      <w:r w:rsidRPr="00A852A8">
        <w:rPr>
          <w:rFonts w:ascii="Verdana" w:hAnsi="Verdana"/>
          <w:sz w:val="16"/>
          <w:szCs w:val="16"/>
        </w:rPr>
        <w:t>párrs</w:t>
      </w:r>
      <w:proofErr w:type="spellEnd"/>
      <w:r w:rsidRPr="00A852A8">
        <w:rPr>
          <w:rFonts w:ascii="Verdana" w:hAnsi="Verdana"/>
          <w:sz w:val="16"/>
          <w:szCs w:val="16"/>
        </w:rPr>
        <w:t xml:space="preserve">. 98 y 99, y </w:t>
      </w:r>
      <w:r w:rsidRPr="00A852A8">
        <w:rPr>
          <w:rFonts w:ascii="Verdana" w:hAnsi="Verdana"/>
          <w:i/>
          <w:iCs/>
          <w:sz w:val="16"/>
          <w:szCs w:val="16"/>
        </w:rPr>
        <w:t>Caso Valencia Campos y otros Vs. Bolivia, supra</w:t>
      </w:r>
      <w:r w:rsidRPr="00A852A8">
        <w:rPr>
          <w:rFonts w:ascii="Verdana" w:hAnsi="Verdana"/>
          <w:sz w:val="16"/>
          <w:szCs w:val="16"/>
        </w:rPr>
        <w:t xml:space="preserve">, párr. 148, y </w:t>
      </w:r>
      <w:r w:rsidRPr="00A852A8">
        <w:rPr>
          <w:rFonts w:ascii="Verdana" w:hAnsi="Verdana"/>
          <w:i/>
          <w:iCs/>
          <w:sz w:val="16"/>
          <w:szCs w:val="16"/>
        </w:rPr>
        <w:t>Condición jurídica y derechos humanos del niño. Opinión Consultiva OC-17/02 de 28 de agosto de 2002.</w:t>
      </w:r>
      <w:r w:rsidRPr="00A852A8">
        <w:rPr>
          <w:rFonts w:ascii="Verdana" w:hAnsi="Verdana"/>
          <w:sz w:val="16"/>
          <w:szCs w:val="16"/>
        </w:rPr>
        <w:t xml:space="preserve"> Serie A No. 17, </w:t>
      </w:r>
      <w:proofErr w:type="spellStart"/>
      <w:r w:rsidRPr="00A852A8">
        <w:rPr>
          <w:rFonts w:ascii="Verdana" w:hAnsi="Verdana"/>
          <w:sz w:val="16"/>
          <w:szCs w:val="16"/>
        </w:rPr>
        <w:t>párrs</w:t>
      </w:r>
      <w:proofErr w:type="spellEnd"/>
      <w:r w:rsidRPr="00A852A8">
        <w:rPr>
          <w:rFonts w:ascii="Verdana" w:hAnsi="Verdana"/>
          <w:sz w:val="16"/>
          <w:szCs w:val="16"/>
        </w:rPr>
        <w:t>. 53, 54, 60, 86, 91, y 93, y Caso Movilla Galarcio y otros Vs. Colombia, supra, párr.183.</w:t>
      </w:r>
    </w:p>
  </w:footnote>
  <w:footnote w:id="36">
    <w:p w14:paraId="1C08EC45" w14:textId="77777777" w:rsidR="002373CB" w:rsidRPr="00A852A8" w:rsidRDefault="002373CB" w:rsidP="0079249C">
      <w:pPr>
        <w:pStyle w:val="Textonotapie"/>
        <w:spacing w:before="120" w:after="120"/>
        <w:ind w:right="615"/>
        <w:jc w:val="both"/>
        <w:rPr>
          <w:rFonts w:ascii="Verdana" w:hAnsi="Verdana"/>
          <w:sz w:val="16"/>
          <w:szCs w:val="16"/>
        </w:rPr>
      </w:pPr>
      <w:r w:rsidRPr="00A852A8">
        <w:rPr>
          <w:rStyle w:val="Refdenotaalpie"/>
          <w:rFonts w:ascii="Verdana" w:hAnsi="Verdana"/>
          <w:sz w:val="16"/>
          <w:szCs w:val="16"/>
        </w:rPr>
        <w:footnoteRef/>
      </w:r>
      <w:r w:rsidRPr="00A852A8">
        <w:rPr>
          <w:rFonts w:ascii="Verdana" w:hAnsi="Verdana"/>
          <w:sz w:val="16"/>
          <w:szCs w:val="16"/>
        </w:rPr>
        <w:t xml:space="preserve"> </w:t>
      </w:r>
      <w:r w:rsidRPr="00A852A8">
        <w:rPr>
          <w:rFonts w:ascii="Verdana" w:hAnsi="Verdana"/>
          <w:sz w:val="16"/>
          <w:szCs w:val="16"/>
        </w:rPr>
        <w:tab/>
        <w:t>C</w:t>
      </w:r>
      <w:r w:rsidRPr="00A852A8">
        <w:rPr>
          <w:rFonts w:ascii="Verdana" w:hAnsi="Verdana"/>
          <w:i/>
          <w:iCs/>
          <w:sz w:val="16"/>
          <w:szCs w:val="16"/>
        </w:rPr>
        <w:t>fr. Condición jurídica y derechos humanos del niño. Opinión Consultiva OC-17/02 de 28 de agosto de 2002.</w:t>
      </w:r>
      <w:r w:rsidRPr="00A852A8">
        <w:rPr>
          <w:rFonts w:ascii="Verdana" w:hAnsi="Verdana"/>
          <w:sz w:val="16"/>
          <w:szCs w:val="16"/>
        </w:rPr>
        <w:t xml:space="preserve"> Serie A No. 17, </w:t>
      </w:r>
      <w:proofErr w:type="spellStart"/>
      <w:r w:rsidRPr="00A852A8">
        <w:rPr>
          <w:rFonts w:ascii="Verdana" w:hAnsi="Verdana"/>
          <w:sz w:val="16"/>
          <w:szCs w:val="16"/>
        </w:rPr>
        <w:t>párrs</w:t>
      </w:r>
      <w:proofErr w:type="spellEnd"/>
      <w:r w:rsidRPr="00A852A8">
        <w:rPr>
          <w:rFonts w:ascii="Verdana" w:hAnsi="Verdana"/>
          <w:sz w:val="16"/>
          <w:szCs w:val="16"/>
        </w:rPr>
        <w:t xml:space="preserve">. 53, 54, 60, 86, 91, y 93, y </w:t>
      </w:r>
      <w:r w:rsidRPr="00A852A8">
        <w:rPr>
          <w:rFonts w:ascii="Verdana" w:hAnsi="Verdana"/>
          <w:i/>
          <w:iCs/>
          <w:sz w:val="16"/>
          <w:szCs w:val="16"/>
        </w:rPr>
        <w:t>Caso Ramírez Escobar y otros Vs. Guatemala. Fondo, Reparaciones y Costas</w:t>
      </w:r>
      <w:r w:rsidRPr="00A852A8">
        <w:rPr>
          <w:rFonts w:ascii="Verdana" w:hAnsi="Verdana"/>
          <w:sz w:val="16"/>
          <w:szCs w:val="16"/>
        </w:rPr>
        <w:t>. Sentencia de 9 de marzo de 2018. Serie C No. 351, párr. 149.</w:t>
      </w:r>
    </w:p>
  </w:footnote>
  <w:footnote w:id="37">
    <w:p w14:paraId="1D5CD1DC" w14:textId="77777777" w:rsidR="005718D1" w:rsidRPr="00A852A8" w:rsidRDefault="005718D1" w:rsidP="0079249C">
      <w:pPr>
        <w:pStyle w:val="Textonotapie"/>
        <w:spacing w:before="120" w:after="120"/>
        <w:ind w:right="615"/>
        <w:jc w:val="both"/>
        <w:rPr>
          <w:rFonts w:ascii="Verdana" w:hAnsi="Verdana"/>
          <w:sz w:val="16"/>
          <w:szCs w:val="16"/>
        </w:rPr>
      </w:pPr>
      <w:r w:rsidRPr="00A852A8">
        <w:rPr>
          <w:rStyle w:val="Refdenotaalpie"/>
          <w:rFonts w:ascii="Verdana" w:hAnsi="Verdana"/>
          <w:sz w:val="16"/>
          <w:szCs w:val="16"/>
        </w:rPr>
        <w:footnoteRef/>
      </w:r>
      <w:r w:rsidRPr="00A852A8">
        <w:rPr>
          <w:rFonts w:ascii="Verdana" w:hAnsi="Verdana"/>
          <w:sz w:val="16"/>
          <w:szCs w:val="16"/>
        </w:rPr>
        <w:t xml:space="preserve"> </w:t>
      </w:r>
      <w:r w:rsidRPr="00A852A8">
        <w:rPr>
          <w:rFonts w:ascii="Verdana" w:hAnsi="Verdana"/>
          <w:sz w:val="16"/>
          <w:szCs w:val="16"/>
        </w:rPr>
        <w:tab/>
      </w:r>
      <w:r w:rsidRPr="00A852A8">
        <w:rPr>
          <w:rFonts w:ascii="Verdana" w:hAnsi="Verdana"/>
          <w:i/>
          <w:iCs/>
          <w:sz w:val="16"/>
          <w:szCs w:val="16"/>
        </w:rPr>
        <w:t>Cfr.</w:t>
      </w:r>
      <w:r w:rsidRPr="00A852A8">
        <w:rPr>
          <w:rFonts w:ascii="Verdana" w:hAnsi="Verdana"/>
          <w:sz w:val="16"/>
          <w:szCs w:val="16"/>
        </w:rPr>
        <w:t xml:space="preserve"> Ministerio de la Niñez y la Adolescencia. Protocolo y ruta de intervención de restitución internacional de niños, niñas y adolescentes en Paraguay. 28 de junio de 2021 (expediente de prueba, folios 6787 a 6812).</w:t>
      </w:r>
    </w:p>
  </w:footnote>
  <w:footnote w:id="38">
    <w:p w14:paraId="0CEBA0A5" w14:textId="1794D6CD" w:rsidR="004F7FE1" w:rsidRPr="00AE4D85" w:rsidRDefault="004F7FE1" w:rsidP="0079249C">
      <w:pPr>
        <w:pStyle w:val="Textonotapie"/>
        <w:spacing w:before="120" w:after="120"/>
        <w:ind w:right="615"/>
        <w:jc w:val="both"/>
        <w:rPr>
          <w:rFonts w:ascii="Verdana" w:hAnsi="Verdana"/>
          <w:sz w:val="16"/>
          <w:szCs w:val="16"/>
        </w:rPr>
      </w:pPr>
      <w:r w:rsidRPr="00A852A8">
        <w:rPr>
          <w:rStyle w:val="Refdenotaalpie"/>
          <w:rFonts w:ascii="Verdana" w:hAnsi="Verdana"/>
          <w:sz w:val="16"/>
          <w:szCs w:val="16"/>
        </w:rPr>
        <w:footnoteRef/>
      </w:r>
      <w:r w:rsidRPr="00A852A8">
        <w:rPr>
          <w:rFonts w:ascii="Verdana" w:hAnsi="Verdana"/>
          <w:sz w:val="16"/>
          <w:szCs w:val="16"/>
        </w:rPr>
        <w:t xml:space="preserve"> </w:t>
      </w:r>
      <w:r w:rsidRPr="00A852A8">
        <w:rPr>
          <w:rFonts w:ascii="Verdana" w:hAnsi="Verdana"/>
          <w:sz w:val="16"/>
          <w:szCs w:val="16"/>
        </w:rPr>
        <w:tab/>
      </w:r>
      <w:r w:rsidRPr="00A852A8">
        <w:rPr>
          <w:rFonts w:ascii="Verdana" w:hAnsi="Verdana"/>
          <w:i/>
          <w:iCs/>
          <w:sz w:val="16"/>
          <w:szCs w:val="16"/>
        </w:rPr>
        <w:t>Cfr.</w:t>
      </w:r>
      <w:r w:rsidRPr="00A852A8">
        <w:rPr>
          <w:rFonts w:ascii="Verdana" w:hAnsi="Verdana"/>
          <w:sz w:val="16"/>
          <w:szCs w:val="16"/>
        </w:rPr>
        <w:t xml:space="preserve"> Anexo al Protocolo Iberoamericano de Cooperación Judicial Internacional sobre “Sustracción Internacional de Niños” de la Cumbre Judicial Interamericana. Disponible en: </w:t>
      </w:r>
      <w:hyperlink r:id="rId1" w:history="1">
        <w:r w:rsidRPr="00A852A8">
          <w:rPr>
            <w:rStyle w:val="Hipervnculo"/>
            <w:rFonts w:ascii="Verdana" w:hAnsi="Verdana"/>
            <w:sz w:val="16"/>
            <w:szCs w:val="16"/>
          </w:rPr>
          <w:t>http://www.cumbrejudicial.org/productos-y-resultados/productos-axiologicos/item/40-protocolo-de-cooperacion-judicial-internacional</w:t>
        </w:r>
      </w:hyperlink>
      <w:r w:rsidRPr="00A852A8">
        <w:rPr>
          <w:rFonts w:ascii="Verdana" w:hAnsi="Verdana"/>
          <w:sz w:val="16"/>
          <w:szCs w:val="16"/>
        </w:rPr>
        <w:t xml:space="preserve"> </w:t>
      </w:r>
    </w:p>
  </w:footnote>
  <w:footnote w:id="39">
    <w:p w14:paraId="323C79F8" w14:textId="45FEEF3B" w:rsidR="00DB65DF" w:rsidRPr="00A852A8" w:rsidRDefault="00DB65DF" w:rsidP="0079249C">
      <w:pPr>
        <w:pStyle w:val="Textonotapie"/>
        <w:spacing w:before="120" w:after="120"/>
        <w:ind w:right="615"/>
        <w:jc w:val="both"/>
        <w:rPr>
          <w:rFonts w:ascii="Verdana" w:hAnsi="Verdana"/>
          <w:sz w:val="16"/>
          <w:szCs w:val="16"/>
        </w:rPr>
      </w:pPr>
      <w:r w:rsidRPr="00A852A8">
        <w:rPr>
          <w:rStyle w:val="Refdenotaalpie"/>
          <w:rFonts w:ascii="Verdana" w:hAnsi="Verdana"/>
          <w:sz w:val="16"/>
          <w:szCs w:val="16"/>
        </w:rPr>
        <w:footnoteRef/>
      </w:r>
      <w:r w:rsidRPr="00A852A8">
        <w:rPr>
          <w:rFonts w:ascii="Verdana" w:hAnsi="Verdana"/>
          <w:sz w:val="16"/>
          <w:szCs w:val="16"/>
        </w:rPr>
        <w:t xml:space="preserve"> </w:t>
      </w:r>
      <w:r w:rsidR="001F0E7F" w:rsidRPr="00A852A8">
        <w:rPr>
          <w:rFonts w:ascii="Verdana" w:hAnsi="Verdana"/>
          <w:sz w:val="16"/>
          <w:szCs w:val="16"/>
        </w:rPr>
        <w:tab/>
      </w:r>
      <w:r w:rsidRPr="00A852A8">
        <w:rPr>
          <w:rFonts w:ascii="Verdana" w:hAnsi="Verdana"/>
          <w:sz w:val="16"/>
          <w:szCs w:val="16"/>
        </w:rPr>
        <w:t xml:space="preserve">Reglamento (UE) 2019/1111 del Consejo, de 25 de junio de 2019, relativo a la competencia, el reconocimiento y la ejecución de resoluciones en materia matrimonial y de responsabilidad parental, y sobre la sustracción internacional de menores (Reglamento Bruselas II ter), texto disponible en </w:t>
      </w:r>
      <w:hyperlink r:id="rId2" w:history="1">
        <w:r w:rsidR="00AE4D85" w:rsidRPr="00820780">
          <w:rPr>
            <w:rStyle w:val="Hipervnculo"/>
            <w:rFonts w:ascii="Verdana" w:hAnsi="Verdana"/>
            <w:sz w:val="16"/>
            <w:szCs w:val="16"/>
          </w:rPr>
          <w:t>https://eur-lex.europa.eu</w:t>
        </w:r>
      </w:hyperlink>
      <w:r w:rsidR="00AE4D85">
        <w:rPr>
          <w:rFonts w:ascii="Verdana" w:hAnsi="Verdana"/>
          <w:sz w:val="16"/>
          <w:szCs w:val="16"/>
        </w:rPr>
        <w:t xml:space="preserve"> </w:t>
      </w:r>
    </w:p>
  </w:footnote>
  <w:footnote w:id="40">
    <w:p w14:paraId="551FE9A5" w14:textId="113D784C" w:rsidR="00DB65DF" w:rsidRPr="00A852A8" w:rsidRDefault="00DB65DF" w:rsidP="0079249C">
      <w:pPr>
        <w:pStyle w:val="Textonotapie"/>
        <w:spacing w:before="120" w:after="120"/>
        <w:ind w:right="615"/>
        <w:jc w:val="both"/>
        <w:rPr>
          <w:rFonts w:ascii="Verdana" w:hAnsi="Verdana"/>
          <w:sz w:val="16"/>
          <w:szCs w:val="16"/>
        </w:rPr>
      </w:pPr>
      <w:r w:rsidRPr="00A852A8">
        <w:rPr>
          <w:rStyle w:val="Refdenotaalpie"/>
          <w:rFonts w:ascii="Verdana" w:hAnsi="Verdana"/>
          <w:sz w:val="16"/>
          <w:szCs w:val="16"/>
        </w:rPr>
        <w:footnoteRef/>
      </w:r>
      <w:r w:rsidRPr="00A852A8">
        <w:rPr>
          <w:rFonts w:ascii="Verdana" w:hAnsi="Verdana"/>
          <w:sz w:val="16"/>
          <w:szCs w:val="16"/>
        </w:rPr>
        <w:t xml:space="preserve"> </w:t>
      </w:r>
      <w:r w:rsidR="001F0E7F" w:rsidRPr="00A852A8">
        <w:rPr>
          <w:rFonts w:ascii="Verdana" w:hAnsi="Verdana"/>
          <w:sz w:val="16"/>
          <w:szCs w:val="16"/>
        </w:rPr>
        <w:tab/>
      </w:r>
      <w:r w:rsidRPr="00A852A8">
        <w:rPr>
          <w:rFonts w:ascii="Verdana" w:hAnsi="Verdana"/>
          <w:sz w:val="16"/>
          <w:szCs w:val="16"/>
        </w:rPr>
        <w:t xml:space="preserve">Documento Preliminar Nro. 12 para Comisión Especial de </w:t>
      </w:r>
      <w:proofErr w:type="gramStart"/>
      <w:r w:rsidRPr="00A852A8">
        <w:rPr>
          <w:rFonts w:ascii="Verdana" w:hAnsi="Verdana"/>
          <w:sz w:val="16"/>
          <w:szCs w:val="16"/>
        </w:rPr>
        <w:t>Octubre</w:t>
      </w:r>
      <w:proofErr w:type="gramEnd"/>
      <w:r w:rsidRPr="00A852A8">
        <w:rPr>
          <w:rFonts w:ascii="Verdana" w:hAnsi="Verdana"/>
          <w:sz w:val="16"/>
          <w:szCs w:val="16"/>
        </w:rPr>
        <w:t xml:space="preserve"> de 2023 (</w:t>
      </w:r>
      <w:hyperlink r:id="rId3" w:history="1">
        <w:r w:rsidRPr="00A852A8">
          <w:rPr>
            <w:rStyle w:val="Hipervnculo"/>
            <w:rFonts w:ascii="Verdana" w:hAnsi="Verdana"/>
            <w:sz w:val="16"/>
            <w:szCs w:val="16"/>
          </w:rPr>
          <w:t>https://assets.hcch.net/docs/6ef6b161-241e-4e56-beff-0233d1f91a7e.pdf</w:t>
        </w:r>
      </w:hyperlink>
      <w:r w:rsidRPr="00A852A8">
        <w:rPr>
          <w:rFonts w:ascii="Verdana" w:hAnsi="Verdana"/>
          <w:sz w:val="16"/>
          <w:szCs w:val="16"/>
        </w:rPr>
        <w:t>).</w:t>
      </w:r>
    </w:p>
    <w:p w14:paraId="445354E1" w14:textId="77777777" w:rsidR="00DB65DF" w:rsidRPr="00A852A8" w:rsidRDefault="00DB65DF" w:rsidP="0079249C">
      <w:pPr>
        <w:pStyle w:val="Textonotapie"/>
        <w:spacing w:before="120" w:after="120"/>
        <w:ind w:right="615"/>
        <w:jc w:val="both"/>
        <w:rPr>
          <w:rFonts w:ascii="Verdana" w:hAnsi="Verdana"/>
          <w:sz w:val="16"/>
          <w:szCs w:val="16"/>
          <w:lang w:val="es-ES"/>
        </w:rPr>
      </w:pPr>
    </w:p>
  </w:footnote>
  <w:footnote w:id="41">
    <w:p w14:paraId="56B99D5A" w14:textId="0A211110" w:rsidR="00DB65DF" w:rsidRPr="00A852A8" w:rsidRDefault="00DB65DF" w:rsidP="0079249C">
      <w:pPr>
        <w:pStyle w:val="Textonotapie"/>
        <w:spacing w:before="120" w:after="120"/>
        <w:ind w:right="615"/>
        <w:jc w:val="both"/>
        <w:rPr>
          <w:rFonts w:ascii="Verdana" w:hAnsi="Verdana"/>
          <w:sz w:val="16"/>
          <w:szCs w:val="16"/>
          <w:lang w:val="es-ES"/>
        </w:rPr>
      </w:pPr>
      <w:r w:rsidRPr="00A852A8">
        <w:rPr>
          <w:rStyle w:val="Refdenotaalpie"/>
          <w:rFonts w:ascii="Verdana" w:hAnsi="Verdana"/>
          <w:sz w:val="16"/>
          <w:szCs w:val="16"/>
        </w:rPr>
        <w:footnoteRef/>
      </w:r>
      <w:r w:rsidRPr="00A852A8">
        <w:rPr>
          <w:rFonts w:ascii="Verdana" w:hAnsi="Verdana"/>
          <w:sz w:val="16"/>
          <w:szCs w:val="16"/>
        </w:rPr>
        <w:t xml:space="preserve"> </w:t>
      </w:r>
      <w:r w:rsidR="009D6F00" w:rsidRPr="00A852A8">
        <w:rPr>
          <w:rFonts w:ascii="Verdana" w:hAnsi="Verdana"/>
          <w:sz w:val="16"/>
          <w:szCs w:val="16"/>
        </w:rPr>
        <w:tab/>
      </w:r>
      <w:r w:rsidRPr="00A852A8">
        <w:rPr>
          <w:rFonts w:ascii="Verdana" w:hAnsi="Verdana"/>
          <w:sz w:val="16"/>
          <w:szCs w:val="16"/>
          <w:lang w:val="es-ES"/>
        </w:rPr>
        <w:t xml:space="preserve">La Ley </w:t>
      </w:r>
      <w:proofErr w:type="spellStart"/>
      <w:r w:rsidRPr="00A852A8">
        <w:rPr>
          <w:rFonts w:ascii="Verdana" w:hAnsi="Verdana"/>
          <w:sz w:val="16"/>
          <w:szCs w:val="16"/>
          <w:lang w:val="es-ES"/>
        </w:rPr>
        <w:t>N°</w:t>
      </w:r>
      <w:proofErr w:type="spellEnd"/>
      <w:r w:rsidRPr="00A852A8">
        <w:rPr>
          <w:rFonts w:ascii="Verdana" w:hAnsi="Verdana"/>
          <w:sz w:val="16"/>
          <w:szCs w:val="16"/>
          <w:lang w:val="es-ES"/>
        </w:rPr>
        <w:t xml:space="preserve"> 18.895 de Uruguay art. 3 inciso 2</w:t>
      </w:r>
      <w:r w:rsidR="00AE4D85">
        <w:rPr>
          <w:rFonts w:ascii="Verdana" w:hAnsi="Verdana"/>
          <w:sz w:val="16"/>
          <w:szCs w:val="16"/>
          <w:lang w:val="es-ES"/>
        </w:rPr>
        <w:t xml:space="preserve"> señala</w:t>
      </w:r>
      <w:r w:rsidR="007A4F0C">
        <w:rPr>
          <w:rFonts w:ascii="Verdana" w:hAnsi="Verdana"/>
          <w:sz w:val="16"/>
          <w:szCs w:val="16"/>
          <w:lang w:val="es-ES"/>
        </w:rPr>
        <w:t xml:space="preserve"> también</w:t>
      </w:r>
      <w:r w:rsidRPr="00A852A8">
        <w:rPr>
          <w:rFonts w:ascii="Verdana" w:hAnsi="Verdana"/>
          <w:sz w:val="16"/>
          <w:szCs w:val="16"/>
          <w:lang w:val="es-ES"/>
        </w:rPr>
        <w:t>:</w:t>
      </w:r>
      <w:r w:rsidR="009D6F00" w:rsidRPr="00A852A8">
        <w:rPr>
          <w:rFonts w:ascii="Verdana" w:hAnsi="Verdana"/>
          <w:sz w:val="16"/>
          <w:szCs w:val="16"/>
          <w:lang w:val="es-ES"/>
        </w:rPr>
        <w:t xml:space="preserve"> </w:t>
      </w:r>
      <w:r w:rsidRPr="00A852A8">
        <w:rPr>
          <w:rFonts w:ascii="Verdana" w:hAnsi="Verdana"/>
          <w:sz w:val="16"/>
          <w:szCs w:val="16"/>
        </w:rPr>
        <w:t>Se consagra como principio rector de interpretación y, en su caso, de integración, el del interés superior del niño. Considerándose tal a los efectos de la presente ley, el derecho a no ser trasladado o retenido ilícitamente y a que se dilucide ante el Juez del Estado de su residencia habitual la decisión sobre su guarda o custodia; a mantener contacto fluido con ambos progenitores y sus familias y a obtener una rápida resolución de la solicitud de restitución o de visita internacional.</w:t>
      </w:r>
    </w:p>
  </w:footnote>
  <w:footnote w:id="42">
    <w:p w14:paraId="29D66814" w14:textId="77777777" w:rsidR="00DB65DF" w:rsidRPr="00A852A8" w:rsidRDefault="00DB65DF" w:rsidP="0079249C">
      <w:pPr>
        <w:pStyle w:val="Textonotapie"/>
        <w:spacing w:before="120" w:after="120"/>
        <w:ind w:right="615"/>
        <w:jc w:val="both"/>
        <w:rPr>
          <w:rFonts w:ascii="Verdana" w:hAnsi="Verdana"/>
          <w:sz w:val="16"/>
          <w:szCs w:val="16"/>
          <w:lang w:val="es-MX"/>
        </w:rPr>
      </w:pPr>
      <w:r w:rsidRPr="00A852A8">
        <w:rPr>
          <w:rStyle w:val="Refdenotaalpie"/>
          <w:rFonts w:ascii="Verdana" w:hAnsi="Verdana"/>
          <w:sz w:val="16"/>
          <w:szCs w:val="16"/>
        </w:rPr>
        <w:footnoteRef/>
      </w:r>
      <w:r w:rsidRPr="00A852A8">
        <w:rPr>
          <w:rFonts w:ascii="Verdana" w:hAnsi="Verdana"/>
          <w:sz w:val="16"/>
          <w:szCs w:val="16"/>
        </w:rPr>
        <w:t xml:space="preserve"> </w:t>
      </w:r>
      <w:r w:rsidRPr="00A852A8">
        <w:rPr>
          <w:rFonts w:ascii="Verdana" w:hAnsi="Verdana"/>
          <w:sz w:val="16"/>
          <w:szCs w:val="16"/>
        </w:rPr>
        <w:tab/>
      </w:r>
      <w:r w:rsidRPr="00A852A8">
        <w:rPr>
          <w:rFonts w:ascii="Verdana" w:hAnsi="Verdana"/>
          <w:i/>
          <w:iCs/>
          <w:sz w:val="16"/>
          <w:szCs w:val="16"/>
        </w:rPr>
        <w:t xml:space="preserve">Cfr. Caso Hilaire, </w:t>
      </w:r>
      <w:proofErr w:type="spellStart"/>
      <w:r w:rsidRPr="00A852A8">
        <w:rPr>
          <w:rFonts w:ascii="Verdana" w:hAnsi="Verdana"/>
          <w:i/>
          <w:iCs/>
          <w:sz w:val="16"/>
          <w:szCs w:val="16"/>
        </w:rPr>
        <w:t>Constantine</w:t>
      </w:r>
      <w:proofErr w:type="spellEnd"/>
      <w:r w:rsidRPr="00A852A8">
        <w:rPr>
          <w:rFonts w:ascii="Verdana" w:hAnsi="Verdana"/>
          <w:i/>
          <w:iCs/>
          <w:sz w:val="16"/>
          <w:szCs w:val="16"/>
        </w:rPr>
        <w:t xml:space="preserve"> y </w:t>
      </w:r>
      <w:proofErr w:type="spellStart"/>
      <w:r w:rsidRPr="00A852A8">
        <w:rPr>
          <w:rFonts w:ascii="Verdana" w:hAnsi="Verdana"/>
          <w:i/>
          <w:iCs/>
          <w:sz w:val="16"/>
          <w:szCs w:val="16"/>
        </w:rPr>
        <w:t>Benjamin</w:t>
      </w:r>
      <w:proofErr w:type="spellEnd"/>
      <w:r w:rsidRPr="00A852A8">
        <w:rPr>
          <w:rFonts w:ascii="Verdana" w:hAnsi="Verdana"/>
          <w:i/>
          <w:iCs/>
          <w:sz w:val="16"/>
          <w:szCs w:val="16"/>
        </w:rPr>
        <w:t xml:space="preserve"> y otros Vs. Trinidad y Tobago. Fondo, Reparaciones y Costas.</w:t>
      </w:r>
      <w:r w:rsidRPr="00A852A8">
        <w:rPr>
          <w:rFonts w:ascii="Verdana" w:hAnsi="Verdana"/>
          <w:sz w:val="16"/>
          <w:szCs w:val="16"/>
        </w:rPr>
        <w:t xml:space="preserve"> Sentencia de 21 de junio de 2002. Serie C No. 94, párr. 145, y </w:t>
      </w:r>
      <w:r w:rsidRPr="00A852A8">
        <w:rPr>
          <w:rFonts w:ascii="Verdana" w:hAnsi="Verdana"/>
          <w:i/>
          <w:iCs/>
          <w:sz w:val="16"/>
          <w:szCs w:val="16"/>
        </w:rPr>
        <w:t>Caso López Sosa Vs. Paraguay, supra</w:t>
      </w:r>
      <w:r w:rsidRPr="00A852A8">
        <w:rPr>
          <w:rFonts w:ascii="Verdana" w:hAnsi="Verdana"/>
          <w:sz w:val="16"/>
          <w:szCs w:val="16"/>
        </w:rPr>
        <w:t>, párr. 114.</w:t>
      </w:r>
    </w:p>
  </w:footnote>
  <w:footnote w:id="43">
    <w:p w14:paraId="7CA2E52C" w14:textId="77777777" w:rsidR="00DB65DF" w:rsidRPr="00A852A8" w:rsidRDefault="00DB65DF" w:rsidP="0079249C">
      <w:pPr>
        <w:pStyle w:val="Textonotapie"/>
        <w:spacing w:before="120" w:after="120"/>
        <w:ind w:right="615"/>
        <w:jc w:val="both"/>
        <w:rPr>
          <w:rFonts w:ascii="Verdana" w:hAnsi="Verdana"/>
          <w:sz w:val="16"/>
          <w:szCs w:val="16"/>
        </w:rPr>
      </w:pPr>
      <w:r w:rsidRPr="00A852A8">
        <w:rPr>
          <w:rStyle w:val="Refdenotaalpie"/>
          <w:rFonts w:ascii="Verdana" w:hAnsi="Verdana"/>
          <w:sz w:val="16"/>
          <w:szCs w:val="16"/>
        </w:rPr>
        <w:footnoteRef/>
      </w:r>
      <w:r w:rsidRPr="00A852A8">
        <w:rPr>
          <w:rFonts w:ascii="Verdana" w:hAnsi="Verdana"/>
          <w:sz w:val="16"/>
          <w:szCs w:val="16"/>
        </w:rPr>
        <w:t xml:space="preserve"> </w:t>
      </w:r>
      <w:r w:rsidRPr="00A852A8">
        <w:rPr>
          <w:rFonts w:ascii="Verdana" w:hAnsi="Verdana"/>
          <w:sz w:val="16"/>
          <w:szCs w:val="16"/>
        </w:rPr>
        <w:tab/>
      </w:r>
      <w:r w:rsidRPr="00A852A8">
        <w:rPr>
          <w:rFonts w:ascii="Verdana" w:hAnsi="Verdana"/>
          <w:i/>
          <w:iCs/>
          <w:sz w:val="16"/>
          <w:szCs w:val="16"/>
        </w:rPr>
        <w:t xml:space="preserve">Cfr. Asunto L.M. </w:t>
      </w:r>
      <w:r w:rsidRPr="00A852A8">
        <w:rPr>
          <w:rFonts w:ascii="Verdana" w:hAnsi="Verdana"/>
          <w:sz w:val="16"/>
          <w:szCs w:val="16"/>
        </w:rPr>
        <w:t xml:space="preserve">Medidas Provisionales respecto de Paraguay. Resolución de la Corte Interamericana de Derechos Humanos de 1 de julio de 2011, Considerando 16, y </w:t>
      </w:r>
      <w:r w:rsidRPr="00A852A8">
        <w:rPr>
          <w:rFonts w:ascii="Verdana" w:hAnsi="Verdana"/>
          <w:i/>
          <w:iCs/>
          <w:sz w:val="16"/>
          <w:szCs w:val="16"/>
        </w:rPr>
        <w:t xml:space="preserve">Caso </w:t>
      </w:r>
      <w:proofErr w:type="spellStart"/>
      <w:r w:rsidRPr="00A852A8">
        <w:rPr>
          <w:rFonts w:ascii="Verdana" w:hAnsi="Verdana"/>
          <w:i/>
          <w:iCs/>
          <w:sz w:val="16"/>
          <w:szCs w:val="16"/>
        </w:rPr>
        <w:t>Fornerón</w:t>
      </w:r>
      <w:proofErr w:type="spellEnd"/>
      <w:r w:rsidRPr="00A852A8">
        <w:rPr>
          <w:rFonts w:ascii="Verdana" w:hAnsi="Verdana"/>
          <w:i/>
          <w:iCs/>
          <w:sz w:val="16"/>
          <w:szCs w:val="16"/>
        </w:rPr>
        <w:t xml:space="preserve"> e hija Vs. Argentina, supra, </w:t>
      </w:r>
      <w:r w:rsidRPr="00A852A8">
        <w:rPr>
          <w:rFonts w:ascii="Verdana" w:hAnsi="Verdana"/>
          <w:sz w:val="16"/>
          <w:szCs w:val="16"/>
        </w:rPr>
        <w:t>párr. 51.</w:t>
      </w:r>
    </w:p>
  </w:footnote>
  <w:footnote w:id="44">
    <w:p w14:paraId="103EB688" w14:textId="77777777" w:rsidR="00DB65DF" w:rsidRPr="00A852A8" w:rsidRDefault="00DB65DF" w:rsidP="0079249C">
      <w:pPr>
        <w:pStyle w:val="Textonotapie"/>
        <w:spacing w:before="120" w:after="120"/>
        <w:ind w:right="615"/>
        <w:jc w:val="both"/>
        <w:rPr>
          <w:rFonts w:ascii="Verdana" w:hAnsi="Verdana"/>
          <w:sz w:val="16"/>
          <w:szCs w:val="16"/>
        </w:rPr>
      </w:pPr>
      <w:r w:rsidRPr="00A852A8">
        <w:rPr>
          <w:rStyle w:val="Refdenotaalpie"/>
          <w:rFonts w:ascii="Verdana" w:hAnsi="Verdana"/>
          <w:sz w:val="16"/>
          <w:szCs w:val="16"/>
        </w:rPr>
        <w:footnoteRef/>
      </w:r>
      <w:r w:rsidRPr="00A852A8">
        <w:rPr>
          <w:rFonts w:ascii="Verdana" w:hAnsi="Verdana"/>
          <w:sz w:val="16"/>
          <w:szCs w:val="16"/>
        </w:rPr>
        <w:t xml:space="preserve"> </w:t>
      </w:r>
      <w:r w:rsidRPr="00A852A8">
        <w:rPr>
          <w:rFonts w:ascii="Verdana" w:hAnsi="Verdana"/>
          <w:sz w:val="16"/>
          <w:szCs w:val="16"/>
        </w:rPr>
        <w:tab/>
      </w:r>
      <w:r w:rsidRPr="00A852A8">
        <w:rPr>
          <w:rFonts w:ascii="Verdana" w:hAnsi="Verdana"/>
          <w:i/>
          <w:iCs/>
          <w:sz w:val="16"/>
          <w:szCs w:val="16"/>
        </w:rPr>
        <w:t xml:space="preserve">Cfr. Asunto L.M., Cfr. Asunto L.M. </w:t>
      </w:r>
      <w:r w:rsidRPr="00A852A8">
        <w:rPr>
          <w:rFonts w:ascii="Verdana" w:hAnsi="Verdana"/>
          <w:sz w:val="16"/>
          <w:szCs w:val="16"/>
        </w:rPr>
        <w:t xml:space="preserve">Medidas Provisionales respecto de Paraguay. Resolución de la Corte Interamericana de Derechos Humanos de 1 de julio de 2011, Considerando 18, </w:t>
      </w:r>
      <w:r w:rsidRPr="00A852A8">
        <w:rPr>
          <w:rFonts w:ascii="Verdana" w:hAnsi="Verdana"/>
          <w:i/>
          <w:iCs/>
          <w:sz w:val="16"/>
          <w:szCs w:val="16"/>
        </w:rPr>
        <w:t xml:space="preserve">Caso </w:t>
      </w:r>
      <w:proofErr w:type="spellStart"/>
      <w:r w:rsidRPr="00A852A8">
        <w:rPr>
          <w:rFonts w:ascii="Verdana" w:hAnsi="Verdana"/>
          <w:i/>
          <w:iCs/>
          <w:sz w:val="16"/>
          <w:szCs w:val="16"/>
        </w:rPr>
        <w:t>Fornerón</w:t>
      </w:r>
      <w:proofErr w:type="spellEnd"/>
      <w:r w:rsidRPr="00A852A8">
        <w:rPr>
          <w:rFonts w:ascii="Verdana" w:hAnsi="Verdana"/>
          <w:i/>
          <w:iCs/>
          <w:sz w:val="16"/>
          <w:szCs w:val="16"/>
        </w:rPr>
        <w:t xml:space="preserve"> e hija Vs. Argentina, </w:t>
      </w:r>
      <w:r w:rsidRPr="00A852A8">
        <w:rPr>
          <w:rFonts w:ascii="Verdana" w:hAnsi="Verdana"/>
          <w:sz w:val="16"/>
          <w:szCs w:val="16"/>
        </w:rPr>
        <w:t>Fondo, Reparaciones y Costas. Sentencia de 27 de abril de 2012. Serie C No. 242, párr. 52. Caso María y otros Vs. Argentina. Fondo, Reparaciones y Costas. Sentencia de 22 de agosto de 2023. Serie C No. 494, párr. 136.</w:t>
      </w:r>
    </w:p>
  </w:footnote>
  <w:footnote w:id="45">
    <w:p w14:paraId="13A6117B" w14:textId="0F300BB1" w:rsidR="00DB65DF" w:rsidRPr="00A852A8" w:rsidRDefault="00DB65DF" w:rsidP="0079249C">
      <w:pPr>
        <w:pStyle w:val="Textonotapie"/>
        <w:spacing w:before="120" w:after="120"/>
        <w:ind w:right="615"/>
        <w:jc w:val="both"/>
        <w:rPr>
          <w:rFonts w:ascii="Verdana" w:hAnsi="Verdana"/>
          <w:sz w:val="16"/>
          <w:szCs w:val="16"/>
          <w:lang w:val="es-ES"/>
        </w:rPr>
      </w:pPr>
      <w:r w:rsidRPr="00A852A8">
        <w:rPr>
          <w:rStyle w:val="Refdenotaalpie"/>
          <w:rFonts w:ascii="Verdana" w:hAnsi="Verdana"/>
          <w:sz w:val="16"/>
          <w:szCs w:val="16"/>
        </w:rPr>
        <w:footnoteRef/>
      </w:r>
      <w:r w:rsidRPr="00A852A8">
        <w:rPr>
          <w:rFonts w:ascii="Verdana" w:hAnsi="Verdana"/>
          <w:sz w:val="16"/>
          <w:szCs w:val="16"/>
        </w:rPr>
        <w:t xml:space="preserve"> </w:t>
      </w:r>
      <w:r w:rsidR="00B57DD8" w:rsidRPr="00A852A8">
        <w:rPr>
          <w:rFonts w:ascii="Verdana" w:hAnsi="Verdana"/>
          <w:sz w:val="16"/>
          <w:szCs w:val="16"/>
        </w:rPr>
        <w:tab/>
      </w:r>
      <w:r w:rsidRPr="00A852A8">
        <w:rPr>
          <w:rFonts w:ascii="Verdana" w:hAnsi="Verdana"/>
          <w:sz w:val="16"/>
          <w:szCs w:val="16"/>
          <w:lang w:val="es-ES"/>
        </w:rPr>
        <w:t xml:space="preserve">Artículos 4 de la Convención de La Haya y 2 de la Convención Interamericana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17B53"/>
    <w:multiLevelType w:val="hybridMultilevel"/>
    <w:tmpl w:val="5300972C"/>
    <w:lvl w:ilvl="0" w:tplc="D27ED4C6">
      <w:start w:val="1"/>
      <w:numFmt w:val="decimal"/>
      <w:lvlText w:val="%1."/>
      <w:lvlJc w:val="left"/>
      <w:pPr>
        <w:ind w:left="7306" w:hanging="360"/>
      </w:pPr>
      <w:rPr>
        <w:b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B681FF0"/>
    <w:multiLevelType w:val="hybridMultilevel"/>
    <w:tmpl w:val="DCFC5646"/>
    <w:lvl w:ilvl="0" w:tplc="D5CEB858">
      <w:start w:val="1"/>
      <w:numFmt w:val="decimal"/>
      <w:lvlText w:val="%1."/>
      <w:lvlJc w:val="left"/>
      <w:pPr>
        <w:ind w:left="644" w:hanging="360"/>
      </w:pPr>
      <w:rPr>
        <w:color w:val="auto"/>
      </w:rPr>
    </w:lvl>
    <w:lvl w:ilvl="1" w:tplc="140A0019">
      <w:start w:val="1"/>
      <w:numFmt w:val="lowerLetter"/>
      <w:lvlText w:val="%2."/>
      <w:lvlJc w:val="left"/>
      <w:pPr>
        <w:ind w:left="1364" w:hanging="360"/>
      </w:pPr>
    </w:lvl>
    <w:lvl w:ilvl="2" w:tplc="140A001B">
      <w:start w:val="1"/>
      <w:numFmt w:val="lowerRoman"/>
      <w:lvlText w:val="%3."/>
      <w:lvlJc w:val="right"/>
      <w:pPr>
        <w:ind w:left="2084" w:hanging="180"/>
      </w:pPr>
    </w:lvl>
    <w:lvl w:ilvl="3" w:tplc="374E059A">
      <w:start w:val="1"/>
      <w:numFmt w:val="decimal"/>
      <w:lvlText w:val="%4."/>
      <w:lvlJc w:val="left"/>
      <w:pPr>
        <w:ind w:left="1919" w:hanging="360"/>
      </w:pPr>
      <w:rPr>
        <w:rFonts w:ascii="Verdana" w:hAnsi="Verdana" w:hint="default"/>
        <w:color w:val="000000"/>
        <w:sz w:val="20"/>
        <w:szCs w:val="20"/>
      </w:rPr>
    </w:lvl>
    <w:lvl w:ilvl="4" w:tplc="140A0019">
      <w:start w:val="1"/>
      <w:numFmt w:val="lowerLetter"/>
      <w:lvlText w:val="%5."/>
      <w:lvlJc w:val="left"/>
      <w:pPr>
        <w:ind w:left="3524" w:hanging="360"/>
      </w:pPr>
    </w:lvl>
    <w:lvl w:ilvl="5" w:tplc="140A001B">
      <w:start w:val="1"/>
      <w:numFmt w:val="lowerRoman"/>
      <w:lvlText w:val="%6."/>
      <w:lvlJc w:val="right"/>
      <w:pPr>
        <w:ind w:left="4244" w:hanging="180"/>
      </w:pPr>
    </w:lvl>
    <w:lvl w:ilvl="6" w:tplc="140A000F">
      <w:start w:val="1"/>
      <w:numFmt w:val="decimal"/>
      <w:lvlText w:val="%7."/>
      <w:lvlJc w:val="left"/>
      <w:pPr>
        <w:ind w:left="4964" w:hanging="360"/>
      </w:pPr>
    </w:lvl>
    <w:lvl w:ilvl="7" w:tplc="140A0019">
      <w:start w:val="1"/>
      <w:numFmt w:val="lowerLetter"/>
      <w:lvlText w:val="%8."/>
      <w:lvlJc w:val="left"/>
      <w:pPr>
        <w:ind w:left="5684" w:hanging="360"/>
      </w:pPr>
    </w:lvl>
    <w:lvl w:ilvl="8" w:tplc="140A001B">
      <w:start w:val="1"/>
      <w:numFmt w:val="lowerRoman"/>
      <w:lvlText w:val="%9."/>
      <w:lvlJc w:val="right"/>
      <w:pPr>
        <w:ind w:left="6404" w:hanging="180"/>
      </w:pPr>
    </w:lvl>
  </w:abstractNum>
  <w:abstractNum w:abstractNumId="2" w15:restartNumberingAfterBreak="0">
    <w:nsid w:val="24B03A36"/>
    <w:multiLevelType w:val="hybridMultilevel"/>
    <w:tmpl w:val="CA00F118"/>
    <w:lvl w:ilvl="0" w:tplc="4C4681C4">
      <w:start w:val="1"/>
      <w:numFmt w:val="decimal"/>
      <w:lvlText w:val="%1."/>
      <w:lvlJc w:val="left"/>
      <w:pPr>
        <w:ind w:left="1080" w:hanging="360"/>
      </w:pPr>
      <w:rPr>
        <w:rFonts w:hint="default"/>
      </w:rPr>
    </w:lvl>
    <w:lvl w:ilvl="1" w:tplc="380A0019" w:tentative="1">
      <w:start w:val="1"/>
      <w:numFmt w:val="lowerLetter"/>
      <w:lvlText w:val="%2."/>
      <w:lvlJc w:val="left"/>
      <w:pPr>
        <w:ind w:left="1800" w:hanging="360"/>
      </w:pPr>
    </w:lvl>
    <w:lvl w:ilvl="2" w:tplc="380A001B" w:tentative="1">
      <w:start w:val="1"/>
      <w:numFmt w:val="lowerRoman"/>
      <w:lvlText w:val="%3."/>
      <w:lvlJc w:val="right"/>
      <w:pPr>
        <w:ind w:left="2520" w:hanging="180"/>
      </w:pPr>
    </w:lvl>
    <w:lvl w:ilvl="3" w:tplc="380A000F" w:tentative="1">
      <w:start w:val="1"/>
      <w:numFmt w:val="decimal"/>
      <w:lvlText w:val="%4."/>
      <w:lvlJc w:val="left"/>
      <w:pPr>
        <w:ind w:left="3240" w:hanging="360"/>
      </w:pPr>
    </w:lvl>
    <w:lvl w:ilvl="4" w:tplc="380A0019" w:tentative="1">
      <w:start w:val="1"/>
      <w:numFmt w:val="lowerLetter"/>
      <w:lvlText w:val="%5."/>
      <w:lvlJc w:val="left"/>
      <w:pPr>
        <w:ind w:left="3960" w:hanging="360"/>
      </w:pPr>
    </w:lvl>
    <w:lvl w:ilvl="5" w:tplc="380A001B" w:tentative="1">
      <w:start w:val="1"/>
      <w:numFmt w:val="lowerRoman"/>
      <w:lvlText w:val="%6."/>
      <w:lvlJc w:val="right"/>
      <w:pPr>
        <w:ind w:left="4680" w:hanging="180"/>
      </w:pPr>
    </w:lvl>
    <w:lvl w:ilvl="6" w:tplc="380A000F" w:tentative="1">
      <w:start w:val="1"/>
      <w:numFmt w:val="decimal"/>
      <w:lvlText w:val="%7."/>
      <w:lvlJc w:val="left"/>
      <w:pPr>
        <w:ind w:left="5400" w:hanging="360"/>
      </w:pPr>
    </w:lvl>
    <w:lvl w:ilvl="7" w:tplc="380A0019" w:tentative="1">
      <w:start w:val="1"/>
      <w:numFmt w:val="lowerLetter"/>
      <w:lvlText w:val="%8."/>
      <w:lvlJc w:val="left"/>
      <w:pPr>
        <w:ind w:left="6120" w:hanging="360"/>
      </w:pPr>
    </w:lvl>
    <w:lvl w:ilvl="8" w:tplc="380A001B" w:tentative="1">
      <w:start w:val="1"/>
      <w:numFmt w:val="lowerRoman"/>
      <w:lvlText w:val="%9."/>
      <w:lvlJc w:val="right"/>
      <w:pPr>
        <w:ind w:left="6840" w:hanging="180"/>
      </w:pPr>
    </w:lvl>
  </w:abstractNum>
  <w:abstractNum w:abstractNumId="3" w15:restartNumberingAfterBreak="0">
    <w:nsid w:val="5CFD16B2"/>
    <w:multiLevelType w:val="hybridMultilevel"/>
    <w:tmpl w:val="AFDABF64"/>
    <w:lvl w:ilvl="0" w:tplc="49E41114">
      <w:start w:val="1"/>
      <w:numFmt w:val="lowerLetter"/>
      <w:lvlText w:val="%1)"/>
      <w:lvlJc w:val="left"/>
      <w:pPr>
        <w:ind w:left="720" w:hanging="360"/>
      </w:pPr>
      <w:rPr>
        <w:rFonts w:hint="default"/>
        <w:b/>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4" w15:restartNumberingAfterBreak="0">
    <w:nsid w:val="659964C5"/>
    <w:multiLevelType w:val="hybridMultilevel"/>
    <w:tmpl w:val="189A1FDC"/>
    <w:lvl w:ilvl="0" w:tplc="B3B8487C">
      <w:start w:val="4"/>
      <w:numFmt w:val="upperLetter"/>
      <w:lvlText w:val="%1."/>
      <w:lvlJc w:val="left"/>
      <w:pPr>
        <w:ind w:left="720" w:hanging="360"/>
      </w:pPr>
      <w:rPr>
        <w:rFonts w:hint="default"/>
        <w:b/>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8FD7D50"/>
    <w:multiLevelType w:val="multilevel"/>
    <w:tmpl w:val="1842ECC8"/>
    <w:lvl w:ilvl="0">
      <w:start w:val="1"/>
      <w:numFmt w:val="decimal"/>
      <w:pStyle w:val="PrrafodeSentencia"/>
      <w:lvlText w:val="%1."/>
      <w:lvlJc w:val="left"/>
      <w:pPr>
        <w:ind w:left="6212" w:hanging="825"/>
      </w:pPr>
      <w:rPr>
        <w:b w:val="0"/>
        <w:bCs/>
        <w:i w:val="0"/>
        <w:iCs/>
        <w:color w:val="auto"/>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rPr>
        <w:rFonts w:ascii="Verdana" w:eastAsia="Calibri" w:hAnsi="Verdana" w:cs="Cambria"/>
      </w:r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6" w15:restartNumberingAfterBreak="0">
    <w:nsid w:val="7DAE4864"/>
    <w:multiLevelType w:val="hybridMultilevel"/>
    <w:tmpl w:val="676E6EFA"/>
    <w:lvl w:ilvl="0" w:tplc="C4AA39D0">
      <w:start w:val="1"/>
      <w:numFmt w:val="upperLetter"/>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2046640003">
    <w:abstractNumId w:val="0"/>
  </w:num>
  <w:num w:numId="2" w16cid:durableId="937761057">
    <w:abstractNumId w:val="5"/>
  </w:num>
  <w:num w:numId="3" w16cid:durableId="998003983">
    <w:abstractNumId w:val="1"/>
  </w:num>
  <w:num w:numId="4" w16cid:durableId="1514100988">
    <w:abstractNumId w:val="6"/>
  </w:num>
  <w:num w:numId="5" w16cid:durableId="326590272">
    <w:abstractNumId w:val="4"/>
  </w:num>
  <w:num w:numId="6" w16cid:durableId="1566842831">
    <w:abstractNumId w:val="2"/>
  </w:num>
  <w:num w:numId="7" w16cid:durableId="132397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394"/>
    <w:rsid w:val="000132CD"/>
    <w:rsid w:val="000250BE"/>
    <w:rsid w:val="00025943"/>
    <w:rsid w:val="0003460F"/>
    <w:rsid w:val="00063964"/>
    <w:rsid w:val="0007029E"/>
    <w:rsid w:val="00080CBA"/>
    <w:rsid w:val="00081143"/>
    <w:rsid w:val="00092836"/>
    <w:rsid w:val="000C6C31"/>
    <w:rsid w:val="000F229B"/>
    <w:rsid w:val="0010615B"/>
    <w:rsid w:val="00141CC9"/>
    <w:rsid w:val="00151AA8"/>
    <w:rsid w:val="00153FFB"/>
    <w:rsid w:val="001669B2"/>
    <w:rsid w:val="00187DA5"/>
    <w:rsid w:val="0019580D"/>
    <w:rsid w:val="001963B8"/>
    <w:rsid w:val="001A0125"/>
    <w:rsid w:val="001B0E34"/>
    <w:rsid w:val="001C6894"/>
    <w:rsid w:val="001E43FD"/>
    <w:rsid w:val="001F0078"/>
    <w:rsid w:val="001F0E7F"/>
    <w:rsid w:val="0023596B"/>
    <w:rsid w:val="002373CB"/>
    <w:rsid w:val="00240394"/>
    <w:rsid w:val="002455F5"/>
    <w:rsid w:val="00247D45"/>
    <w:rsid w:val="002549D6"/>
    <w:rsid w:val="00257FFD"/>
    <w:rsid w:val="0026757D"/>
    <w:rsid w:val="00281BCF"/>
    <w:rsid w:val="00286669"/>
    <w:rsid w:val="002A0587"/>
    <w:rsid w:val="002A44B4"/>
    <w:rsid w:val="002B3B56"/>
    <w:rsid w:val="002B48A7"/>
    <w:rsid w:val="002B79C4"/>
    <w:rsid w:val="002D72E5"/>
    <w:rsid w:val="002E230F"/>
    <w:rsid w:val="002F2DBD"/>
    <w:rsid w:val="00314A72"/>
    <w:rsid w:val="00335B0B"/>
    <w:rsid w:val="00344616"/>
    <w:rsid w:val="0036398B"/>
    <w:rsid w:val="00392CC0"/>
    <w:rsid w:val="003938E7"/>
    <w:rsid w:val="003A518C"/>
    <w:rsid w:val="003D258B"/>
    <w:rsid w:val="004102B5"/>
    <w:rsid w:val="004138EA"/>
    <w:rsid w:val="0043360E"/>
    <w:rsid w:val="00467E2B"/>
    <w:rsid w:val="00470A2E"/>
    <w:rsid w:val="00487EAC"/>
    <w:rsid w:val="0049696F"/>
    <w:rsid w:val="004A1529"/>
    <w:rsid w:val="004C662F"/>
    <w:rsid w:val="004C66D9"/>
    <w:rsid w:val="004E1B35"/>
    <w:rsid w:val="004E59A8"/>
    <w:rsid w:val="004E5FE4"/>
    <w:rsid w:val="004F5698"/>
    <w:rsid w:val="004F7FE1"/>
    <w:rsid w:val="005075B9"/>
    <w:rsid w:val="005308BE"/>
    <w:rsid w:val="00542CF2"/>
    <w:rsid w:val="005525D4"/>
    <w:rsid w:val="00564772"/>
    <w:rsid w:val="005649C7"/>
    <w:rsid w:val="005718D1"/>
    <w:rsid w:val="005747D7"/>
    <w:rsid w:val="005B2981"/>
    <w:rsid w:val="005B7E2B"/>
    <w:rsid w:val="005D0A4B"/>
    <w:rsid w:val="005F14CC"/>
    <w:rsid w:val="005F2011"/>
    <w:rsid w:val="005F6F41"/>
    <w:rsid w:val="00601A7F"/>
    <w:rsid w:val="006032B7"/>
    <w:rsid w:val="0061492E"/>
    <w:rsid w:val="00615A9E"/>
    <w:rsid w:val="00616DBA"/>
    <w:rsid w:val="00624CD3"/>
    <w:rsid w:val="006323FE"/>
    <w:rsid w:val="006410D3"/>
    <w:rsid w:val="00693062"/>
    <w:rsid w:val="00695DCF"/>
    <w:rsid w:val="006B44F3"/>
    <w:rsid w:val="006B5F52"/>
    <w:rsid w:val="006C2BBF"/>
    <w:rsid w:val="006C7051"/>
    <w:rsid w:val="006E5B73"/>
    <w:rsid w:val="00720A01"/>
    <w:rsid w:val="00727BDC"/>
    <w:rsid w:val="00741D99"/>
    <w:rsid w:val="00747A86"/>
    <w:rsid w:val="00752594"/>
    <w:rsid w:val="0075499D"/>
    <w:rsid w:val="00785664"/>
    <w:rsid w:val="00786A8F"/>
    <w:rsid w:val="007903D6"/>
    <w:rsid w:val="00790AD6"/>
    <w:rsid w:val="0079249C"/>
    <w:rsid w:val="007A4F0C"/>
    <w:rsid w:val="007A5847"/>
    <w:rsid w:val="007A6509"/>
    <w:rsid w:val="007D383B"/>
    <w:rsid w:val="007D3CBD"/>
    <w:rsid w:val="007E0AEE"/>
    <w:rsid w:val="007E1B44"/>
    <w:rsid w:val="00864494"/>
    <w:rsid w:val="00867EF7"/>
    <w:rsid w:val="008C3369"/>
    <w:rsid w:val="008C3BD2"/>
    <w:rsid w:val="008C7DC0"/>
    <w:rsid w:val="008E6ECD"/>
    <w:rsid w:val="00901BE2"/>
    <w:rsid w:val="009075E4"/>
    <w:rsid w:val="00964269"/>
    <w:rsid w:val="00975AF2"/>
    <w:rsid w:val="009836E0"/>
    <w:rsid w:val="009C7F6C"/>
    <w:rsid w:val="009D2583"/>
    <w:rsid w:val="009D6F00"/>
    <w:rsid w:val="009E0EFF"/>
    <w:rsid w:val="00A13C61"/>
    <w:rsid w:val="00A274E4"/>
    <w:rsid w:val="00A52C75"/>
    <w:rsid w:val="00A726E5"/>
    <w:rsid w:val="00A852A8"/>
    <w:rsid w:val="00A91B11"/>
    <w:rsid w:val="00AA06A4"/>
    <w:rsid w:val="00AC4B92"/>
    <w:rsid w:val="00AD7F87"/>
    <w:rsid w:val="00AE269A"/>
    <w:rsid w:val="00AE4D85"/>
    <w:rsid w:val="00AF2243"/>
    <w:rsid w:val="00B01CA2"/>
    <w:rsid w:val="00B050A4"/>
    <w:rsid w:val="00B1752C"/>
    <w:rsid w:val="00B20C22"/>
    <w:rsid w:val="00B35D6F"/>
    <w:rsid w:val="00B362B5"/>
    <w:rsid w:val="00B436C9"/>
    <w:rsid w:val="00B57DD8"/>
    <w:rsid w:val="00B710C6"/>
    <w:rsid w:val="00BA4E8B"/>
    <w:rsid w:val="00BB34D5"/>
    <w:rsid w:val="00BB4844"/>
    <w:rsid w:val="00BC2919"/>
    <w:rsid w:val="00BD11CD"/>
    <w:rsid w:val="00C23670"/>
    <w:rsid w:val="00C27C54"/>
    <w:rsid w:val="00C622C0"/>
    <w:rsid w:val="00C65E93"/>
    <w:rsid w:val="00C7733F"/>
    <w:rsid w:val="00C8257E"/>
    <w:rsid w:val="00C82A04"/>
    <w:rsid w:val="00C9145A"/>
    <w:rsid w:val="00C9632D"/>
    <w:rsid w:val="00CA2A1F"/>
    <w:rsid w:val="00CA6254"/>
    <w:rsid w:val="00CC0B4C"/>
    <w:rsid w:val="00CF6504"/>
    <w:rsid w:val="00D023FD"/>
    <w:rsid w:val="00D0530C"/>
    <w:rsid w:val="00D60C1F"/>
    <w:rsid w:val="00D74480"/>
    <w:rsid w:val="00DB65DF"/>
    <w:rsid w:val="00DC32D6"/>
    <w:rsid w:val="00DD7253"/>
    <w:rsid w:val="00DE008C"/>
    <w:rsid w:val="00DF7384"/>
    <w:rsid w:val="00E055CB"/>
    <w:rsid w:val="00E221C4"/>
    <w:rsid w:val="00E31134"/>
    <w:rsid w:val="00E367DA"/>
    <w:rsid w:val="00E628CB"/>
    <w:rsid w:val="00E82234"/>
    <w:rsid w:val="00ED386C"/>
    <w:rsid w:val="00EF3FE3"/>
    <w:rsid w:val="00F14AF8"/>
    <w:rsid w:val="00F31B4A"/>
    <w:rsid w:val="00F603F4"/>
    <w:rsid w:val="00F851B6"/>
    <w:rsid w:val="00F9543B"/>
    <w:rsid w:val="00FB75F8"/>
    <w:rsid w:val="00FD3812"/>
    <w:rsid w:val="00FF6E11"/>
    <w:rsid w:val="00FF739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B35B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394"/>
    <w:rPr>
      <w:rFonts w:ascii="Calibri" w:eastAsia="Times New Roman" w:hAnsi="Calibri"/>
      <w:sz w:val="24"/>
      <w:szCs w:val="24"/>
      <w:lang w:val="es-ES_tradnl" w:eastAsia="es-ES"/>
    </w:rPr>
  </w:style>
  <w:style w:type="paragraph" w:styleId="Ttulo1">
    <w:name w:val="heading 1"/>
    <w:basedOn w:val="Normal"/>
    <w:link w:val="Ttulo1Car"/>
    <w:uiPriority w:val="9"/>
    <w:qFormat/>
    <w:rsid w:val="00240394"/>
    <w:pPr>
      <w:spacing w:before="100" w:beforeAutospacing="1" w:after="100" w:afterAutospacing="1"/>
      <w:outlineLvl w:val="0"/>
    </w:pPr>
    <w:rPr>
      <w:rFonts w:ascii="Times New Roman" w:hAnsi="Times New Roman"/>
      <w:b/>
      <w:bCs/>
      <w:kern w:val="36"/>
      <w:sz w:val="48"/>
      <w:szCs w:val="48"/>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240394"/>
    <w:rPr>
      <w:rFonts w:ascii="Times New Roman" w:eastAsia="Times New Roman" w:hAnsi="Times New Roman" w:cs="Times New Roman"/>
      <w:b/>
      <w:bCs/>
      <w:kern w:val="36"/>
      <w:sz w:val="48"/>
      <w:szCs w:val="48"/>
      <w:lang w:val="es-MX" w:eastAsia="es-MX"/>
    </w:rPr>
  </w:style>
  <w:style w:type="paragraph" w:styleId="Prrafodelista">
    <w:name w:val="List Paragraph"/>
    <w:aliases w:val="List Paragraph2,Párrafo de lista1,List Paragraph1,Colorful List - Accent 11,Lista vistosa - Énfasis 11,Cuadrícula clara - Énfasis 31,Lista clara - Énfasis 51,Subtle Emphasis1,Footnote1,List Paragraph11,Parrafos"/>
    <w:basedOn w:val="Normal"/>
    <w:link w:val="PrrafodelistaCar"/>
    <w:uiPriority w:val="34"/>
    <w:qFormat/>
    <w:rsid w:val="00240394"/>
    <w:pPr>
      <w:ind w:left="720"/>
      <w:contextualSpacing/>
    </w:pPr>
    <w:rPr>
      <w:sz w:val="20"/>
      <w:szCs w:val="20"/>
    </w:rPr>
  </w:style>
  <w:style w:type="paragraph" w:styleId="Textonotapie">
    <w:name w:val="footnote text"/>
    <w:aliases w:val="Footnote Text Char Char Char Char Char,Footnote Text Char Char Char Char,footnote text,Footnote reference,FA Fu,Footnote Text Char Char Char,Footnote Text Cha,FA Fußnotentext,FA Fuﬂnotentext,Footnote Text Char Char,Ca,C,ft,5"/>
    <w:basedOn w:val="Normal"/>
    <w:link w:val="TextonotapieCar"/>
    <w:uiPriority w:val="99"/>
    <w:unhideWhenUsed/>
    <w:qFormat/>
    <w:rsid w:val="00240394"/>
    <w:rPr>
      <w:sz w:val="20"/>
      <w:szCs w:val="20"/>
    </w:rPr>
  </w:style>
  <w:style w:type="character" w:customStyle="1" w:styleId="TextonotapieCar">
    <w:name w:val="Texto nota pie Car"/>
    <w:aliases w:val="Footnote Text Char Char Char Char Char Car,Footnote Text Char Char Char Char Car,footnote text Car,Footnote reference Car,FA Fu Car,Footnote Text Char Char Char Car,Footnote Text Cha Car,FA Fußnotentext Car,FA Fuﬂnotentext Car,Ca Car"/>
    <w:link w:val="Textonotapie"/>
    <w:uiPriority w:val="99"/>
    <w:qFormat/>
    <w:rsid w:val="00240394"/>
    <w:rPr>
      <w:rFonts w:ascii="Calibri" w:eastAsia="Times New Roman" w:hAnsi="Calibri"/>
      <w:lang w:val="es-ES_tradnl" w:eastAsia="es-ES"/>
    </w:rPr>
  </w:style>
  <w:style w:type="character" w:styleId="Refdenotaalpie">
    <w:name w:val="footnote reference"/>
    <w:aliases w:val="Footnotes refss,Texto de nota al pie,Appel note de bas de page,Footnote number,referencia nota al pie,BVI fnr,f,Ref. de nota al pie.,4_G,16 Point,Superscript 6 Point,Footnote symbol,Footnote,Texto nota al pie,Footnote Reference Char3"/>
    <w:link w:val="4GChar"/>
    <w:uiPriority w:val="99"/>
    <w:unhideWhenUsed/>
    <w:qFormat/>
    <w:rsid w:val="00240394"/>
    <w:rPr>
      <w:vertAlign w:val="superscript"/>
    </w:rPr>
  </w:style>
  <w:style w:type="paragraph" w:styleId="NormalWeb">
    <w:name w:val="Normal (Web)"/>
    <w:aliases w:val="Normal (Web) Char1,Normal (Web) Char Char,Normal (Web) Char1 Char,Normal (Web) Char Char Char"/>
    <w:basedOn w:val="Normal"/>
    <w:uiPriority w:val="99"/>
    <w:unhideWhenUsed/>
    <w:rsid w:val="00240394"/>
    <w:pPr>
      <w:spacing w:before="100" w:beforeAutospacing="1" w:after="100" w:afterAutospacing="1"/>
    </w:pPr>
    <w:rPr>
      <w:rFonts w:ascii="Times" w:hAnsi="Times"/>
      <w:sz w:val="20"/>
      <w:szCs w:val="20"/>
      <w:lang w:val="es-MX"/>
    </w:rPr>
  </w:style>
  <w:style w:type="character" w:styleId="Hipervnculo">
    <w:name w:val="Hyperlink"/>
    <w:uiPriority w:val="99"/>
    <w:rsid w:val="00240394"/>
    <w:rPr>
      <w:color w:val="4659C4"/>
      <w:u w:val="singl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240394"/>
    <w:pPr>
      <w:jc w:val="both"/>
    </w:pPr>
    <w:rPr>
      <w:rFonts w:ascii="Verdana" w:eastAsia="Calibri" w:hAnsi="Verdana"/>
      <w:sz w:val="20"/>
      <w:szCs w:val="20"/>
      <w:vertAlign w:val="superscript"/>
      <w:lang w:val="x-none" w:eastAsia="x-none"/>
    </w:rPr>
  </w:style>
  <w:style w:type="character" w:customStyle="1" w:styleId="PrrafodelistaCar">
    <w:name w:val="Párrafo de lista Car"/>
    <w:aliases w:val="List Paragraph2 Car,Párrafo de lista1 Car,List Paragraph1 Car,Colorful List - Accent 11 Car,Lista vistosa - Énfasis 11 Car,Cuadrícula clara - Énfasis 31 Car,Lista clara - Énfasis 51 Car,Subtle Emphasis1 Car,Footnote1 Car"/>
    <w:link w:val="Prrafodelista"/>
    <w:uiPriority w:val="34"/>
    <w:locked/>
    <w:rsid w:val="00240394"/>
    <w:rPr>
      <w:rFonts w:ascii="Calibri" w:eastAsia="Times New Roman" w:hAnsi="Calibri"/>
      <w:lang w:val="es-ES_tradnl" w:eastAsia="es-ES"/>
    </w:rPr>
  </w:style>
  <w:style w:type="character" w:styleId="Textoennegrita">
    <w:name w:val="Strong"/>
    <w:uiPriority w:val="22"/>
    <w:qFormat/>
    <w:rsid w:val="00240394"/>
    <w:rPr>
      <w:b/>
      <w:bCs/>
    </w:rPr>
  </w:style>
  <w:style w:type="paragraph" w:styleId="Piedepgina">
    <w:name w:val="footer"/>
    <w:basedOn w:val="Normal"/>
    <w:link w:val="PiedepginaCar"/>
    <w:uiPriority w:val="99"/>
    <w:unhideWhenUsed/>
    <w:rsid w:val="00240394"/>
    <w:pPr>
      <w:tabs>
        <w:tab w:val="center" w:pos="4252"/>
        <w:tab w:val="right" w:pos="8504"/>
      </w:tabs>
    </w:pPr>
    <w:rPr>
      <w:sz w:val="20"/>
      <w:szCs w:val="20"/>
    </w:rPr>
  </w:style>
  <w:style w:type="character" w:customStyle="1" w:styleId="PiedepginaCar">
    <w:name w:val="Pie de página Car"/>
    <w:link w:val="Piedepgina"/>
    <w:uiPriority w:val="99"/>
    <w:rsid w:val="00240394"/>
    <w:rPr>
      <w:rFonts w:ascii="Calibri" w:eastAsia="Times New Roman" w:hAnsi="Calibri"/>
      <w:lang w:val="es-ES_tradnl" w:eastAsia="es-ES"/>
    </w:rPr>
  </w:style>
  <w:style w:type="character" w:styleId="Nmerodepgina">
    <w:name w:val="page number"/>
    <w:basedOn w:val="Fuentedeprrafopredeter"/>
    <w:uiPriority w:val="99"/>
    <w:semiHidden/>
    <w:unhideWhenUsed/>
    <w:rsid w:val="00240394"/>
  </w:style>
  <w:style w:type="paragraph" w:styleId="Subttulo">
    <w:name w:val="Subtitle"/>
    <w:basedOn w:val="Normal"/>
    <w:next w:val="Normal"/>
    <w:link w:val="SubttuloCar1"/>
    <w:uiPriority w:val="11"/>
    <w:qFormat/>
    <w:rsid w:val="00240394"/>
    <w:pPr>
      <w:numPr>
        <w:ilvl w:val="1"/>
      </w:numPr>
      <w:jc w:val="center"/>
    </w:pPr>
    <w:rPr>
      <w:rFonts w:ascii="Calibri Light" w:hAnsi="Calibri Light"/>
      <w:i/>
      <w:iCs/>
      <w:color w:val="5B9BD5"/>
      <w:spacing w:val="15"/>
      <w:sz w:val="20"/>
      <w:szCs w:val="20"/>
    </w:rPr>
  </w:style>
  <w:style w:type="character" w:customStyle="1" w:styleId="SubttuloCar">
    <w:name w:val="Subtítulo Car"/>
    <w:uiPriority w:val="11"/>
    <w:rsid w:val="00240394"/>
    <w:rPr>
      <w:rFonts w:ascii="Calibri Light" w:eastAsia="Times New Roman" w:hAnsi="Calibri Light" w:cs="Times New Roman"/>
      <w:i/>
      <w:iCs/>
      <w:color w:val="5B9BD5"/>
      <w:spacing w:val="15"/>
      <w:lang w:val="es-ES_tradnl" w:eastAsia="es-ES"/>
    </w:rPr>
  </w:style>
  <w:style w:type="character" w:customStyle="1" w:styleId="SubttuloCar1">
    <w:name w:val="Subtítulo Car1"/>
    <w:link w:val="Subttulo"/>
    <w:uiPriority w:val="11"/>
    <w:rsid w:val="00240394"/>
    <w:rPr>
      <w:rFonts w:eastAsia="Times New Roman" w:cs="Times New Roman"/>
      <w:b/>
      <w:i/>
      <w:iCs/>
      <w:noProof/>
      <w:spacing w:val="15"/>
      <w:sz w:val="20"/>
      <w:lang w:val="es-ES_tradnl"/>
    </w:rPr>
  </w:style>
  <w:style w:type="character" w:styleId="Refdecomentario">
    <w:name w:val="annotation reference"/>
    <w:uiPriority w:val="99"/>
    <w:semiHidden/>
    <w:unhideWhenUsed/>
    <w:rsid w:val="00240394"/>
    <w:rPr>
      <w:sz w:val="16"/>
      <w:szCs w:val="16"/>
    </w:rPr>
  </w:style>
  <w:style w:type="paragraph" w:styleId="Textocomentario">
    <w:name w:val="annotation text"/>
    <w:basedOn w:val="Normal"/>
    <w:link w:val="TextocomentarioCar"/>
    <w:uiPriority w:val="99"/>
    <w:unhideWhenUsed/>
    <w:rsid w:val="00240394"/>
    <w:rPr>
      <w:sz w:val="20"/>
      <w:szCs w:val="20"/>
    </w:rPr>
  </w:style>
  <w:style w:type="character" w:customStyle="1" w:styleId="TextocomentarioCar">
    <w:name w:val="Texto comentario Car"/>
    <w:link w:val="Textocomentario"/>
    <w:uiPriority w:val="99"/>
    <w:rsid w:val="00240394"/>
    <w:rPr>
      <w:rFonts w:ascii="Calibri" w:eastAsia="Times New Roman" w:hAnsi="Calibri"/>
      <w:sz w:val="20"/>
      <w:szCs w:val="20"/>
      <w:lang w:val="es-ES_tradnl" w:eastAsia="es-ES"/>
    </w:rPr>
  </w:style>
  <w:style w:type="paragraph" w:customStyle="1" w:styleId="s32b251d">
    <w:name w:val="s32b251d"/>
    <w:basedOn w:val="Normal"/>
    <w:rsid w:val="00240394"/>
    <w:pPr>
      <w:spacing w:before="100" w:beforeAutospacing="1" w:after="100" w:afterAutospacing="1"/>
    </w:pPr>
    <w:rPr>
      <w:rFonts w:ascii="Times New Roman" w:hAnsi="Times New Roman"/>
      <w:lang w:val="es-VE" w:eastAsia="es-VE"/>
    </w:rPr>
  </w:style>
  <w:style w:type="paragraph" w:styleId="Textodeglobo">
    <w:name w:val="Balloon Text"/>
    <w:basedOn w:val="Normal"/>
    <w:link w:val="TextodegloboCar"/>
    <w:uiPriority w:val="99"/>
    <w:semiHidden/>
    <w:unhideWhenUsed/>
    <w:rsid w:val="00240394"/>
    <w:rPr>
      <w:rFonts w:ascii="Tahoma" w:hAnsi="Tahoma"/>
      <w:sz w:val="16"/>
      <w:szCs w:val="16"/>
    </w:rPr>
  </w:style>
  <w:style w:type="character" w:customStyle="1" w:styleId="TextodegloboCar">
    <w:name w:val="Texto de globo Car"/>
    <w:link w:val="Textodeglobo"/>
    <w:uiPriority w:val="99"/>
    <w:semiHidden/>
    <w:rsid w:val="00240394"/>
    <w:rPr>
      <w:rFonts w:ascii="Tahoma" w:eastAsia="Times New Roman" w:hAnsi="Tahoma" w:cs="Tahoma"/>
      <w:sz w:val="16"/>
      <w:szCs w:val="16"/>
      <w:lang w:val="es-ES_tradnl" w:eastAsia="es-ES"/>
    </w:rPr>
  </w:style>
  <w:style w:type="paragraph" w:styleId="Encabezado">
    <w:name w:val="header"/>
    <w:basedOn w:val="Normal"/>
    <w:link w:val="EncabezadoCar"/>
    <w:uiPriority w:val="99"/>
    <w:unhideWhenUsed/>
    <w:rsid w:val="00E367DA"/>
    <w:pPr>
      <w:tabs>
        <w:tab w:val="center" w:pos="4252"/>
        <w:tab w:val="right" w:pos="8504"/>
      </w:tabs>
    </w:pPr>
  </w:style>
  <w:style w:type="character" w:customStyle="1" w:styleId="EncabezadoCar">
    <w:name w:val="Encabezado Car"/>
    <w:link w:val="Encabezado"/>
    <w:uiPriority w:val="99"/>
    <w:rsid w:val="00E367DA"/>
    <w:rPr>
      <w:rFonts w:ascii="Calibri" w:eastAsia="Times New Roman" w:hAnsi="Calibri"/>
      <w:sz w:val="24"/>
      <w:szCs w:val="24"/>
      <w:lang w:eastAsia="es-E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Textonotapie"/>
    <w:autoRedefine/>
    <w:uiPriority w:val="99"/>
    <w:qFormat/>
    <w:rsid w:val="005075B9"/>
    <w:pPr>
      <w:autoSpaceDE w:val="0"/>
      <w:autoSpaceDN w:val="0"/>
      <w:adjustRightInd w:val="0"/>
      <w:jc w:val="both"/>
    </w:pPr>
    <w:rPr>
      <w:rFonts w:ascii="Verdana" w:eastAsia="Calibri" w:hAnsi="Verdana"/>
      <w:vertAlign w:val="superscript"/>
      <w:lang w:val="es-CR" w:eastAsia="en-US"/>
    </w:rPr>
  </w:style>
  <w:style w:type="paragraph" w:customStyle="1" w:styleId="PrrafodeSentencia">
    <w:name w:val="*. Párrafo de Sentencia"/>
    <w:basedOn w:val="Normal"/>
    <w:link w:val="PrrafodeSentenciaChar"/>
    <w:qFormat/>
    <w:rsid w:val="005075B9"/>
    <w:pPr>
      <w:numPr>
        <w:numId w:val="2"/>
      </w:numPr>
      <w:tabs>
        <w:tab w:val="left" w:pos="567"/>
      </w:tabs>
      <w:autoSpaceDE w:val="0"/>
      <w:autoSpaceDN w:val="0"/>
      <w:adjustRightInd w:val="0"/>
      <w:spacing w:line="276" w:lineRule="auto"/>
      <w:ind w:left="0" w:firstLine="0"/>
      <w:jc w:val="both"/>
    </w:pPr>
    <w:rPr>
      <w:rFonts w:ascii="Verdana" w:eastAsia="Calibri" w:hAnsi="Verdana" w:cs="Cambria"/>
      <w:sz w:val="20"/>
      <w:szCs w:val="20"/>
      <w:lang w:val="es-CR" w:eastAsia="en-US"/>
    </w:rPr>
  </w:style>
  <w:style w:type="character" w:customStyle="1" w:styleId="PrrafodeSentenciaChar">
    <w:name w:val="*. Párrafo de Sentencia Char"/>
    <w:link w:val="PrrafodeSentencia"/>
    <w:locked/>
    <w:rsid w:val="005075B9"/>
    <w:rPr>
      <w:rFonts w:cs="Cambria"/>
      <w:lang w:val="es-CR" w:eastAsia="en-US"/>
    </w:rPr>
  </w:style>
  <w:style w:type="paragraph" w:styleId="Revisin">
    <w:name w:val="Revision"/>
    <w:hidden/>
    <w:uiPriority w:val="99"/>
    <w:semiHidden/>
    <w:rsid w:val="00CF6504"/>
    <w:rPr>
      <w:rFonts w:ascii="Calibri" w:eastAsia="Times New Roman" w:hAnsi="Calibri"/>
      <w:sz w:val="24"/>
      <w:szCs w:val="24"/>
      <w:lang w:val="es-ES_tradnl" w:eastAsia="es-ES"/>
    </w:rPr>
  </w:style>
  <w:style w:type="character" w:styleId="Mencinsinresolver">
    <w:name w:val="Unresolved Mention"/>
    <w:basedOn w:val="Fuentedeprrafopredeter"/>
    <w:uiPriority w:val="99"/>
    <w:semiHidden/>
    <w:unhideWhenUsed/>
    <w:rsid w:val="00AE4D85"/>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AA06A4"/>
    <w:rPr>
      <w:b/>
      <w:bCs/>
    </w:rPr>
  </w:style>
  <w:style w:type="character" w:customStyle="1" w:styleId="AsuntodelcomentarioCar">
    <w:name w:val="Asunto del comentario Car"/>
    <w:basedOn w:val="TextocomentarioCar"/>
    <w:link w:val="Asuntodelcomentario"/>
    <w:uiPriority w:val="99"/>
    <w:semiHidden/>
    <w:rsid w:val="00AA06A4"/>
    <w:rPr>
      <w:rFonts w:ascii="Calibri" w:eastAsia="Times New Roman" w:hAnsi="Calibri"/>
      <w:b/>
      <w:bCs/>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545703">
      <w:bodyDiv w:val="1"/>
      <w:marLeft w:val="0"/>
      <w:marRight w:val="0"/>
      <w:marTop w:val="0"/>
      <w:marBottom w:val="0"/>
      <w:divBdr>
        <w:top w:val="none" w:sz="0" w:space="0" w:color="auto"/>
        <w:left w:val="none" w:sz="0" w:space="0" w:color="auto"/>
        <w:bottom w:val="none" w:sz="0" w:space="0" w:color="auto"/>
        <w:right w:val="none" w:sz="0" w:space="0" w:color="auto"/>
      </w:divBdr>
    </w:div>
    <w:div w:id="1825857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udoc.echr.coe.int/en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udoc.echr.coe.int/en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assets.hcch.net/docs/6ef6b161-241e-4e56-beff-0233d1f91a7e.pdf" TargetMode="External"/><Relationship Id="rId2" Type="http://schemas.openxmlformats.org/officeDocument/2006/relationships/hyperlink" Target="https://eur-lex.europa.eu" TargetMode="External"/><Relationship Id="rId1" Type="http://schemas.openxmlformats.org/officeDocument/2006/relationships/hyperlink" Target="http://www.cumbrejudicial.org/productos-y-resultados/productos-axiologicos/item/40-protocolo-de-cooperacion-judicial-internacional"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o" ma:contentTypeID="0x0101004BB6032D02DB9A47934F3781B212059F" ma:contentTypeVersion="4" ma:contentTypeDescription="Crear nuevo documento." ma:contentTypeScope="" ma:versionID="917310216c25b1702da4d9692868ffa0">
  <xsd:schema xmlns:xsd="http://www.w3.org/2001/XMLSchema" xmlns:xs="http://www.w3.org/2001/XMLSchema" xmlns:p="http://schemas.microsoft.com/office/2006/metadata/properties" xmlns:ns3="6d048a61-b4fc-43fc-8050-411a62513686" targetNamespace="http://schemas.microsoft.com/office/2006/metadata/properties" ma:root="true" ma:fieldsID="006224ec8484bb1185a38f011c5cfbd1" ns3:_="">
    <xsd:import namespace="6d048a61-b4fc-43fc-8050-411a62513686"/>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048a61-b4fc-43fc-8050-411a625136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6d048a61-b4fc-43fc-8050-411a62513686" xsi:nil="true"/>
  </documentManagement>
</p:properties>
</file>

<file path=customXml/itemProps1.xml><?xml version="1.0" encoding="utf-8"?>
<ds:datastoreItem xmlns:ds="http://schemas.openxmlformats.org/officeDocument/2006/customXml" ds:itemID="{315D79BD-B290-49D4-8CED-4BD10281C2DF}">
  <ds:schemaRefs>
    <ds:schemaRef ds:uri="http://schemas.openxmlformats.org/officeDocument/2006/bibliography"/>
  </ds:schemaRefs>
</ds:datastoreItem>
</file>

<file path=customXml/itemProps2.xml><?xml version="1.0" encoding="utf-8"?>
<ds:datastoreItem xmlns:ds="http://schemas.openxmlformats.org/officeDocument/2006/customXml" ds:itemID="{BD4E7BCC-8C6A-4454-9FB9-F4AD9DDC31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048a61-b4fc-43fc-8050-411a625136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73B35B-9A6E-464D-9A39-C074DC7B04CB}">
  <ds:schemaRefs>
    <ds:schemaRef ds:uri="http://schemas.microsoft.com/sharepoint/v3/contenttype/forms"/>
  </ds:schemaRefs>
</ds:datastoreItem>
</file>

<file path=customXml/itemProps4.xml><?xml version="1.0" encoding="utf-8"?>
<ds:datastoreItem xmlns:ds="http://schemas.openxmlformats.org/officeDocument/2006/customXml" ds:itemID="{7D7557CE-22E6-4B81-92A9-B680FE30E64F}">
  <ds:schemaRefs>
    <ds:schemaRef ds:uri="http://schemas.microsoft.com/office/2006/metadata/properties"/>
    <ds:schemaRef ds:uri="http://schemas.microsoft.com/office/infopath/2007/PartnerControls"/>
    <ds:schemaRef ds:uri="6d048a61-b4fc-43fc-8050-411a6251368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8027</Words>
  <Characters>41420</Characters>
  <Application>Microsoft Office Word</Application>
  <DocSecurity>0</DocSecurity>
  <Lines>714</Lines>
  <Paragraphs>164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49283</CharactersWithSpaces>
  <SharedDoc>false</SharedDoc>
  <HLinks>
    <vt:vector size="6" baseType="variant">
      <vt:variant>
        <vt:i4>2424938</vt:i4>
      </vt:variant>
      <vt:variant>
        <vt:i4>0</vt:i4>
      </vt:variant>
      <vt:variant>
        <vt:i4>0</vt:i4>
      </vt:variant>
      <vt:variant>
        <vt:i4>5</vt:i4>
      </vt:variant>
      <vt:variant>
        <vt:lpwstr>http://www.cumbrejudicial.org/productos-y-resultados/productos-axiologicos/item/40-protocolo-de-cooperacion-judicial-internacional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2023-12-19T17:36:00Z</dcterms:created>
  <dcterms:modified xsi:type="dcterms:W3CDTF">2023-12-19T17:36:00Z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0x0101004BB6032D02DB9A47934F3781B212059F</vt:lpwstr>
  </property>
</Properties>
</file>