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A8361" w14:textId="7827CE6B" w:rsidR="00376DC9" w:rsidRDefault="00376DC9" w:rsidP="00AB5A00">
      <w:pPr>
        <w:rPr>
          <w:b/>
          <w:sz w:val="20"/>
          <w:szCs w:val="20"/>
        </w:rPr>
      </w:pPr>
    </w:p>
    <w:p w14:paraId="0604C75E" w14:textId="77777777" w:rsidR="0003028E" w:rsidRDefault="0003028E" w:rsidP="00AB5A00">
      <w:pPr>
        <w:rPr>
          <w:b/>
          <w:sz w:val="20"/>
          <w:szCs w:val="20"/>
        </w:rPr>
      </w:pPr>
    </w:p>
    <w:p w14:paraId="2802088E" w14:textId="77777777" w:rsidR="0003028E" w:rsidRDefault="0003028E" w:rsidP="00AB5A00">
      <w:pPr>
        <w:rPr>
          <w:b/>
          <w:sz w:val="20"/>
          <w:szCs w:val="20"/>
        </w:rPr>
      </w:pPr>
    </w:p>
    <w:p w14:paraId="324F9AE6" w14:textId="77777777" w:rsidR="0003028E" w:rsidRDefault="0003028E" w:rsidP="00AB5A00">
      <w:pPr>
        <w:rPr>
          <w:b/>
          <w:sz w:val="20"/>
          <w:szCs w:val="20"/>
        </w:rPr>
      </w:pPr>
    </w:p>
    <w:p w14:paraId="30D7F9FC" w14:textId="77777777" w:rsidR="001F48BF" w:rsidRDefault="001F48BF" w:rsidP="00AB5A00">
      <w:pPr>
        <w:rPr>
          <w:b/>
          <w:sz w:val="20"/>
          <w:szCs w:val="20"/>
        </w:rPr>
      </w:pPr>
    </w:p>
    <w:p w14:paraId="24493F15" w14:textId="77777777" w:rsidR="0003028E" w:rsidRDefault="0003028E" w:rsidP="00AB5A00">
      <w:pPr>
        <w:rPr>
          <w:b/>
          <w:sz w:val="20"/>
          <w:szCs w:val="20"/>
        </w:rPr>
      </w:pPr>
    </w:p>
    <w:p w14:paraId="51F245D7" w14:textId="77777777" w:rsidR="0003028E" w:rsidRDefault="0003028E" w:rsidP="00AB5A00">
      <w:pPr>
        <w:rPr>
          <w:b/>
          <w:sz w:val="20"/>
          <w:szCs w:val="20"/>
        </w:rPr>
      </w:pPr>
    </w:p>
    <w:p w14:paraId="66589451" w14:textId="77777777" w:rsidR="0003028E" w:rsidRDefault="0003028E" w:rsidP="00AB5A00">
      <w:pPr>
        <w:rPr>
          <w:b/>
          <w:sz w:val="20"/>
          <w:szCs w:val="20"/>
        </w:rPr>
      </w:pPr>
    </w:p>
    <w:p w14:paraId="302F0FF5" w14:textId="77777777" w:rsidR="00376DC9" w:rsidRPr="00376DC9" w:rsidRDefault="00376DC9" w:rsidP="00AB5A00">
      <w:pPr>
        <w:jc w:val="center"/>
        <w:rPr>
          <w:b/>
          <w:sz w:val="20"/>
          <w:szCs w:val="20"/>
        </w:rPr>
      </w:pPr>
      <w:bookmarkStart w:id="0" w:name="_Toc125382292"/>
      <w:r w:rsidRPr="00376DC9">
        <w:rPr>
          <w:b/>
          <w:sz w:val="20"/>
          <w:szCs w:val="20"/>
        </w:rPr>
        <w:t>RESOLUCIÓN</w:t>
      </w:r>
      <w:r w:rsidRPr="00376DC9">
        <w:rPr>
          <w:b/>
          <w:spacing w:val="-5"/>
          <w:sz w:val="20"/>
          <w:szCs w:val="20"/>
        </w:rPr>
        <w:t xml:space="preserve"> </w:t>
      </w:r>
      <w:r w:rsidRPr="00376DC9">
        <w:rPr>
          <w:b/>
          <w:sz w:val="20"/>
          <w:szCs w:val="20"/>
        </w:rPr>
        <w:t>DE</w:t>
      </w:r>
      <w:r w:rsidRPr="00376DC9">
        <w:rPr>
          <w:b/>
          <w:spacing w:val="-4"/>
          <w:sz w:val="20"/>
          <w:szCs w:val="20"/>
        </w:rPr>
        <w:t xml:space="preserve"> </w:t>
      </w:r>
      <w:r w:rsidRPr="00376DC9">
        <w:rPr>
          <w:b/>
          <w:spacing w:val="-5"/>
          <w:sz w:val="20"/>
          <w:szCs w:val="20"/>
        </w:rPr>
        <w:t>LA</w:t>
      </w:r>
      <w:bookmarkEnd w:id="0"/>
    </w:p>
    <w:p w14:paraId="1883FD2D" w14:textId="11E0EC85" w:rsidR="00026B50" w:rsidRDefault="00376DC9" w:rsidP="00AB5A00">
      <w:pPr>
        <w:jc w:val="center"/>
        <w:rPr>
          <w:b/>
          <w:sz w:val="20"/>
          <w:szCs w:val="20"/>
          <w:vertAlign w:val="superscript"/>
        </w:rPr>
      </w:pPr>
      <w:r w:rsidRPr="00376DC9">
        <w:rPr>
          <w:b/>
          <w:sz w:val="20"/>
          <w:szCs w:val="20"/>
        </w:rPr>
        <w:t>CORTE</w:t>
      </w:r>
      <w:r w:rsidRPr="00376DC9">
        <w:rPr>
          <w:b/>
          <w:spacing w:val="-10"/>
          <w:sz w:val="20"/>
          <w:szCs w:val="20"/>
        </w:rPr>
        <w:t xml:space="preserve"> </w:t>
      </w:r>
      <w:r w:rsidRPr="00376DC9">
        <w:rPr>
          <w:b/>
          <w:sz w:val="20"/>
          <w:szCs w:val="20"/>
        </w:rPr>
        <w:t>INTERAMERICANA</w:t>
      </w:r>
      <w:r w:rsidRPr="00376DC9">
        <w:rPr>
          <w:b/>
          <w:spacing w:val="-10"/>
          <w:sz w:val="20"/>
          <w:szCs w:val="20"/>
        </w:rPr>
        <w:t xml:space="preserve"> </w:t>
      </w:r>
      <w:r w:rsidRPr="00376DC9">
        <w:rPr>
          <w:b/>
          <w:sz w:val="20"/>
          <w:szCs w:val="20"/>
        </w:rPr>
        <w:t>DE</w:t>
      </w:r>
      <w:r w:rsidRPr="00376DC9">
        <w:rPr>
          <w:b/>
          <w:spacing w:val="-11"/>
          <w:sz w:val="20"/>
          <w:szCs w:val="20"/>
        </w:rPr>
        <w:t xml:space="preserve"> </w:t>
      </w:r>
      <w:r w:rsidRPr="00376DC9">
        <w:rPr>
          <w:b/>
          <w:sz w:val="20"/>
          <w:szCs w:val="20"/>
        </w:rPr>
        <w:t>DERECHOS</w:t>
      </w:r>
      <w:r w:rsidRPr="00376DC9">
        <w:rPr>
          <w:b/>
          <w:spacing w:val="-9"/>
          <w:sz w:val="20"/>
          <w:szCs w:val="20"/>
        </w:rPr>
        <w:t xml:space="preserve"> </w:t>
      </w:r>
      <w:r w:rsidRPr="00376DC9">
        <w:rPr>
          <w:b/>
          <w:sz w:val="20"/>
          <w:szCs w:val="20"/>
        </w:rPr>
        <w:t>HUMANOS</w:t>
      </w:r>
      <w:r w:rsidRPr="00376DC9">
        <w:rPr>
          <w:b/>
          <w:sz w:val="20"/>
          <w:szCs w:val="20"/>
          <w:vertAlign w:val="superscript"/>
        </w:rPr>
        <w:t>*</w:t>
      </w:r>
    </w:p>
    <w:p w14:paraId="7CDE6DF9" w14:textId="77777777" w:rsidR="00AB5A00" w:rsidRPr="00376DC9" w:rsidRDefault="00AB5A00" w:rsidP="00AB5A00">
      <w:pPr>
        <w:jc w:val="center"/>
        <w:rPr>
          <w:b/>
          <w:sz w:val="20"/>
          <w:szCs w:val="20"/>
        </w:rPr>
      </w:pPr>
    </w:p>
    <w:p w14:paraId="1A9472A7" w14:textId="3AF1B2D0" w:rsidR="00026B50" w:rsidRDefault="00026B50" w:rsidP="00AB5A00">
      <w:pPr>
        <w:jc w:val="center"/>
        <w:rPr>
          <w:b/>
          <w:sz w:val="20"/>
          <w:szCs w:val="20"/>
        </w:rPr>
      </w:pPr>
      <w:r w:rsidRPr="00376DC9">
        <w:rPr>
          <w:b/>
          <w:sz w:val="20"/>
          <w:szCs w:val="20"/>
        </w:rPr>
        <w:t xml:space="preserve">DE </w:t>
      </w:r>
      <w:r w:rsidR="006310B3">
        <w:rPr>
          <w:b/>
          <w:sz w:val="20"/>
          <w:szCs w:val="20"/>
        </w:rPr>
        <w:t>18</w:t>
      </w:r>
      <w:r w:rsidRPr="00376DC9">
        <w:rPr>
          <w:b/>
          <w:sz w:val="20"/>
          <w:szCs w:val="20"/>
        </w:rPr>
        <w:t xml:space="preserve"> DE </w:t>
      </w:r>
      <w:r w:rsidR="006507AC">
        <w:rPr>
          <w:b/>
          <w:sz w:val="20"/>
          <w:szCs w:val="20"/>
        </w:rPr>
        <w:t>OCTUBRE</w:t>
      </w:r>
      <w:r w:rsidRPr="00376DC9">
        <w:rPr>
          <w:b/>
          <w:sz w:val="20"/>
          <w:szCs w:val="20"/>
        </w:rPr>
        <w:t xml:space="preserve"> DE </w:t>
      </w:r>
      <w:r w:rsidR="00A14C4A">
        <w:rPr>
          <w:b/>
          <w:sz w:val="20"/>
          <w:szCs w:val="20"/>
        </w:rPr>
        <w:t>2023</w:t>
      </w:r>
    </w:p>
    <w:p w14:paraId="088968CC" w14:textId="77777777" w:rsidR="00AB5A00" w:rsidRPr="00376DC9" w:rsidRDefault="00AB5A00" w:rsidP="00AB5A00">
      <w:pPr>
        <w:jc w:val="center"/>
        <w:rPr>
          <w:b/>
          <w:sz w:val="20"/>
          <w:szCs w:val="20"/>
        </w:rPr>
      </w:pPr>
    </w:p>
    <w:p w14:paraId="4BFF3933" w14:textId="4ED5EFA8" w:rsidR="00026B50" w:rsidRDefault="00026B50" w:rsidP="00AB5A00">
      <w:pPr>
        <w:jc w:val="center"/>
        <w:rPr>
          <w:b/>
          <w:i/>
          <w:sz w:val="20"/>
          <w:szCs w:val="20"/>
        </w:rPr>
      </w:pPr>
      <w:r w:rsidRPr="00376DC9">
        <w:rPr>
          <w:b/>
          <w:i/>
          <w:sz w:val="20"/>
          <w:szCs w:val="20"/>
        </w:rPr>
        <w:t>CA</w:t>
      </w:r>
      <w:r w:rsidR="00AE21A4">
        <w:rPr>
          <w:b/>
          <w:i/>
          <w:sz w:val="20"/>
          <w:szCs w:val="20"/>
        </w:rPr>
        <w:t xml:space="preserve">SO </w:t>
      </w:r>
      <w:r w:rsidR="00853A8C">
        <w:rPr>
          <w:b/>
          <w:i/>
          <w:sz w:val="20"/>
          <w:szCs w:val="20"/>
        </w:rPr>
        <w:t>FORNERÓN E HIJA</w:t>
      </w:r>
      <w:r w:rsidR="00AE21A4">
        <w:rPr>
          <w:b/>
          <w:i/>
          <w:sz w:val="20"/>
          <w:szCs w:val="20"/>
        </w:rPr>
        <w:t xml:space="preserve"> VS. ARGENTINA </w:t>
      </w:r>
    </w:p>
    <w:p w14:paraId="55F29452" w14:textId="77777777" w:rsidR="00E6111F" w:rsidRPr="00376DC9" w:rsidRDefault="00E6111F" w:rsidP="00AB5A00">
      <w:pPr>
        <w:jc w:val="center"/>
        <w:rPr>
          <w:b/>
          <w:i/>
          <w:sz w:val="20"/>
          <w:szCs w:val="20"/>
        </w:rPr>
      </w:pPr>
    </w:p>
    <w:p w14:paraId="19422CC6" w14:textId="77777777" w:rsidR="00026B50" w:rsidRPr="00376DC9" w:rsidRDefault="00026B50" w:rsidP="00AB5A00">
      <w:pPr>
        <w:jc w:val="center"/>
        <w:rPr>
          <w:b/>
          <w:sz w:val="20"/>
          <w:szCs w:val="20"/>
        </w:rPr>
      </w:pPr>
      <w:r w:rsidRPr="00376DC9">
        <w:rPr>
          <w:b/>
          <w:sz w:val="20"/>
          <w:szCs w:val="20"/>
        </w:rPr>
        <w:t>SUPERVISIÓN DE CUMPLIMIENTO DE SENTENCIA</w:t>
      </w:r>
    </w:p>
    <w:p w14:paraId="1ABC7A34" w14:textId="77777777" w:rsidR="00026B50" w:rsidRPr="00376DC9" w:rsidRDefault="00026B50" w:rsidP="00AB5A00">
      <w:pPr>
        <w:jc w:val="center"/>
        <w:rPr>
          <w:b/>
          <w:sz w:val="20"/>
          <w:szCs w:val="20"/>
        </w:rPr>
      </w:pPr>
    </w:p>
    <w:p w14:paraId="4BA8E14D" w14:textId="77777777" w:rsidR="00026B50" w:rsidRPr="00AB5A00" w:rsidRDefault="00026B50" w:rsidP="00AB5A00">
      <w:pPr>
        <w:spacing w:before="120" w:after="120"/>
        <w:jc w:val="both"/>
        <w:rPr>
          <w:b/>
          <w:sz w:val="20"/>
          <w:szCs w:val="20"/>
        </w:rPr>
      </w:pPr>
      <w:r w:rsidRPr="00AB5A00">
        <w:rPr>
          <w:b/>
          <w:sz w:val="20"/>
          <w:szCs w:val="20"/>
        </w:rPr>
        <w:t xml:space="preserve">VISTO: </w:t>
      </w:r>
    </w:p>
    <w:p w14:paraId="058107F9" w14:textId="2FA43ECA" w:rsidR="00A21FB7" w:rsidRPr="00AB5A00" w:rsidRDefault="00026B50" w:rsidP="00AB5A00">
      <w:pPr>
        <w:pStyle w:val="Textoindependiente"/>
        <w:numPr>
          <w:ilvl w:val="0"/>
          <w:numId w:val="2"/>
        </w:numPr>
        <w:tabs>
          <w:tab w:val="left" w:pos="851"/>
        </w:tabs>
        <w:spacing w:before="120" w:after="120"/>
        <w:ind w:left="0" w:firstLine="21"/>
        <w:jc w:val="both"/>
      </w:pPr>
      <w:r w:rsidRPr="00AB5A00">
        <w:t>La Sentencia de fondo, reparaciones y costas (en adelante “la Sentencia”)</w:t>
      </w:r>
      <w:r w:rsidR="000F5B26" w:rsidRPr="00AB5A00">
        <w:t xml:space="preserve"> emitida por la Corte Interamericana de Derechos Humanos (en adelante “la Corte” o “el Tribuna</w:t>
      </w:r>
      <w:r w:rsidR="00B46EB9" w:rsidRPr="00AB5A00">
        <w:t xml:space="preserve">l”) el </w:t>
      </w:r>
      <w:r w:rsidR="00EA5CB7" w:rsidRPr="00EA5CB7">
        <w:t>27 de abril de 2012</w:t>
      </w:r>
      <w:r w:rsidR="00C35EBF" w:rsidRPr="00AB5A00">
        <w:rPr>
          <w:rStyle w:val="Refdenotaalpie"/>
        </w:rPr>
        <w:footnoteReference w:id="1"/>
      </w:r>
      <w:r w:rsidR="00B46EB9" w:rsidRPr="00AB5A00">
        <w:t>.</w:t>
      </w:r>
    </w:p>
    <w:p w14:paraId="11B88EA1" w14:textId="7159B145" w:rsidR="00EA5CB7" w:rsidRDefault="00EA5CB7" w:rsidP="00EA5CB7">
      <w:pPr>
        <w:pStyle w:val="Textoindependiente"/>
        <w:numPr>
          <w:ilvl w:val="0"/>
          <w:numId w:val="2"/>
        </w:numPr>
        <w:tabs>
          <w:tab w:val="left" w:pos="851"/>
        </w:tabs>
        <w:spacing w:before="120" w:after="120"/>
        <w:ind w:left="0" w:firstLine="21"/>
        <w:jc w:val="both"/>
      </w:pPr>
      <w:r w:rsidRPr="00EA5CB7">
        <w:t xml:space="preserve">La Resolución conjunta emitida por la Corte el 26 de enero de 2015, en relación con los reintegros realizados por </w:t>
      </w:r>
      <w:r w:rsidR="001F48BF">
        <w:t>la República Argentina (en adelante “</w:t>
      </w:r>
      <w:r w:rsidR="001F48BF" w:rsidRPr="00AB5A00">
        <w:t>el Estado</w:t>
      </w:r>
      <w:r w:rsidR="001F48BF">
        <w:t>” o “Argentina”</w:t>
      </w:r>
      <w:r w:rsidRPr="00EA5CB7">
        <w:t xml:space="preserve"> al Fondo de Asistencia Legal de Víctimas (en adelante “Fondo de Asistencia”) en cinco casos, incluyendo este</w:t>
      </w:r>
      <w:r>
        <w:rPr>
          <w:rStyle w:val="Refdenotaalpie"/>
        </w:rPr>
        <w:footnoteReference w:id="2"/>
      </w:r>
      <w:r w:rsidRPr="00EA5CB7">
        <w:t>.</w:t>
      </w:r>
    </w:p>
    <w:p w14:paraId="7E2F2C38" w14:textId="117B446F" w:rsidR="00EA5CB7" w:rsidRDefault="00EA5CB7" w:rsidP="00EA5CB7">
      <w:pPr>
        <w:pStyle w:val="Textoindependiente"/>
        <w:numPr>
          <w:ilvl w:val="0"/>
          <w:numId w:val="2"/>
        </w:numPr>
        <w:tabs>
          <w:tab w:val="left" w:pos="851"/>
        </w:tabs>
        <w:spacing w:before="120" w:after="120"/>
        <w:ind w:left="0" w:firstLine="21"/>
        <w:jc w:val="both"/>
      </w:pPr>
      <w:r w:rsidRPr="00EA5CB7">
        <w:t>La</w:t>
      </w:r>
      <w:r w:rsidR="005F6F30">
        <w:t>s</w:t>
      </w:r>
      <w:r w:rsidRPr="00EA5CB7">
        <w:t xml:space="preserve"> Resoluci</w:t>
      </w:r>
      <w:r>
        <w:t>o</w:t>
      </w:r>
      <w:r w:rsidRPr="00EA5CB7">
        <w:t>n</w:t>
      </w:r>
      <w:r>
        <w:t>es</w:t>
      </w:r>
      <w:r w:rsidRPr="00EA5CB7">
        <w:t xml:space="preserve"> de supervisión de cumplimiento de Sentencia emitida</w:t>
      </w:r>
      <w:r>
        <w:t>s</w:t>
      </w:r>
      <w:r w:rsidRPr="00EA5CB7">
        <w:t xml:space="preserve"> por la Corte el 28 de noviembre de 2018</w:t>
      </w:r>
      <w:r w:rsidR="00232A61">
        <w:rPr>
          <w:rStyle w:val="Refdenotaalpie"/>
        </w:rPr>
        <w:footnoteReference w:id="3"/>
      </w:r>
      <w:r>
        <w:t xml:space="preserve"> y el 7 de octubre de 2019</w:t>
      </w:r>
      <w:r w:rsidR="00232A61">
        <w:rPr>
          <w:rStyle w:val="Refdenotaalpie"/>
        </w:rPr>
        <w:footnoteReference w:id="4"/>
      </w:r>
      <w:r w:rsidRPr="00EA5CB7">
        <w:t>.</w:t>
      </w:r>
    </w:p>
    <w:p w14:paraId="3FFE6775" w14:textId="1DEE1178" w:rsidR="006E7B99" w:rsidRDefault="006E7B99" w:rsidP="006E7B99">
      <w:pPr>
        <w:pStyle w:val="Textoindependiente"/>
        <w:numPr>
          <w:ilvl w:val="0"/>
          <w:numId w:val="2"/>
        </w:numPr>
        <w:tabs>
          <w:tab w:val="left" w:pos="851"/>
        </w:tabs>
        <w:spacing w:before="120" w:after="120"/>
        <w:ind w:left="0" w:firstLine="21"/>
        <w:jc w:val="both"/>
      </w:pPr>
      <w:r w:rsidRPr="00AB5A00">
        <w:t>Los informes presentados por</w:t>
      </w:r>
      <w:r>
        <w:t>)</w:t>
      </w:r>
      <w:r w:rsidRPr="00AB5A00">
        <w:t xml:space="preserve"> </w:t>
      </w:r>
      <w:r w:rsidR="001F48BF">
        <w:t xml:space="preserve">Argentina </w:t>
      </w:r>
      <w:r w:rsidRPr="00AB5A00">
        <w:t xml:space="preserve">entre </w:t>
      </w:r>
      <w:r>
        <w:t>mayo</w:t>
      </w:r>
      <w:r w:rsidRPr="00AB5A00">
        <w:t xml:space="preserve"> de 2020 y </w:t>
      </w:r>
      <w:r w:rsidR="00D23BD8">
        <w:t>agosto</w:t>
      </w:r>
      <w:r>
        <w:t xml:space="preserve"> de 2022</w:t>
      </w:r>
      <w:r w:rsidR="00D23BD8">
        <w:rPr>
          <w:rStyle w:val="Refdenotaalpie"/>
        </w:rPr>
        <w:footnoteReference w:id="5"/>
      </w:r>
      <w:r>
        <w:t>,</w:t>
      </w:r>
      <w:r w:rsidRPr="00AB5A00">
        <w:t xml:space="preserve"> </w:t>
      </w:r>
      <w:r>
        <w:rPr>
          <w:bCs/>
        </w:rPr>
        <w:t xml:space="preserve">así como </w:t>
      </w:r>
      <w:r>
        <w:t>l</w:t>
      </w:r>
      <w:r w:rsidRPr="00AB5A00">
        <w:t>os escritos presentados por l</w:t>
      </w:r>
      <w:r>
        <w:t>a</w:t>
      </w:r>
      <w:r w:rsidRPr="00AB5A00">
        <w:t>s representantes de</w:t>
      </w:r>
      <w:r>
        <w:t>l señor Fornerón</w:t>
      </w:r>
      <w:r w:rsidRPr="00AB5A00">
        <w:rPr>
          <w:rStyle w:val="Refdenotaalpie"/>
        </w:rPr>
        <w:footnoteReference w:id="6"/>
      </w:r>
      <w:r w:rsidRPr="00AB5A00">
        <w:t xml:space="preserve"> </w:t>
      </w:r>
      <w:r>
        <w:t xml:space="preserve">(en adelante, “las representantes”) </w:t>
      </w:r>
      <w:r w:rsidRPr="00AB5A00">
        <w:t xml:space="preserve">entre julio de 2020 y </w:t>
      </w:r>
      <w:r>
        <w:t>octubre</w:t>
      </w:r>
      <w:r w:rsidRPr="00AB5A00">
        <w:t xml:space="preserve"> de 202</w:t>
      </w:r>
      <w:r>
        <w:t>2</w:t>
      </w:r>
      <w:r w:rsidRPr="00AB5A00">
        <w:t xml:space="preserve">. </w:t>
      </w:r>
      <w:r w:rsidRPr="00232A61">
        <w:t>La Comisión Interamericana de Derechos Humanos no presentó observaciones</w:t>
      </w:r>
      <w:r>
        <w:t>.</w:t>
      </w:r>
    </w:p>
    <w:p w14:paraId="712A29E6" w14:textId="77777777" w:rsidR="00B36D4F" w:rsidRDefault="00B36D4F" w:rsidP="00B36D4F">
      <w:pPr>
        <w:pStyle w:val="Textoindependiente"/>
        <w:tabs>
          <w:tab w:val="left" w:pos="851"/>
        </w:tabs>
        <w:spacing w:before="120" w:after="120"/>
        <w:ind w:left="21"/>
        <w:jc w:val="both"/>
      </w:pPr>
    </w:p>
    <w:p w14:paraId="114D2924" w14:textId="62F29374" w:rsidR="006E7B99" w:rsidRDefault="006E7B99" w:rsidP="006E7B99">
      <w:pPr>
        <w:pStyle w:val="Textoindependiente"/>
        <w:numPr>
          <w:ilvl w:val="0"/>
          <w:numId w:val="2"/>
        </w:numPr>
        <w:tabs>
          <w:tab w:val="left" w:pos="851"/>
        </w:tabs>
        <w:spacing w:before="120" w:after="120"/>
        <w:ind w:left="0" w:firstLine="21"/>
        <w:jc w:val="both"/>
      </w:pPr>
      <w:r w:rsidRPr="00C01BE6">
        <w:lastRenderedPageBreak/>
        <w:t xml:space="preserve">El escrito de </w:t>
      </w:r>
      <w:proofErr w:type="spellStart"/>
      <w:r w:rsidRPr="006E7B99">
        <w:rPr>
          <w:i/>
          <w:iCs/>
        </w:rPr>
        <w:t>amicus</w:t>
      </w:r>
      <w:proofErr w:type="spellEnd"/>
      <w:r w:rsidRPr="006E7B99">
        <w:rPr>
          <w:i/>
          <w:iCs/>
        </w:rPr>
        <w:t xml:space="preserve"> </w:t>
      </w:r>
      <w:proofErr w:type="spellStart"/>
      <w:r w:rsidRPr="006E7B99">
        <w:rPr>
          <w:i/>
          <w:iCs/>
        </w:rPr>
        <w:t>curiae</w:t>
      </w:r>
      <w:proofErr w:type="spellEnd"/>
      <w:r w:rsidRPr="00C01BE6">
        <w:t xml:space="preserve"> presentado por </w:t>
      </w:r>
      <w:r>
        <w:t>el señor Gustavo Daniel Moreno el 28 de julio de 2022</w:t>
      </w:r>
      <w:r>
        <w:rPr>
          <w:rStyle w:val="Refdenotaalpie"/>
        </w:rPr>
        <w:footnoteReference w:id="7"/>
      </w:r>
      <w:r>
        <w:t>.</w:t>
      </w:r>
    </w:p>
    <w:p w14:paraId="56BD1699" w14:textId="05AE9380" w:rsidR="009E00FC" w:rsidRDefault="009E00FC" w:rsidP="00EA5CB7">
      <w:pPr>
        <w:pStyle w:val="Textoindependiente"/>
        <w:numPr>
          <w:ilvl w:val="0"/>
          <w:numId w:val="2"/>
        </w:numPr>
        <w:tabs>
          <w:tab w:val="left" w:pos="851"/>
        </w:tabs>
        <w:spacing w:before="120" w:after="120"/>
        <w:ind w:left="0" w:firstLine="21"/>
        <w:jc w:val="both"/>
      </w:pPr>
      <w:r>
        <w:t xml:space="preserve">La reunión sostenida el 25 de octubre de 2022 por </w:t>
      </w:r>
      <w:r w:rsidR="006E7B99">
        <w:t xml:space="preserve">la Jueza Nancy Hernández López </w:t>
      </w:r>
      <w:r>
        <w:t xml:space="preserve">con un grupo de Senadores y Senadoras del Congreso de la Nación Argentina, efectuada en el marco de la visita que </w:t>
      </w:r>
      <w:r w:rsidR="006E7B99">
        <w:t xml:space="preserve">realizó </w:t>
      </w:r>
      <w:r>
        <w:t>a Buenos Aires, Argentina, para supervisar el cumplimiento de Sentencias (</w:t>
      </w:r>
      <w:r w:rsidRPr="009E00FC">
        <w:rPr>
          <w:i/>
          <w:iCs/>
        </w:rPr>
        <w:t>infra</w:t>
      </w:r>
      <w:r>
        <w:t xml:space="preserve"> Considerando </w:t>
      </w:r>
      <w:r w:rsidR="0003028E">
        <w:t>9</w:t>
      </w:r>
      <w:r>
        <w:t>).</w:t>
      </w:r>
    </w:p>
    <w:p w14:paraId="3C4FFDC8" w14:textId="0462AB20" w:rsidR="002359C1" w:rsidRDefault="0057625F" w:rsidP="00AB5A00">
      <w:pPr>
        <w:pStyle w:val="Textoindependiente"/>
        <w:numPr>
          <w:ilvl w:val="0"/>
          <w:numId w:val="2"/>
        </w:numPr>
        <w:tabs>
          <w:tab w:val="left" w:pos="851"/>
        </w:tabs>
        <w:spacing w:before="120" w:after="120"/>
        <w:ind w:left="0" w:firstLine="21"/>
        <w:jc w:val="both"/>
      </w:pPr>
      <w:r>
        <w:t xml:space="preserve">La nota de la Secretaría de la Corte de </w:t>
      </w:r>
      <w:r w:rsidR="00F670C6">
        <w:t>17 de marzo</w:t>
      </w:r>
      <w:r w:rsidR="0003028E">
        <w:t xml:space="preserve"> de 2023</w:t>
      </w:r>
      <w:r w:rsidR="00232A61">
        <w:t>,</w:t>
      </w:r>
      <w:r>
        <w:t xml:space="preserve"> mediante la cual</w:t>
      </w:r>
      <w:r w:rsidR="00232A61">
        <w:t>, siguiendo instrucciones del Presidente del Tribunal,</w:t>
      </w:r>
      <w:r>
        <w:t xml:space="preserve"> se requi</w:t>
      </w:r>
      <w:r w:rsidR="00232A61">
        <w:t>rió al Estado que remitiera</w:t>
      </w:r>
      <w:r>
        <w:t xml:space="preserve"> información actualizada sobre la garantía de no repetición</w:t>
      </w:r>
      <w:r w:rsidR="00232A61">
        <w:t xml:space="preserve"> de adecuación normativa ordenada en el punto dispositivo cuarto de la </w:t>
      </w:r>
      <w:r w:rsidR="00CB6050">
        <w:t>Sentencia</w:t>
      </w:r>
      <w:r>
        <w:t xml:space="preserve">, </w:t>
      </w:r>
      <w:r w:rsidR="002359C1">
        <w:t xml:space="preserve">específicamente informara si había sido aprobado el proyecto de ley </w:t>
      </w:r>
      <w:r w:rsidR="00F722E8" w:rsidRPr="00F722E8">
        <w:t xml:space="preserve">para la tipificación del delito de venta de niños y niñas </w:t>
      </w:r>
      <w:r w:rsidR="002359C1" w:rsidRPr="00F722E8">
        <w:t>o</w:t>
      </w:r>
      <w:r w:rsidR="002359C1">
        <w:t xml:space="preserve"> el estado de su trámite.</w:t>
      </w:r>
    </w:p>
    <w:p w14:paraId="34238D7E" w14:textId="77777777" w:rsidR="00F722E8" w:rsidRDefault="00F722E8" w:rsidP="00AB5A00">
      <w:pPr>
        <w:pStyle w:val="Textoindependiente"/>
        <w:numPr>
          <w:ilvl w:val="0"/>
          <w:numId w:val="2"/>
        </w:numPr>
        <w:tabs>
          <w:tab w:val="left" w:pos="851"/>
        </w:tabs>
        <w:spacing w:before="120" w:after="120"/>
        <w:ind w:left="0" w:firstLine="21"/>
        <w:jc w:val="both"/>
      </w:pPr>
      <w:r>
        <w:t>La solicitud de prórroga presentada por Argentina para presentar el informe y la nota de Secretaría de 10 de mayo de 2023, mediante la cual, siguiendo instrucciones del Presidente, se concedió al Estado una prórroga hasta el 10 de junio de 2023.</w:t>
      </w:r>
    </w:p>
    <w:p w14:paraId="67C213D6" w14:textId="1D409D1A" w:rsidR="00F722E8" w:rsidRDefault="00F722E8" w:rsidP="00AB5A00">
      <w:pPr>
        <w:pStyle w:val="Textoindependiente"/>
        <w:numPr>
          <w:ilvl w:val="0"/>
          <w:numId w:val="2"/>
        </w:numPr>
        <w:tabs>
          <w:tab w:val="left" w:pos="851"/>
        </w:tabs>
        <w:spacing w:before="120" w:after="120"/>
        <w:ind w:left="0" w:firstLine="21"/>
        <w:jc w:val="both"/>
      </w:pPr>
      <w:r>
        <w:t xml:space="preserve">El </w:t>
      </w:r>
      <w:r w:rsidR="00274763">
        <w:t>escrito</w:t>
      </w:r>
      <w:r>
        <w:t xml:space="preserve"> presentado por el Estado el 12 de junio de 2023, mediante el cual indicó que </w:t>
      </w:r>
      <w:r w:rsidR="00274763">
        <w:t xml:space="preserve">el referido proyecto de ley no había sido aprobado aún y que, </w:t>
      </w:r>
      <w:r>
        <w:t>posteriormente</w:t>
      </w:r>
      <w:r w:rsidR="00274763">
        <w:t>,</w:t>
      </w:r>
      <w:r>
        <w:t xml:space="preserve"> remitiría la información sobre </w:t>
      </w:r>
      <w:r w:rsidR="00274763">
        <w:t>el estado de su trámite</w:t>
      </w:r>
      <w:r>
        <w:t xml:space="preserve">. </w:t>
      </w:r>
    </w:p>
    <w:p w14:paraId="5C316C97" w14:textId="77777777" w:rsidR="00274763" w:rsidRDefault="00F722E8" w:rsidP="00AB5A00">
      <w:pPr>
        <w:pStyle w:val="Textoindependiente"/>
        <w:numPr>
          <w:ilvl w:val="0"/>
          <w:numId w:val="2"/>
        </w:numPr>
        <w:tabs>
          <w:tab w:val="left" w:pos="851"/>
        </w:tabs>
        <w:spacing w:before="120" w:after="120"/>
        <w:ind w:left="0" w:firstLine="21"/>
        <w:jc w:val="both"/>
      </w:pPr>
      <w:r>
        <w:t>La nota de Secretaría de 19 de junio de 2023, mediante la cual, siguiendo instrucciones del Presidente</w:t>
      </w:r>
      <w:r w:rsidR="00274763">
        <w:t xml:space="preserve">, se solicitó al Estado que presentara dicha información pendiente, a más tardar el 14 de julio de 2023. </w:t>
      </w:r>
    </w:p>
    <w:p w14:paraId="3FF36241" w14:textId="68CEF3AD" w:rsidR="006E7B99" w:rsidRDefault="005B3384" w:rsidP="00AB5A00">
      <w:pPr>
        <w:pStyle w:val="Textoindependiente"/>
        <w:numPr>
          <w:ilvl w:val="0"/>
          <w:numId w:val="2"/>
        </w:numPr>
        <w:tabs>
          <w:tab w:val="left" w:pos="851"/>
        </w:tabs>
        <w:spacing w:before="120" w:after="120"/>
        <w:ind w:left="0" w:firstLine="21"/>
        <w:jc w:val="both"/>
      </w:pPr>
      <w:r>
        <w:t xml:space="preserve">Las </w:t>
      </w:r>
      <w:r w:rsidR="00232A61">
        <w:t>notas de la Secretaría de 19 de julio y 16 de agosto de 2023, mediante las cuales se concedió al Estado</w:t>
      </w:r>
      <w:r w:rsidR="0057625F">
        <w:t xml:space="preserve"> </w:t>
      </w:r>
      <w:r>
        <w:t>otras dos</w:t>
      </w:r>
      <w:r w:rsidR="006E7B99">
        <w:t xml:space="preserve"> </w:t>
      </w:r>
      <w:r w:rsidR="00232A61">
        <w:t xml:space="preserve">prórrogas </w:t>
      </w:r>
      <w:r w:rsidR="006E7B99">
        <w:t xml:space="preserve">que solicitó </w:t>
      </w:r>
      <w:r w:rsidR="00CB6050">
        <w:t>para la presentación de dicha información</w:t>
      </w:r>
      <w:r w:rsidR="006E7B99">
        <w:t>.</w:t>
      </w:r>
    </w:p>
    <w:p w14:paraId="0E47E9E3" w14:textId="0158E477" w:rsidR="00024860" w:rsidRPr="00DC5B21" w:rsidRDefault="002A1F23" w:rsidP="00AB5A00">
      <w:pPr>
        <w:pStyle w:val="Textoindependiente"/>
        <w:numPr>
          <w:ilvl w:val="0"/>
          <w:numId w:val="2"/>
        </w:numPr>
        <w:tabs>
          <w:tab w:val="left" w:pos="851"/>
        </w:tabs>
        <w:spacing w:before="120" w:after="120"/>
        <w:ind w:left="0" w:firstLine="21"/>
        <w:jc w:val="both"/>
      </w:pPr>
      <w:r>
        <w:t xml:space="preserve">El escrito presentado por Argentina el </w:t>
      </w:r>
      <w:r w:rsidR="005B3384">
        <w:t>22 de septiembre de 2023</w:t>
      </w:r>
      <w:r w:rsidR="00232A61">
        <w:t xml:space="preserve">, </w:t>
      </w:r>
      <w:r>
        <w:t xml:space="preserve">mediante el cual efectuó una solicitud de prórroga para informar sobre la referida reparación ordenada en el punto dispositivo cuarto de la Sentencia, </w:t>
      </w:r>
      <w:r w:rsidR="006507AC" w:rsidRPr="009E00FC">
        <w:t xml:space="preserve">y la nota de </w:t>
      </w:r>
      <w:r>
        <w:t xml:space="preserve">la </w:t>
      </w:r>
      <w:r w:rsidR="006507AC" w:rsidRPr="009E00FC">
        <w:t xml:space="preserve">Secretaría de 29 de septiembre de 2023, mediante la cual se comunicó al Estado que </w:t>
      </w:r>
      <w:r w:rsidR="00314E13">
        <w:t>esta</w:t>
      </w:r>
      <w:r w:rsidR="006507AC" w:rsidRPr="009E00FC">
        <w:t xml:space="preserve"> solicitud de prórroga </w:t>
      </w:r>
      <w:r w:rsidR="009E00FC" w:rsidRPr="009E00FC">
        <w:t>sería puesta en conocimiento de la Corte</w:t>
      </w:r>
      <w:r>
        <w:t>,</w:t>
      </w:r>
      <w:r w:rsidR="009E00FC" w:rsidRPr="009E00FC">
        <w:t xml:space="preserve"> para los efectos pertinentes. </w:t>
      </w:r>
    </w:p>
    <w:p w14:paraId="418DBB09" w14:textId="77777777" w:rsidR="00C01BE6" w:rsidRDefault="00C01BE6" w:rsidP="00AB5A00">
      <w:pPr>
        <w:pStyle w:val="Textoindependiente"/>
        <w:tabs>
          <w:tab w:val="left" w:pos="851"/>
        </w:tabs>
        <w:spacing w:before="120" w:after="120"/>
        <w:jc w:val="both"/>
        <w:rPr>
          <w:b/>
        </w:rPr>
      </w:pPr>
    </w:p>
    <w:p w14:paraId="27ECEFBD" w14:textId="26A5CBF2" w:rsidR="003006EA" w:rsidRPr="00AB5A00" w:rsidRDefault="003006EA" w:rsidP="00AB5A00">
      <w:pPr>
        <w:pStyle w:val="Textoindependiente"/>
        <w:tabs>
          <w:tab w:val="left" w:pos="851"/>
        </w:tabs>
        <w:spacing w:before="120" w:after="120"/>
        <w:jc w:val="both"/>
        <w:rPr>
          <w:b/>
        </w:rPr>
      </w:pPr>
      <w:r w:rsidRPr="00AB5A00">
        <w:rPr>
          <w:b/>
        </w:rPr>
        <w:t>CONSIDERANDO QUE:</w:t>
      </w:r>
    </w:p>
    <w:p w14:paraId="1AB3103D" w14:textId="72D5B7BF" w:rsidR="00431C31" w:rsidRDefault="001F19ED" w:rsidP="00A93E4F">
      <w:pPr>
        <w:pStyle w:val="Textoindependiente"/>
        <w:numPr>
          <w:ilvl w:val="0"/>
          <w:numId w:val="3"/>
        </w:numPr>
        <w:tabs>
          <w:tab w:val="left" w:pos="851"/>
        </w:tabs>
        <w:spacing w:before="120" w:after="120"/>
        <w:ind w:left="0" w:firstLine="0"/>
        <w:jc w:val="both"/>
      </w:pPr>
      <w:r w:rsidRPr="00AB5A00">
        <w:t>En el ejercicio de su función jurisdiccional de supervisar el cumplimiento de sus decisiones</w:t>
      </w:r>
      <w:r w:rsidRPr="00AB5A00">
        <w:rPr>
          <w:rStyle w:val="Refdenotaalpie"/>
        </w:rPr>
        <w:footnoteReference w:id="8"/>
      </w:r>
      <w:r w:rsidR="004900E3" w:rsidRPr="00AB5A00">
        <w:t xml:space="preserve">, la Corte ha venido supervisando la ejecución de la Sentencia emitida en el presente caso </w:t>
      </w:r>
      <w:r w:rsidR="00927185">
        <w:t>hace más de once años</w:t>
      </w:r>
      <w:r w:rsidR="004900E3" w:rsidRPr="00AB5A00">
        <w:t xml:space="preserve"> (</w:t>
      </w:r>
      <w:r w:rsidR="004900E3" w:rsidRPr="00AB5A00">
        <w:rPr>
          <w:i/>
        </w:rPr>
        <w:t xml:space="preserve">supra </w:t>
      </w:r>
      <w:r w:rsidR="004900E3" w:rsidRPr="00AB5A00">
        <w:t xml:space="preserve">Visto 1). En la Sentencia, el Tribunal dispuso </w:t>
      </w:r>
      <w:r w:rsidR="00A93E4F">
        <w:t>siete</w:t>
      </w:r>
      <w:r w:rsidR="00C0726A" w:rsidRPr="00AB5A00">
        <w:t xml:space="preserve"> medidas de reparación</w:t>
      </w:r>
      <w:r w:rsidR="00A93E4F">
        <w:t xml:space="preserve"> y el reintegro al Fondo de Asistencia. En esta etapa de supervisión</w:t>
      </w:r>
      <w:r w:rsidR="00927185">
        <w:t xml:space="preserve"> </w:t>
      </w:r>
      <w:r w:rsidR="00927185" w:rsidRPr="00AB5A00">
        <w:t>(</w:t>
      </w:r>
      <w:r w:rsidR="00927185">
        <w:rPr>
          <w:i/>
        </w:rPr>
        <w:t>supra</w:t>
      </w:r>
      <w:r w:rsidR="00927185" w:rsidRPr="00A93E4F">
        <w:rPr>
          <w:i/>
        </w:rPr>
        <w:t xml:space="preserve"> </w:t>
      </w:r>
      <w:r w:rsidR="00927185">
        <w:t>Vistos</w:t>
      </w:r>
      <w:r w:rsidR="00927185" w:rsidRPr="00AB5A00">
        <w:t xml:space="preserve"> </w:t>
      </w:r>
      <w:r w:rsidR="00927185">
        <w:t>2 y 3</w:t>
      </w:r>
      <w:r w:rsidR="00927185" w:rsidRPr="00AB5A00">
        <w:t>)</w:t>
      </w:r>
      <w:r w:rsidR="00BA1B30">
        <w:t>,</w:t>
      </w:r>
      <w:r w:rsidR="00A93E4F">
        <w:t xml:space="preserve"> la Corte ha declarado el cumplimiento</w:t>
      </w:r>
      <w:r w:rsidR="00927185">
        <w:t xml:space="preserve"> total</w:t>
      </w:r>
      <w:r w:rsidR="00A93E4F">
        <w:t xml:space="preserve"> de cinco medidas de reparación</w:t>
      </w:r>
      <w:r w:rsidR="00A93E4F">
        <w:rPr>
          <w:rStyle w:val="Refdenotaalpie"/>
        </w:rPr>
        <w:footnoteReference w:id="9"/>
      </w:r>
      <w:r w:rsidR="00A93E4F">
        <w:t xml:space="preserve"> y </w:t>
      </w:r>
      <w:r w:rsidR="00994F67">
        <w:t>d</w:t>
      </w:r>
      <w:r w:rsidR="00A93E4F">
        <w:t>el referido reintegro</w:t>
      </w:r>
      <w:r w:rsidR="00927185">
        <w:t xml:space="preserve">, y que se encuentran pendientes de </w:t>
      </w:r>
      <w:r w:rsidR="00927185">
        <w:lastRenderedPageBreak/>
        <w:t>cumplimiento dos reparaciones</w:t>
      </w:r>
      <w:r w:rsidR="00431C31">
        <w:t>, siendo una de ellas la garantía de no repetición de adecuación normativa relativa a tipificar la compra y venta de niños y niñas</w:t>
      </w:r>
      <w:r w:rsidR="00A93E4F">
        <w:t>.</w:t>
      </w:r>
      <w:r w:rsidR="00431C31">
        <w:t xml:space="preserve"> </w:t>
      </w:r>
    </w:p>
    <w:p w14:paraId="493938E2" w14:textId="289F8CB3" w:rsidR="00927185" w:rsidRPr="00AB5A00" w:rsidRDefault="00C96A2D" w:rsidP="00C51E07">
      <w:pPr>
        <w:pStyle w:val="Textoindependiente"/>
        <w:numPr>
          <w:ilvl w:val="0"/>
          <w:numId w:val="3"/>
        </w:numPr>
        <w:tabs>
          <w:tab w:val="left" w:pos="851"/>
        </w:tabs>
        <w:spacing w:before="120" w:after="120"/>
        <w:ind w:left="0" w:firstLine="0"/>
        <w:jc w:val="both"/>
      </w:pPr>
      <w:r>
        <w:t>El Presidente del Tribunal ha otorgado al Estado tres prórrogas y un plazo adicional para que informe de forma completa sobre el cumplimiento de dicha garantía de no repetición (</w:t>
      </w:r>
      <w:r w:rsidRPr="00C96A2D">
        <w:rPr>
          <w:i/>
          <w:iCs/>
        </w:rPr>
        <w:t>supra</w:t>
      </w:r>
      <w:r>
        <w:t xml:space="preserve"> Vistos 8 a 11). </w:t>
      </w:r>
      <w:r w:rsidR="00431C31">
        <w:t>En lo que respecta a la</w:t>
      </w:r>
      <w:r>
        <w:t xml:space="preserve"> cuarta </w:t>
      </w:r>
      <w:r w:rsidR="00431C31">
        <w:t xml:space="preserve">solicitud de prórroga efectuada por Argentina </w:t>
      </w:r>
      <w:r w:rsidR="00C51E07">
        <w:t>(</w:t>
      </w:r>
      <w:r w:rsidR="00C51E07" w:rsidRPr="00C51E07">
        <w:rPr>
          <w:i/>
          <w:iCs/>
        </w:rPr>
        <w:t>supra</w:t>
      </w:r>
      <w:r w:rsidR="00C51E07">
        <w:t xml:space="preserve"> Visto </w:t>
      </w:r>
      <w:r w:rsidR="000A6BFE">
        <w:t>12</w:t>
      </w:r>
      <w:r w:rsidR="00C51E07">
        <w:t>), l</w:t>
      </w:r>
      <w:r w:rsidR="00431C31">
        <w:t xml:space="preserve">a Corte considera imprescindible pronunciarse, mediante esta Resolución, sobre el cumplimiento de </w:t>
      </w:r>
      <w:r w:rsidR="00497A4D">
        <w:t xml:space="preserve">la </w:t>
      </w:r>
      <w:r w:rsidR="00431C31">
        <w:t>medida tomando en cuenta que han transcurrido once años desde la notificación de la Sentencia y que</w:t>
      </w:r>
      <w:r w:rsidR="00C51E07">
        <w:t>,</w:t>
      </w:r>
      <w:r w:rsidR="00431C31">
        <w:t xml:space="preserve"> desde hace más de un año</w:t>
      </w:r>
      <w:r w:rsidR="00C51E07">
        <w:t>,</w:t>
      </w:r>
      <w:r w:rsidR="00431C31">
        <w:t xml:space="preserve"> se encuentra en </w:t>
      </w:r>
      <w:r w:rsidR="00C51E07">
        <w:t>trámite</w:t>
      </w:r>
      <w:r w:rsidR="00431C31">
        <w:t xml:space="preserve"> ante el Congreso de la Nación un proyecto de ley que </w:t>
      </w:r>
      <w:r w:rsidR="00C51E07">
        <w:t>tiene ese fin. E</w:t>
      </w:r>
      <w:r w:rsidR="00BA1B30">
        <w:t>n una resolución posterior valorará la otra medida pendiente de cumplimiento</w:t>
      </w:r>
      <w:r w:rsidR="000A6BFE">
        <w:t>, sobre la cual el Estado ha presentado información</w:t>
      </w:r>
      <w:r w:rsidR="00BA1B30">
        <w:t xml:space="preserve"> (</w:t>
      </w:r>
      <w:r w:rsidR="00BA1B30" w:rsidRPr="00C51E07">
        <w:rPr>
          <w:i/>
          <w:iCs/>
        </w:rPr>
        <w:t xml:space="preserve">infra </w:t>
      </w:r>
      <w:r w:rsidR="00BA1B30">
        <w:t xml:space="preserve">punto resolutivo </w:t>
      </w:r>
      <w:r w:rsidR="000A6BFE">
        <w:t>3.a</w:t>
      </w:r>
      <w:r w:rsidR="00BA1B30">
        <w:t>).</w:t>
      </w:r>
    </w:p>
    <w:p w14:paraId="466EA6CA" w14:textId="3CA3E8F8" w:rsidR="00F912C8" w:rsidRPr="00AB5A00" w:rsidRDefault="00F912C8" w:rsidP="00AB5A00">
      <w:pPr>
        <w:pStyle w:val="Textoindependiente"/>
        <w:tabs>
          <w:tab w:val="left" w:pos="851"/>
        </w:tabs>
        <w:spacing w:before="120" w:after="120"/>
        <w:jc w:val="both"/>
      </w:pPr>
    </w:p>
    <w:p w14:paraId="474C83B7" w14:textId="24EFA1A5" w:rsidR="001E08B5" w:rsidRPr="00F235BD" w:rsidRDefault="00BA1B30" w:rsidP="00D430C1">
      <w:pPr>
        <w:pStyle w:val="Ttulo1"/>
        <w:numPr>
          <w:ilvl w:val="0"/>
          <w:numId w:val="8"/>
        </w:numPr>
        <w:spacing w:before="120" w:after="120"/>
        <w:ind w:left="567" w:firstLine="0"/>
        <w:jc w:val="both"/>
        <w:rPr>
          <w:i/>
        </w:rPr>
      </w:pPr>
      <w:bookmarkStart w:id="1" w:name="_Toc144285526"/>
      <w:r>
        <w:rPr>
          <w:i/>
        </w:rPr>
        <w:t>Medida ordenada por la Corte y supervisión realizada en resoluci</w:t>
      </w:r>
      <w:r w:rsidR="00927185">
        <w:rPr>
          <w:i/>
        </w:rPr>
        <w:t>o</w:t>
      </w:r>
      <w:r>
        <w:rPr>
          <w:i/>
        </w:rPr>
        <w:t>n</w:t>
      </w:r>
      <w:r w:rsidR="00927185">
        <w:rPr>
          <w:i/>
        </w:rPr>
        <w:t>es</w:t>
      </w:r>
      <w:r>
        <w:rPr>
          <w:i/>
        </w:rPr>
        <w:t xml:space="preserve"> anterior</w:t>
      </w:r>
      <w:bookmarkEnd w:id="1"/>
      <w:r w:rsidR="00927185">
        <w:rPr>
          <w:i/>
        </w:rPr>
        <w:t>es</w:t>
      </w:r>
    </w:p>
    <w:p w14:paraId="6341F642" w14:textId="3BC67229" w:rsidR="00B8303B" w:rsidRPr="00EA760F" w:rsidRDefault="00612B91" w:rsidP="00B8303B">
      <w:pPr>
        <w:pStyle w:val="Textoindependiente"/>
        <w:numPr>
          <w:ilvl w:val="0"/>
          <w:numId w:val="3"/>
        </w:numPr>
        <w:tabs>
          <w:tab w:val="left" w:pos="851"/>
        </w:tabs>
        <w:spacing w:before="120" w:after="120"/>
        <w:ind w:left="0" w:firstLine="0"/>
        <w:jc w:val="both"/>
        <w:rPr>
          <w:sz w:val="16"/>
          <w:szCs w:val="16"/>
        </w:rPr>
      </w:pPr>
      <w:bookmarkStart w:id="2" w:name="_Hlk142317693"/>
      <w:r>
        <w:t>En</w:t>
      </w:r>
      <w:r w:rsidR="00BA1B30" w:rsidRPr="00BA1B30">
        <w:t xml:space="preserve"> el punto dispositivo cuarto y los párrafos 176 y 177 de la Sentencia, se dispuso que “[e]l Estado </w:t>
      </w:r>
      <w:proofErr w:type="spellStart"/>
      <w:r w:rsidR="00BA1B30" w:rsidRPr="00BA1B30">
        <w:t>deb</w:t>
      </w:r>
      <w:proofErr w:type="spellEnd"/>
      <w:r w:rsidR="00BA1B30" w:rsidRPr="00BA1B30">
        <w:t>[</w:t>
      </w:r>
      <w:proofErr w:type="spellStart"/>
      <w:r w:rsidR="00BA1B30" w:rsidRPr="00BA1B30">
        <w:t>ía</w:t>
      </w:r>
      <w:proofErr w:type="spellEnd"/>
      <w:r w:rsidR="00BA1B30" w:rsidRPr="00BA1B30">
        <w:t>] adoptar las medidas que sean necesarias para tipificar la venta de niños y niñas, de manera que el acto de entregar un niño o niña a cambio de una retribución o cualquier otra compensación, cualquiera que sea su forma o fin, constituya una infracción penal, de conformidad con los estándares internacionales y lo establecido en los párrafos [129 a 144] de la […] Sentencia”.</w:t>
      </w:r>
      <w:r w:rsidR="00CA44BC">
        <w:t xml:space="preserve"> </w:t>
      </w:r>
      <w:r w:rsidR="00632BDF">
        <w:t>Asimismo,</w:t>
      </w:r>
      <w:r w:rsidR="004D364E" w:rsidRPr="00CA44BC">
        <w:t xml:space="preserve"> </w:t>
      </w:r>
      <w:r w:rsidR="00994F67">
        <w:t>estableció</w:t>
      </w:r>
      <w:r w:rsidR="004D364E" w:rsidRPr="00CA44BC">
        <w:t xml:space="preserve"> que</w:t>
      </w:r>
      <w:r w:rsidR="00DC5505" w:rsidRPr="00CA44BC">
        <w:t xml:space="preserve"> “[e]</w:t>
      </w:r>
      <w:proofErr w:type="spellStart"/>
      <w:r w:rsidR="00DC5505" w:rsidRPr="00CA44BC">
        <w:t>sta</w:t>
      </w:r>
      <w:proofErr w:type="spellEnd"/>
      <w:r w:rsidR="00DC5505" w:rsidRPr="00CA44BC">
        <w:t xml:space="preserve"> obligación vincula a todos los poderes y órganos estatales en su conjunto”</w:t>
      </w:r>
      <w:r w:rsidR="004D364E" w:rsidRPr="00E70C0E">
        <w:rPr>
          <w:rStyle w:val="Refdenotaalpie"/>
        </w:rPr>
        <w:footnoteReference w:id="10"/>
      </w:r>
      <w:r w:rsidR="004D364E" w:rsidRPr="00CA44BC">
        <w:t>.</w:t>
      </w:r>
      <w:bookmarkEnd w:id="2"/>
      <w:r w:rsidR="00497A4D">
        <w:t xml:space="preserve"> </w:t>
      </w:r>
    </w:p>
    <w:p w14:paraId="77679CD5" w14:textId="599F8C85" w:rsidR="00DC5505" w:rsidRPr="00B8303B" w:rsidRDefault="00B8303B" w:rsidP="00B8303B">
      <w:pPr>
        <w:pStyle w:val="Textoindependiente"/>
        <w:numPr>
          <w:ilvl w:val="0"/>
          <w:numId w:val="3"/>
        </w:numPr>
        <w:tabs>
          <w:tab w:val="left" w:pos="851"/>
        </w:tabs>
        <w:spacing w:before="120" w:after="120"/>
        <w:ind w:left="0" w:firstLine="0"/>
        <w:jc w:val="both"/>
      </w:pPr>
      <w:r w:rsidRPr="00B8303B">
        <w:t xml:space="preserve">En las Resoluciones emitidas en noviembre de 2018 y octubre de 2019, la Corte declaró que la referida medida </w:t>
      </w:r>
      <w:r w:rsidR="00A147E5">
        <w:t>continuaba</w:t>
      </w:r>
      <w:r w:rsidRPr="00B8303B">
        <w:t xml:space="preserve"> pendiente de cumplimiento. Concretamente, e</w:t>
      </w:r>
      <w:r w:rsidR="00C82569" w:rsidRPr="00B8303B">
        <w:t>n la</w:t>
      </w:r>
      <w:r w:rsidRPr="00B8303B">
        <w:t xml:space="preserve"> </w:t>
      </w:r>
      <w:r w:rsidR="00F34C34">
        <w:t>R</w:t>
      </w:r>
      <w:r w:rsidRPr="00B8303B">
        <w:t xml:space="preserve">esolución </w:t>
      </w:r>
      <w:r w:rsidR="00DC5505" w:rsidRPr="00B8303B">
        <w:t>de 2018</w:t>
      </w:r>
      <w:r w:rsidR="00DC5505" w:rsidRPr="00B8303B">
        <w:rPr>
          <w:rStyle w:val="Refdenotaalpie"/>
        </w:rPr>
        <w:footnoteReference w:id="11"/>
      </w:r>
      <w:r w:rsidR="00DC5505" w:rsidRPr="00B8303B">
        <w:t xml:space="preserve">, </w:t>
      </w:r>
      <w:r w:rsidRPr="00B8303B">
        <w:t>constató que</w:t>
      </w:r>
      <w:r w:rsidR="00A147E5">
        <w:t>,</w:t>
      </w:r>
      <w:r w:rsidRPr="00B8303B">
        <w:t xml:space="preserve"> si bien se habían presentado proyectos de ley, para ese momento no existía avance alguno en el trámite legislativo para la aprobación de una tipificación del delito de la venta de niños y niñas en Argentina. </w:t>
      </w:r>
      <w:r w:rsidR="00C82569" w:rsidRPr="00B8303B">
        <w:t>En la Resolución</w:t>
      </w:r>
      <w:r w:rsidRPr="00B8303B">
        <w:t xml:space="preserve"> </w:t>
      </w:r>
      <w:r w:rsidR="00DC5505" w:rsidRPr="00B8303B">
        <w:t>de 2019</w:t>
      </w:r>
      <w:r w:rsidR="00160AC6" w:rsidRPr="00B8303B">
        <w:rPr>
          <w:rStyle w:val="Refdenotaalpie"/>
        </w:rPr>
        <w:footnoteReference w:id="12"/>
      </w:r>
      <w:r w:rsidR="00DC5505" w:rsidRPr="00B8303B">
        <w:t xml:space="preserve">, la Corte requirió información al Estado sobre el estado </w:t>
      </w:r>
      <w:r w:rsidR="00994F67" w:rsidRPr="00B8303B">
        <w:t>d</w:t>
      </w:r>
      <w:r w:rsidR="00DC5505" w:rsidRPr="00B8303B">
        <w:t>el trámite legislativo de</w:t>
      </w:r>
      <w:r w:rsidRPr="00B8303B">
        <w:t xml:space="preserve"> un</w:t>
      </w:r>
      <w:r w:rsidR="00DC5505" w:rsidRPr="00B8303B">
        <w:t xml:space="preserve"> ante proyecto de reforma al Código Penal </w:t>
      </w:r>
      <w:r w:rsidR="00A12922" w:rsidRPr="00B8303B">
        <w:t xml:space="preserve">enviado por el Presidente de la Nación al Congreso de la Nación </w:t>
      </w:r>
      <w:r w:rsidRPr="00B8303B">
        <w:t>en</w:t>
      </w:r>
      <w:r w:rsidR="00A12922" w:rsidRPr="00B8303B">
        <w:t xml:space="preserve"> marzo de 2019</w:t>
      </w:r>
      <w:r w:rsidR="00994F67" w:rsidRPr="00B8303B">
        <w:t>, así como una explicación de</w:t>
      </w:r>
      <w:r w:rsidR="00DC5505" w:rsidRPr="00B8303B">
        <w:t xml:space="preserve"> cómo las reformas propuestas a los artículos 138 y 139 bis vigentes cumpl</w:t>
      </w:r>
      <w:r w:rsidR="00994F67" w:rsidRPr="00B8303B">
        <w:t>ía</w:t>
      </w:r>
      <w:r w:rsidR="00DC5505" w:rsidRPr="00B8303B">
        <w:t>n con los estándares internacionales en materia de tipificación de la venta de niñas y niños.</w:t>
      </w:r>
    </w:p>
    <w:p w14:paraId="2E8FC1E1" w14:textId="77777777" w:rsidR="00C82569" w:rsidRPr="00CA44BC" w:rsidRDefault="00C82569" w:rsidP="00C82569">
      <w:pPr>
        <w:pStyle w:val="Prrafodelista"/>
        <w:widowControl/>
        <w:autoSpaceDE/>
        <w:autoSpaceDN/>
        <w:spacing w:before="120" w:after="120"/>
        <w:ind w:left="0"/>
        <w:contextualSpacing w:val="0"/>
        <w:jc w:val="both"/>
        <w:rPr>
          <w:sz w:val="20"/>
          <w:szCs w:val="20"/>
        </w:rPr>
      </w:pPr>
    </w:p>
    <w:p w14:paraId="6AC1A1A7" w14:textId="06230FF4" w:rsidR="009F1E59" w:rsidRPr="00AB5A00" w:rsidRDefault="00AA561D" w:rsidP="00AB5A00">
      <w:pPr>
        <w:pStyle w:val="Ttulo1"/>
        <w:numPr>
          <w:ilvl w:val="0"/>
          <w:numId w:val="8"/>
        </w:numPr>
        <w:spacing w:before="120" w:after="120"/>
        <w:ind w:left="567" w:firstLine="0"/>
        <w:rPr>
          <w:i/>
        </w:rPr>
      </w:pPr>
      <w:bookmarkStart w:id="3" w:name="_Toc144285527"/>
      <w:r>
        <w:rPr>
          <w:i/>
        </w:rPr>
        <w:t>Consideraciones de la Corte</w:t>
      </w:r>
      <w:bookmarkEnd w:id="3"/>
    </w:p>
    <w:p w14:paraId="15C18994" w14:textId="34BC3AF6" w:rsidR="00005CFD" w:rsidRDefault="00005CFD" w:rsidP="007862B5">
      <w:pPr>
        <w:pStyle w:val="Textoindependiente"/>
        <w:numPr>
          <w:ilvl w:val="0"/>
          <w:numId w:val="3"/>
        </w:numPr>
        <w:tabs>
          <w:tab w:val="left" w:pos="851"/>
        </w:tabs>
        <w:spacing w:before="120" w:after="120"/>
        <w:ind w:left="0" w:firstLine="0"/>
        <w:jc w:val="both"/>
      </w:pPr>
      <w:r>
        <w:t xml:space="preserve">En la Sentencia, este Tribunal </w:t>
      </w:r>
      <w:r w:rsidR="007862B5">
        <w:t>constató un incumplimiento estatal de la obligación de adoptar disposiciones de derecho interno, prevista en el artículo 2 de la Convención Americana, debido a que al momento de los hechos la “venta” de un niño o ni</w:t>
      </w:r>
      <w:r>
        <w:t xml:space="preserve">ña no estaba impedida o prohibida penalmente en Argentina, sino que se sancionaban otros supuestos de hecho, tales como el ocultamiento o supresión de la filiación. El Tribunal valoró que ello no satisface los </w:t>
      </w:r>
      <w:r w:rsidRPr="00005CFD">
        <w:rPr>
          <w:rFonts w:cs="Arial"/>
          <w:bCs/>
          <w:shd w:val="clear" w:color="auto" w:fill="FFFFFF"/>
        </w:rPr>
        <w:t xml:space="preserve">estándares internacionales ni las obligaciones que había asumido Argentina al suscribir en 1990 la Convención sobre los Derechos del Niño y en 2003 </w:t>
      </w:r>
      <w:r>
        <w:t xml:space="preserve">el Protocolo Facultativo de la Convención sobre los Derechos del Niño relativo a la Venta de Niños, la </w:t>
      </w:r>
      <w:r w:rsidRPr="00005CFD">
        <w:rPr>
          <w:rFonts w:cs="Arial"/>
          <w:bCs/>
          <w:shd w:val="clear" w:color="auto" w:fill="FFFFFF"/>
        </w:rPr>
        <w:t xml:space="preserve">Prostitución Infantil y la Utilización de Niños en la </w:t>
      </w:r>
      <w:r w:rsidRPr="00005CFD">
        <w:rPr>
          <w:rFonts w:cs="Arial"/>
          <w:bCs/>
          <w:shd w:val="clear" w:color="auto" w:fill="FFFFFF"/>
        </w:rPr>
        <w:lastRenderedPageBreak/>
        <w:t>Pornografía, entre las cuales se encuentra, la obligación de adoptar todas las medidas para impedir la venta de niños y niñas, cualquiera que sea su forma o fin</w:t>
      </w:r>
      <w:r>
        <w:rPr>
          <w:rStyle w:val="Refdenotaalpie"/>
          <w:rFonts w:cs="Arial"/>
          <w:bCs/>
          <w:shd w:val="clear" w:color="auto" w:fill="FFFFFF"/>
        </w:rPr>
        <w:footnoteReference w:id="13"/>
      </w:r>
      <w:r w:rsidRPr="00005CFD">
        <w:rPr>
          <w:rFonts w:cs="Arial"/>
          <w:bCs/>
          <w:shd w:val="clear" w:color="auto" w:fill="FFFFFF"/>
        </w:rPr>
        <w:t>.</w:t>
      </w:r>
      <w:r>
        <w:rPr>
          <w:rFonts w:cs="Arial"/>
          <w:bCs/>
          <w:shd w:val="clear" w:color="auto" w:fill="FFFFFF"/>
        </w:rPr>
        <w:t xml:space="preserve"> En consecuencia, se ordenó a Argentina, como garantía de no repetición, la adecuación de su derecho interno, de manera tal que tipificara penalmente dicha conducta.</w:t>
      </w:r>
    </w:p>
    <w:p w14:paraId="4F09E305" w14:textId="015C40B4" w:rsidR="00020DD9" w:rsidRDefault="00005CFD" w:rsidP="00020DD9">
      <w:pPr>
        <w:pStyle w:val="Textoindependiente"/>
        <w:numPr>
          <w:ilvl w:val="0"/>
          <w:numId w:val="3"/>
        </w:numPr>
        <w:tabs>
          <w:tab w:val="left" w:pos="851"/>
        </w:tabs>
        <w:spacing w:before="120" w:after="120"/>
        <w:ind w:left="0" w:firstLine="0"/>
        <w:jc w:val="both"/>
      </w:pPr>
      <w:r w:rsidRPr="0029049F">
        <w:t xml:space="preserve">La Corte advierte con preocupación que han transcurrido más de once años desde la notificación de la Sentencia sin que </w:t>
      </w:r>
      <w:r w:rsidR="00020DD9" w:rsidRPr="0029049F">
        <w:t>Argentina</w:t>
      </w:r>
      <w:r w:rsidRPr="0029049F">
        <w:t xml:space="preserve"> haya dado cumplimiento </w:t>
      </w:r>
      <w:r w:rsidR="00020DD9" w:rsidRPr="0029049F">
        <w:t>a las obligaciones internacionales que se desprenden de la suscripción de los referidos tratados</w:t>
      </w:r>
      <w:r w:rsidR="00C26CA6" w:rsidRPr="0029049F">
        <w:t xml:space="preserve"> </w:t>
      </w:r>
      <w:r w:rsidR="00A147E5" w:rsidRPr="0029049F">
        <w:t>ni</w:t>
      </w:r>
      <w:r w:rsidR="00020DD9" w:rsidRPr="0029049F">
        <w:t xml:space="preserve"> </w:t>
      </w:r>
      <w:r w:rsidR="00A147E5" w:rsidRPr="0029049F">
        <w:t>la reparación ordenada en</w:t>
      </w:r>
      <w:r w:rsidR="00020DD9" w:rsidRPr="0029049F">
        <w:t xml:space="preserve"> la Sentencia de este Tribunal. </w:t>
      </w:r>
      <w:r w:rsidR="00E45B2D" w:rsidRPr="0029049F">
        <w:t>Si bien el Estado ha informado, d</w:t>
      </w:r>
      <w:r w:rsidR="007862B5" w:rsidRPr="0029049F">
        <w:t>urante la etapa de supervisión de cumplimiento</w:t>
      </w:r>
      <w:r w:rsidR="00E45B2D" w:rsidRPr="0029049F">
        <w:t xml:space="preserve"> de este caso</w:t>
      </w:r>
      <w:r w:rsidR="007862B5" w:rsidRPr="0029049F">
        <w:t>,</w:t>
      </w:r>
      <w:r w:rsidR="00FD0012" w:rsidRPr="0029049F">
        <w:t xml:space="preserve"> sobre la presentación de distintos proyectos de ley</w:t>
      </w:r>
      <w:r w:rsidR="007862B5" w:rsidRPr="0029049F">
        <w:t xml:space="preserve"> (</w:t>
      </w:r>
      <w:r w:rsidR="007862B5" w:rsidRPr="0029049F">
        <w:rPr>
          <w:i/>
          <w:iCs/>
        </w:rPr>
        <w:t>supra</w:t>
      </w:r>
      <w:r w:rsidR="007862B5" w:rsidRPr="0029049F">
        <w:t xml:space="preserve"> Considerando </w:t>
      </w:r>
      <w:r w:rsidR="0029049F" w:rsidRPr="0029049F">
        <w:t>4</w:t>
      </w:r>
      <w:r w:rsidR="007862B5" w:rsidRPr="0029049F">
        <w:t xml:space="preserve"> e </w:t>
      </w:r>
      <w:r w:rsidR="007862B5" w:rsidRPr="0029049F">
        <w:rPr>
          <w:i/>
          <w:iCs/>
        </w:rPr>
        <w:t>infra</w:t>
      </w:r>
      <w:r w:rsidR="007862B5" w:rsidRPr="0029049F">
        <w:t xml:space="preserve"> Considerando </w:t>
      </w:r>
      <w:r w:rsidR="0029049F" w:rsidRPr="0029049F">
        <w:t>7</w:t>
      </w:r>
      <w:r w:rsidR="007862B5" w:rsidRPr="0029049F">
        <w:t>)</w:t>
      </w:r>
      <w:r w:rsidR="00A147E5" w:rsidRPr="0029049F">
        <w:t>,</w:t>
      </w:r>
      <w:r w:rsidR="007862B5" w:rsidRPr="0029049F">
        <w:t xml:space="preserve"> </w:t>
      </w:r>
      <w:r w:rsidR="00FD0012" w:rsidRPr="0029049F">
        <w:t>hasta la fecha</w:t>
      </w:r>
      <w:r w:rsidR="007862B5" w:rsidRPr="0029049F">
        <w:t>,</w:t>
      </w:r>
      <w:r w:rsidR="00FD0012" w:rsidRPr="0029049F">
        <w:t xml:space="preserve"> ninguno </w:t>
      </w:r>
      <w:r w:rsidR="00020DD9" w:rsidRPr="0029049F">
        <w:t>ha sido aprobado por el órgano legislativo</w:t>
      </w:r>
      <w:r w:rsidR="00A147E5" w:rsidRPr="0029049F">
        <w:t>.</w:t>
      </w:r>
      <w:r w:rsidR="00020DD9" w:rsidRPr="0029049F">
        <w:t xml:space="preserve"> </w:t>
      </w:r>
      <w:r w:rsidR="00A147E5" w:rsidRPr="0029049F">
        <w:t xml:space="preserve">Por consiguiente, </w:t>
      </w:r>
      <w:r w:rsidR="00020DD9" w:rsidRPr="0029049F">
        <w:t xml:space="preserve"> el acto de entregar </w:t>
      </w:r>
      <w:r w:rsidR="00A147E5" w:rsidRPr="0029049F">
        <w:t xml:space="preserve">o recibir </w:t>
      </w:r>
      <w:r w:rsidR="00020DD9" w:rsidRPr="0029049F">
        <w:t xml:space="preserve">un niño o niña </w:t>
      </w:r>
      <w:r w:rsidR="00A147E5" w:rsidRPr="0029049F">
        <w:t>mediando</w:t>
      </w:r>
      <w:r w:rsidR="00020DD9" w:rsidRPr="0029049F">
        <w:t xml:space="preserve"> una retribución o compensación económica continúa</w:t>
      </w:r>
      <w:r w:rsidR="00020DD9">
        <w:t xml:space="preserve"> sin estar previsto como una infracción penal en el derecho interno argentino.</w:t>
      </w:r>
    </w:p>
    <w:p w14:paraId="6E3CA5A2" w14:textId="08C3D7FA" w:rsidR="00097AAD" w:rsidRPr="008756DA" w:rsidRDefault="00FD0012" w:rsidP="00097AAD">
      <w:pPr>
        <w:pStyle w:val="Textoindependiente"/>
        <w:numPr>
          <w:ilvl w:val="0"/>
          <w:numId w:val="3"/>
        </w:numPr>
        <w:tabs>
          <w:tab w:val="left" w:pos="851"/>
        </w:tabs>
        <w:spacing w:before="120" w:after="120"/>
        <w:ind w:left="0" w:firstLine="0"/>
        <w:jc w:val="both"/>
      </w:pPr>
      <w:r w:rsidRPr="008756DA">
        <w:t xml:space="preserve">De acuerdo con </w:t>
      </w:r>
      <w:r w:rsidR="00A147E5" w:rsidRPr="008756DA">
        <w:t xml:space="preserve">el informe </w:t>
      </w:r>
      <w:r w:rsidRPr="008756DA">
        <w:t>más reciente</w:t>
      </w:r>
      <w:r w:rsidR="00A147E5" w:rsidRPr="008756DA">
        <w:t xml:space="preserve"> </w:t>
      </w:r>
      <w:r w:rsidR="0029049F" w:rsidRPr="008756DA">
        <w:t xml:space="preserve">de </w:t>
      </w:r>
      <w:r w:rsidR="00A147E5" w:rsidRPr="008756DA">
        <w:t>Argentina</w:t>
      </w:r>
      <w:r w:rsidR="00097AAD" w:rsidRPr="008756DA">
        <w:rPr>
          <w:rStyle w:val="Refdenotaalpie"/>
        </w:rPr>
        <w:footnoteReference w:id="14"/>
      </w:r>
      <w:r w:rsidRPr="008756DA">
        <w:t xml:space="preserve">, </w:t>
      </w:r>
      <w:r w:rsidR="0029049F" w:rsidRPr="008756DA">
        <w:t xml:space="preserve">presentado </w:t>
      </w:r>
      <w:r w:rsidR="00957075" w:rsidRPr="008756DA">
        <w:t xml:space="preserve">el </w:t>
      </w:r>
      <w:r w:rsidR="008756DA" w:rsidRPr="008756DA">
        <w:t>30</w:t>
      </w:r>
      <w:r w:rsidR="00957075" w:rsidRPr="008756DA">
        <w:t xml:space="preserve"> de agosto de 2022, </w:t>
      </w:r>
      <w:r w:rsidR="00097AAD" w:rsidRPr="008756DA">
        <w:t>el Poder Ejecutivo</w:t>
      </w:r>
      <w:r w:rsidR="00497A4D" w:rsidRPr="008756DA">
        <w:t xml:space="preserve"> </w:t>
      </w:r>
      <w:r w:rsidR="00097AAD" w:rsidRPr="008756DA">
        <w:t xml:space="preserve">presentó al </w:t>
      </w:r>
      <w:r w:rsidR="001B7FC7" w:rsidRPr="008756DA">
        <w:t xml:space="preserve">Senado de la Nación </w:t>
      </w:r>
      <w:r w:rsidR="00097AAD" w:rsidRPr="008756DA">
        <w:t xml:space="preserve">Argentina </w:t>
      </w:r>
      <w:r w:rsidR="001B7FC7" w:rsidRPr="008756DA">
        <w:t xml:space="preserve">un </w:t>
      </w:r>
      <w:r w:rsidR="00612B91" w:rsidRPr="008756DA">
        <w:t xml:space="preserve">nuevo </w:t>
      </w:r>
      <w:r w:rsidR="001B7FC7" w:rsidRPr="008756DA">
        <w:t xml:space="preserve">proyecto de ley </w:t>
      </w:r>
      <w:r w:rsidR="00D549AE" w:rsidRPr="00C44071">
        <w:t>(Expediente Legislativo No. 106/22)</w:t>
      </w:r>
      <w:r w:rsidR="00D549AE">
        <w:t xml:space="preserve"> </w:t>
      </w:r>
      <w:r w:rsidR="001B7FC7" w:rsidRPr="008756DA">
        <w:t xml:space="preserve">con el fin de dar cumplimiento a la garantía de no repetición </w:t>
      </w:r>
      <w:r w:rsidR="00097AAD" w:rsidRPr="008756DA">
        <w:t xml:space="preserve">de adecuación normativa </w:t>
      </w:r>
      <w:r w:rsidR="001B7FC7" w:rsidRPr="008756DA">
        <w:t>ordenada en este caso</w:t>
      </w:r>
      <w:r w:rsidR="00097AAD" w:rsidRPr="008756DA">
        <w:t>. Este proyecto de ley propone</w:t>
      </w:r>
      <w:r w:rsidR="006A160C" w:rsidRPr="008756DA">
        <w:t xml:space="preserve"> modificaciones al Código Penal, entre ellas, la </w:t>
      </w:r>
      <w:r w:rsidR="00182BC3" w:rsidRPr="008756DA">
        <w:t xml:space="preserve">inclusión de la </w:t>
      </w:r>
      <w:r w:rsidR="006A160C" w:rsidRPr="008756DA">
        <w:t xml:space="preserve">tipificación de la </w:t>
      </w:r>
      <w:r w:rsidR="00C44071" w:rsidRPr="008756DA">
        <w:t xml:space="preserve">compra y </w:t>
      </w:r>
      <w:r w:rsidR="006A160C" w:rsidRPr="008756DA">
        <w:t>venta de niños y niñas</w:t>
      </w:r>
      <w:r w:rsidR="00182BC3" w:rsidRPr="008756DA">
        <w:t>,</w:t>
      </w:r>
      <w:r w:rsidR="006A160C" w:rsidRPr="008756DA">
        <w:t xml:space="preserve"> en los siguientes términos:</w:t>
      </w:r>
    </w:p>
    <w:p w14:paraId="2C120BD5" w14:textId="5C4136C2" w:rsidR="006A160C" w:rsidRPr="006A160C" w:rsidRDefault="006A160C" w:rsidP="006A160C">
      <w:pPr>
        <w:pStyle w:val="Textoindependiente"/>
        <w:tabs>
          <w:tab w:val="left" w:pos="851"/>
        </w:tabs>
        <w:spacing w:before="120" w:after="120"/>
        <w:ind w:left="567" w:right="476"/>
        <w:jc w:val="both"/>
        <w:rPr>
          <w:sz w:val="16"/>
          <w:szCs w:val="16"/>
        </w:rPr>
      </w:pPr>
      <w:r w:rsidRPr="006A160C">
        <w:rPr>
          <w:sz w:val="16"/>
          <w:szCs w:val="16"/>
        </w:rPr>
        <w:t>A</w:t>
      </w:r>
      <w:r>
        <w:rPr>
          <w:sz w:val="16"/>
          <w:szCs w:val="16"/>
        </w:rPr>
        <w:t>RTÍCULO</w:t>
      </w:r>
      <w:r w:rsidRPr="006A160C">
        <w:rPr>
          <w:sz w:val="16"/>
          <w:szCs w:val="16"/>
        </w:rPr>
        <w:t xml:space="preserve"> 139 ter.- Será reprimido con prisión de CINCO (5) a QUINCE (15) años el que entregare o recibiere a una persona menor de edad cuando haya mediado en la transferencia precio, promesa remuneratoria o cualquier otro tipo de retribución.</w:t>
      </w:r>
    </w:p>
    <w:p w14:paraId="6239E8E7" w14:textId="77777777" w:rsidR="006A160C" w:rsidRPr="006A160C" w:rsidRDefault="006A160C" w:rsidP="006A160C">
      <w:pPr>
        <w:pStyle w:val="Textoindependiente"/>
        <w:tabs>
          <w:tab w:val="left" w:pos="851"/>
        </w:tabs>
        <w:spacing w:before="120" w:after="120"/>
        <w:ind w:left="567" w:right="476"/>
        <w:jc w:val="both"/>
        <w:rPr>
          <w:sz w:val="16"/>
          <w:szCs w:val="16"/>
        </w:rPr>
      </w:pPr>
      <w:r w:rsidRPr="006A160C">
        <w:rPr>
          <w:sz w:val="16"/>
          <w:szCs w:val="16"/>
        </w:rPr>
        <w:t xml:space="preserve">Incurrirán en la misma pena quienes ilegítimamente facilitaren, promovieren, o de cualquier modo intermediaren en las conductas previstas en el párrafo anterior aun cuando no haya mediado precio, promesa remuneratoria o cualquier otro tipo de retribución. </w:t>
      </w:r>
    </w:p>
    <w:p w14:paraId="7E64849B" w14:textId="77777777" w:rsidR="006A160C" w:rsidRDefault="006A160C" w:rsidP="006A160C">
      <w:pPr>
        <w:widowControl/>
        <w:adjustRightInd w:val="0"/>
        <w:spacing w:before="120" w:after="120"/>
        <w:ind w:left="567" w:right="476"/>
        <w:jc w:val="both"/>
        <w:rPr>
          <w:rFonts w:cs="Times New Roman"/>
        </w:rPr>
      </w:pPr>
      <w:r w:rsidRPr="006A160C">
        <w:rPr>
          <w:rFonts w:cs="Times New Roman"/>
        </w:rPr>
        <w:t>Sufrirán además inhabilitación especial por el doble del tiempo de la condena el funcionario o empleado público, profesional o personal de la salud, abogado, encargado de la educación o de la guarda de la persona menor de edad, o miembro de organizaciones especializadas en adopción que, en el ejercicio de su actividad, cometiere o participare de cualquier modo en alguna de las conductas descriptas en este artículo.</w:t>
      </w:r>
    </w:p>
    <w:p w14:paraId="7CF93446" w14:textId="5D28B996" w:rsidR="006A160C" w:rsidRPr="006A160C" w:rsidRDefault="006A160C" w:rsidP="006A160C">
      <w:pPr>
        <w:widowControl/>
        <w:adjustRightInd w:val="0"/>
        <w:spacing w:before="120" w:after="120"/>
        <w:ind w:left="567" w:right="476"/>
        <w:jc w:val="both"/>
        <w:rPr>
          <w:rFonts w:cs="Times New Roman"/>
        </w:rPr>
      </w:pPr>
      <w:r w:rsidRPr="006A160C">
        <w:rPr>
          <w:rFonts w:cs="Times New Roman"/>
        </w:rPr>
        <w:t>La escala penal prevista podrá reducirse en UN TERCIO (1/3) del máximo y en la mitad del mínimo si antes de la iniciación del proceso o durante su sustanciación la persona imputada proporcionare información útil que permita conocer la identidad del que hubiere recibido a una persona menor de edad, intermediado, promovido o facilitado la comisión de este delito, o que permita dar con el parentesco correspondiente a la persona menor de edad.</w:t>
      </w:r>
    </w:p>
    <w:p w14:paraId="3ABC14D0" w14:textId="1394D2C3" w:rsidR="006A160C" w:rsidRDefault="006A160C" w:rsidP="006A160C">
      <w:pPr>
        <w:widowControl/>
        <w:adjustRightInd w:val="0"/>
        <w:spacing w:before="120" w:after="120"/>
        <w:ind w:left="567" w:right="476"/>
        <w:jc w:val="both"/>
        <w:rPr>
          <w:b/>
          <w:bCs/>
        </w:rPr>
      </w:pPr>
      <w:r w:rsidRPr="00B348AB">
        <w:rPr>
          <w:rFonts w:cs="Times New Roman"/>
        </w:rPr>
        <w:t>Quedarán exentos de pena los progenitores que proporcionen material biológico u otra información útil para el esclarecimiento de la identidad de la víctima.</w:t>
      </w:r>
    </w:p>
    <w:p w14:paraId="275CA58F" w14:textId="77777777" w:rsidR="008756DA" w:rsidRPr="00B348AB" w:rsidRDefault="008756DA" w:rsidP="006A160C">
      <w:pPr>
        <w:widowControl/>
        <w:adjustRightInd w:val="0"/>
        <w:spacing w:before="120" w:after="120"/>
        <w:ind w:left="567" w:right="476"/>
        <w:jc w:val="both"/>
        <w:rPr>
          <w:rFonts w:cs="Times New Roman"/>
        </w:rPr>
      </w:pPr>
    </w:p>
    <w:p w14:paraId="0D210714" w14:textId="636DCEBF" w:rsidR="00A203D3" w:rsidRPr="00E75D56" w:rsidRDefault="00B348AB" w:rsidP="00A203D3">
      <w:pPr>
        <w:pStyle w:val="Textoindependiente"/>
        <w:numPr>
          <w:ilvl w:val="0"/>
          <w:numId w:val="3"/>
        </w:numPr>
        <w:tabs>
          <w:tab w:val="left" w:pos="851"/>
        </w:tabs>
        <w:spacing w:before="120" w:after="120"/>
        <w:ind w:left="0" w:firstLine="0"/>
        <w:jc w:val="both"/>
      </w:pPr>
      <w:r>
        <w:t>La Corte valora positivamente</w:t>
      </w:r>
      <w:r w:rsidR="006A160C" w:rsidRPr="00B348AB">
        <w:t xml:space="preserve"> </w:t>
      </w:r>
      <w:r w:rsidR="00A147E5">
        <w:t xml:space="preserve">la actuación del Poder Ejecutivo </w:t>
      </w:r>
      <w:r w:rsidR="001A73FA">
        <w:t>de presentar</w:t>
      </w:r>
      <w:r w:rsidR="00A147E5">
        <w:t xml:space="preserve"> al órgano legislativo un proyecto de ley </w:t>
      </w:r>
      <w:r w:rsidR="001A73FA">
        <w:t>que, según coinciden las partes</w:t>
      </w:r>
      <w:r w:rsidR="00957075" w:rsidRPr="00B348AB">
        <w:rPr>
          <w:rStyle w:val="Refdenotaalpie"/>
        </w:rPr>
        <w:footnoteReference w:id="15"/>
      </w:r>
      <w:r w:rsidR="00C2047C" w:rsidRPr="00B348AB">
        <w:t xml:space="preserve">, </w:t>
      </w:r>
      <w:r w:rsidR="00C1722E" w:rsidRPr="00B348AB">
        <w:t xml:space="preserve">fue producto de una “Mesa de Trabajo” </w:t>
      </w:r>
      <w:r w:rsidRPr="00B348AB">
        <w:t xml:space="preserve">impulsada </w:t>
      </w:r>
      <w:r w:rsidR="00C1722E" w:rsidRPr="00B348AB">
        <w:t>por la Secretaría de Derechos Humanos de la Nación</w:t>
      </w:r>
      <w:r w:rsidRPr="00B348AB">
        <w:t xml:space="preserve"> y el Observatorio de Derechos Humanos del Senado de la Nación con el “objetivo […] de generar un espacio participativo donde reunir posturas  […] sobre los aspectos que debería contemplar un proyecto de ley que tipificara la compra venta de niños y niñas, de conformidad con los estándares internacionales”</w:t>
      </w:r>
      <w:r w:rsidR="001A73FA">
        <w:t xml:space="preserve">. Dicha “Mesa de Trabajo” contó con la participación de </w:t>
      </w:r>
      <w:r w:rsidR="00957075" w:rsidRPr="00B348AB">
        <w:t>las representantes de del señor Fornerón</w:t>
      </w:r>
      <w:r>
        <w:rPr>
          <w:rStyle w:val="Refdenotaalpie"/>
        </w:rPr>
        <w:footnoteReference w:id="16"/>
      </w:r>
      <w:r w:rsidR="00957075" w:rsidRPr="00B348AB">
        <w:t xml:space="preserve">, autoridades de </w:t>
      </w:r>
      <w:r w:rsidR="00957075" w:rsidRPr="00B348AB">
        <w:lastRenderedPageBreak/>
        <w:t>instituciones nacionales</w:t>
      </w:r>
      <w:r w:rsidR="001A73FA">
        <w:t xml:space="preserve"> relevantes en la materia</w:t>
      </w:r>
      <w:r>
        <w:rPr>
          <w:rStyle w:val="Refdenotaalpie"/>
        </w:rPr>
        <w:footnoteReference w:id="17"/>
      </w:r>
      <w:r w:rsidR="001A73FA">
        <w:t>,</w:t>
      </w:r>
      <w:r w:rsidR="00957075" w:rsidRPr="00B348AB">
        <w:t xml:space="preserve"> </w:t>
      </w:r>
      <w:r w:rsidR="00B43D77">
        <w:t xml:space="preserve"> organismos</w:t>
      </w:r>
      <w:r w:rsidR="00957075" w:rsidRPr="00B348AB">
        <w:t xml:space="preserve"> internacionales</w:t>
      </w:r>
      <w:r w:rsidR="00957075" w:rsidRPr="00B348AB">
        <w:rPr>
          <w:rStyle w:val="Refdenotaalpie"/>
        </w:rPr>
        <w:footnoteReference w:id="18"/>
      </w:r>
      <w:r w:rsidR="00B43D77">
        <w:t xml:space="preserve">, así como </w:t>
      </w:r>
      <w:r w:rsidR="00C1722E" w:rsidRPr="00B348AB">
        <w:t>“expertos y expertas en la materia”</w:t>
      </w:r>
      <w:r w:rsidR="00957075" w:rsidRPr="00B348AB">
        <w:t>.</w:t>
      </w:r>
      <w:r w:rsidR="00C1722E" w:rsidRPr="00B348AB">
        <w:t xml:space="preserve"> </w:t>
      </w:r>
    </w:p>
    <w:p w14:paraId="0A6CDBE8" w14:textId="1DF9C194" w:rsidR="00F670C6" w:rsidRPr="00EA760F" w:rsidRDefault="008756DA" w:rsidP="00A203D3">
      <w:pPr>
        <w:pStyle w:val="Textoindependiente"/>
        <w:numPr>
          <w:ilvl w:val="0"/>
          <w:numId w:val="3"/>
        </w:numPr>
        <w:tabs>
          <w:tab w:val="left" w:pos="851"/>
        </w:tabs>
        <w:spacing w:before="120" w:after="120"/>
        <w:ind w:left="0" w:firstLine="0"/>
        <w:jc w:val="both"/>
        <w:rPr>
          <w:sz w:val="16"/>
          <w:szCs w:val="16"/>
        </w:rPr>
      </w:pPr>
      <w:r>
        <w:t>Este Tribunal</w:t>
      </w:r>
      <w:r w:rsidR="00F634E7">
        <w:t xml:space="preserve"> reafirma la importancia de que Argentina haya brindado su anuencia para que, del </w:t>
      </w:r>
      <w:r w:rsidR="00497A4D">
        <w:t>24</w:t>
      </w:r>
      <w:r w:rsidR="00F634E7">
        <w:t xml:space="preserve"> al </w:t>
      </w:r>
      <w:r w:rsidR="00497A4D">
        <w:t>26</w:t>
      </w:r>
      <w:r w:rsidR="00F634E7">
        <w:t xml:space="preserve"> de</w:t>
      </w:r>
      <w:r w:rsidR="00A203D3" w:rsidRPr="002A2DCC">
        <w:t xml:space="preserve"> octubre de 2022, la Jueza Nancy Hernández López, </w:t>
      </w:r>
      <w:r w:rsidR="00F634E7" w:rsidRPr="002A2DCC">
        <w:t>por delegación de la Corte</w:t>
      </w:r>
      <w:r>
        <w:t xml:space="preserve"> Interamericana</w:t>
      </w:r>
      <w:r w:rsidR="00F634E7" w:rsidRPr="002A2DCC">
        <w:t>,</w:t>
      </w:r>
      <w:r w:rsidR="00F634E7">
        <w:t xml:space="preserve"> </w:t>
      </w:r>
      <w:r w:rsidR="00A203D3" w:rsidRPr="002A2DCC">
        <w:t>realiz</w:t>
      </w:r>
      <w:r w:rsidR="00F634E7">
        <w:t>ara</w:t>
      </w:r>
      <w:r w:rsidR="00A203D3" w:rsidRPr="002A2DCC">
        <w:t xml:space="preserve"> una visita a Buenos Aires, Argentina, para </w:t>
      </w:r>
      <w:r w:rsidR="00F634E7">
        <w:t>efectuar</w:t>
      </w:r>
      <w:r w:rsidR="00A203D3" w:rsidRPr="002A2DCC">
        <w:t xml:space="preserve"> audiencias privadas de supervisión de cumplimiento de sentencias de varios casos, así como sostener reuniones con diversas autoridades estatales</w:t>
      </w:r>
      <w:r w:rsidR="00A203D3" w:rsidRPr="002A2DCC">
        <w:rPr>
          <w:rStyle w:val="Refdenotaalpie"/>
        </w:rPr>
        <w:footnoteReference w:id="19"/>
      </w:r>
      <w:r w:rsidR="00A203D3" w:rsidRPr="002A2DCC">
        <w:t xml:space="preserve">. </w:t>
      </w:r>
      <w:r w:rsidR="00F634E7">
        <w:t>E</w:t>
      </w:r>
      <w:r w:rsidR="003548A9">
        <w:t xml:space="preserve">l 25 de octubre de 2022 </w:t>
      </w:r>
      <w:r w:rsidR="00A203D3" w:rsidRPr="002A2DCC">
        <w:t xml:space="preserve">se efectuó una reunión con varios Senadores y Senadoras del Congreso de la Nación Argentina. En este encuentro, que </w:t>
      </w:r>
      <w:r w:rsidR="00A203D3" w:rsidRPr="002A2DCC">
        <w:rPr>
          <w:noProof/>
        </w:rPr>
        <w:t xml:space="preserve">constituyó la primera oportunidad en que miembros de la Corte Interamericana han sido recibidos </w:t>
      </w:r>
      <w:r w:rsidR="00F634E7">
        <w:rPr>
          <w:noProof/>
        </w:rPr>
        <w:t xml:space="preserve">en </w:t>
      </w:r>
      <w:r w:rsidR="002A2DCC" w:rsidRPr="002A2DCC">
        <w:rPr>
          <w:noProof/>
        </w:rPr>
        <w:t xml:space="preserve">el </w:t>
      </w:r>
      <w:r w:rsidR="00A203D3" w:rsidRPr="002A2DCC">
        <w:rPr>
          <w:noProof/>
        </w:rPr>
        <w:t>órgano legislativo de un Estado para dialogar sobre el cumplimiento de reparaciones específicas ordenadas por este Tribunal</w:t>
      </w:r>
      <w:r w:rsidR="002A2DCC">
        <w:rPr>
          <w:noProof/>
        </w:rPr>
        <w:t xml:space="preserve"> que implican reformas o adopción de normativas</w:t>
      </w:r>
      <w:r w:rsidR="00A203D3" w:rsidRPr="002A2DCC">
        <w:rPr>
          <w:noProof/>
        </w:rPr>
        <w:t>, la referida jueza hizo énfasis</w:t>
      </w:r>
      <w:r w:rsidR="002A2DCC" w:rsidRPr="002A2DCC">
        <w:rPr>
          <w:noProof/>
        </w:rPr>
        <w:t>, entre otros aspectos,</w:t>
      </w:r>
      <w:r w:rsidR="00A203D3" w:rsidRPr="002A2DCC">
        <w:rPr>
          <w:noProof/>
        </w:rPr>
        <w:t xml:space="preserve"> en la importancia del</w:t>
      </w:r>
      <w:r w:rsidR="002A2DCC" w:rsidRPr="002A2DCC">
        <w:rPr>
          <w:noProof/>
        </w:rPr>
        <w:t xml:space="preserve"> referido</w:t>
      </w:r>
      <w:r w:rsidR="00A203D3" w:rsidRPr="002A2DCC">
        <w:rPr>
          <w:noProof/>
        </w:rPr>
        <w:t xml:space="preserve"> proyecto de ley</w:t>
      </w:r>
      <w:r w:rsidR="002A2DCC" w:rsidRPr="002A2DCC">
        <w:rPr>
          <w:noProof/>
        </w:rPr>
        <w:t xml:space="preserve"> </w:t>
      </w:r>
      <w:r w:rsidR="00F634E7">
        <w:rPr>
          <w:noProof/>
        </w:rPr>
        <w:t>(</w:t>
      </w:r>
      <w:r w:rsidR="00F634E7" w:rsidRPr="00F634E7">
        <w:rPr>
          <w:i/>
          <w:iCs/>
          <w:noProof/>
        </w:rPr>
        <w:t>supra</w:t>
      </w:r>
      <w:r w:rsidR="00F634E7">
        <w:rPr>
          <w:noProof/>
        </w:rPr>
        <w:t xml:space="preserve"> Considerando </w:t>
      </w:r>
      <w:r w:rsidR="00580D43">
        <w:rPr>
          <w:noProof/>
        </w:rPr>
        <w:t>7</w:t>
      </w:r>
      <w:r w:rsidR="00F634E7">
        <w:rPr>
          <w:noProof/>
        </w:rPr>
        <w:t xml:space="preserve">) </w:t>
      </w:r>
      <w:r w:rsidR="00B43D77">
        <w:rPr>
          <w:noProof/>
        </w:rPr>
        <w:t>y su</w:t>
      </w:r>
      <w:r w:rsidR="00A203D3" w:rsidRPr="002A2DCC">
        <w:rPr>
          <w:noProof/>
        </w:rPr>
        <w:t xml:space="preserve"> </w:t>
      </w:r>
      <w:r w:rsidR="00B43D77">
        <w:rPr>
          <w:noProof/>
        </w:rPr>
        <w:t>relación</w:t>
      </w:r>
      <w:r w:rsidR="00A203D3" w:rsidRPr="002A2DCC">
        <w:rPr>
          <w:noProof/>
        </w:rPr>
        <w:t xml:space="preserve"> con el cumplimiento de la garantía de no repetición ordenada en </w:t>
      </w:r>
      <w:r w:rsidR="002A2DCC" w:rsidRPr="002A2DCC">
        <w:rPr>
          <w:noProof/>
        </w:rPr>
        <w:t xml:space="preserve">este caso. </w:t>
      </w:r>
      <w:r w:rsidR="00F634E7">
        <w:rPr>
          <w:noProof/>
        </w:rPr>
        <w:t>Seis días antes de esta reunión,</w:t>
      </w:r>
      <w:r w:rsidR="003548A9">
        <w:rPr>
          <w:noProof/>
        </w:rPr>
        <w:t xml:space="preserve"> el proyecto de ley en cuestión </w:t>
      </w:r>
      <w:r w:rsidR="00F634E7">
        <w:rPr>
          <w:noProof/>
        </w:rPr>
        <w:t>había obtenido</w:t>
      </w:r>
      <w:r w:rsidR="003548A9">
        <w:rPr>
          <w:noProof/>
        </w:rPr>
        <w:t xml:space="preserve"> el dictamen favorable de la Comisión de Justicia y Asuntos Penales del Senado de la Nación</w:t>
      </w:r>
      <w:r w:rsidR="003548A9">
        <w:rPr>
          <w:rStyle w:val="Refdenotaalpie"/>
          <w:noProof/>
        </w:rPr>
        <w:footnoteReference w:id="20"/>
      </w:r>
      <w:r w:rsidR="003548A9">
        <w:rPr>
          <w:noProof/>
        </w:rPr>
        <w:t xml:space="preserve">. </w:t>
      </w:r>
    </w:p>
    <w:p w14:paraId="54979432" w14:textId="29A8D2AE" w:rsidR="00A203D3" w:rsidRPr="00E17BEC" w:rsidRDefault="002A2DCC" w:rsidP="00A203D3">
      <w:pPr>
        <w:pStyle w:val="Textoindependiente"/>
        <w:numPr>
          <w:ilvl w:val="0"/>
          <w:numId w:val="3"/>
        </w:numPr>
        <w:tabs>
          <w:tab w:val="left" w:pos="851"/>
        </w:tabs>
        <w:spacing w:before="120" w:after="120"/>
        <w:ind w:left="0" w:firstLine="0"/>
        <w:jc w:val="both"/>
      </w:pPr>
      <w:r w:rsidRPr="00E17BEC">
        <w:rPr>
          <w:noProof/>
        </w:rPr>
        <w:t xml:space="preserve">Con el fin de dar seguimiento a esta reunión, mediante notas de </w:t>
      </w:r>
      <w:r w:rsidR="000310A2">
        <w:rPr>
          <w:noProof/>
        </w:rPr>
        <w:t xml:space="preserve">la </w:t>
      </w:r>
      <w:r w:rsidRPr="00E17BEC">
        <w:rPr>
          <w:noProof/>
        </w:rPr>
        <w:t>Secretaría de la Corte, siguiendo instrucciones de su Presidente, se han hecho requerimientos de información al Estado, para que indi</w:t>
      </w:r>
      <w:r w:rsidR="00911FA5" w:rsidRPr="00E17BEC">
        <w:rPr>
          <w:noProof/>
        </w:rPr>
        <w:t>que</w:t>
      </w:r>
      <w:r w:rsidRPr="00E17BEC">
        <w:rPr>
          <w:noProof/>
        </w:rPr>
        <w:t xml:space="preserve"> si </w:t>
      </w:r>
      <w:r w:rsidR="00911FA5" w:rsidRPr="00E17BEC">
        <w:rPr>
          <w:noProof/>
        </w:rPr>
        <w:t xml:space="preserve">ya </w:t>
      </w:r>
      <w:r w:rsidRPr="00E17BEC">
        <w:rPr>
          <w:noProof/>
        </w:rPr>
        <w:t xml:space="preserve">fue aprobado el referido proyecto </w:t>
      </w:r>
      <w:r w:rsidR="00911FA5" w:rsidRPr="00E17BEC">
        <w:rPr>
          <w:noProof/>
        </w:rPr>
        <w:t xml:space="preserve">de ley </w:t>
      </w:r>
      <w:r w:rsidR="00C44071" w:rsidRPr="00C44071">
        <w:t>(Expediente Legislativo No. 106/22)</w:t>
      </w:r>
      <w:r w:rsidR="00C44071">
        <w:rPr>
          <w:sz w:val="18"/>
          <w:szCs w:val="18"/>
        </w:rPr>
        <w:t xml:space="preserve"> </w:t>
      </w:r>
      <w:r w:rsidRPr="00E17BEC">
        <w:rPr>
          <w:noProof/>
        </w:rPr>
        <w:t>o, en su defecto, se refiriera al avance o estado de</w:t>
      </w:r>
      <w:r w:rsidR="00911FA5" w:rsidRPr="00E17BEC">
        <w:rPr>
          <w:noProof/>
        </w:rPr>
        <w:t xml:space="preserve"> su</w:t>
      </w:r>
      <w:r w:rsidRPr="00E17BEC">
        <w:rPr>
          <w:noProof/>
        </w:rPr>
        <w:t xml:space="preserve"> trámite legislativo</w:t>
      </w:r>
      <w:r w:rsidRPr="00856CC6">
        <w:rPr>
          <w:noProof/>
        </w:rPr>
        <w:t>.</w:t>
      </w:r>
      <w:r w:rsidR="00F670C6" w:rsidRPr="00856CC6">
        <w:rPr>
          <w:noProof/>
        </w:rPr>
        <w:t xml:space="preserve"> </w:t>
      </w:r>
      <w:r w:rsidR="00DC08C6">
        <w:rPr>
          <w:noProof/>
        </w:rPr>
        <w:t>El Estado realizó una solicitud de prórroga para presentar esta información (</w:t>
      </w:r>
      <w:r w:rsidR="00DC08C6" w:rsidRPr="00C96A2D">
        <w:rPr>
          <w:i/>
          <w:iCs/>
          <w:noProof/>
        </w:rPr>
        <w:t>supra</w:t>
      </w:r>
      <w:r w:rsidR="00DC08C6">
        <w:rPr>
          <w:noProof/>
        </w:rPr>
        <w:t xml:space="preserve"> Visto 8). E</w:t>
      </w:r>
      <w:r w:rsidR="008A4D90" w:rsidRPr="00E17BEC">
        <w:rPr>
          <w:noProof/>
        </w:rPr>
        <w:t>n junio de 2023</w:t>
      </w:r>
      <w:r w:rsidR="00DC08C6">
        <w:rPr>
          <w:noProof/>
        </w:rPr>
        <w:t xml:space="preserve"> presentó un informe en el que únicamnete indicó</w:t>
      </w:r>
      <w:r w:rsidR="008A4D90" w:rsidRPr="00E17BEC">
        <w:rPr>
          <w:noProof/>
        </w:rPr>
        <w:t xml:space="preserve"> que “el proyecto aún no ha sido sancionado por el Congreso de la Nación” y que remitiría la “información actualizada sobre el estado de [su] tramitación”</w:t>
      </w:r>
      <w:r w:rsidR="000310A2">
        <w:rPr>
          <w:noProof/>
        </w:rPr>
        <w:t xml:space="preserve">, la cual había requerido </w:t>
      </w:r>
      <w:r w:rsidR="008A4D90" w:rsidRPr="00E17BEC">
        <w:rPr>
          <w:noProof/>
        </w:rPr>
        <w:t xml:space="preserve">al Observatorio de Derechos Humanos del Senado de la Nación. </w:t>
      </w:r>
      <w:r w:rsidR="00314E13">
        <w:rPr>
          <w:noProof/>
        </w:rPr>
        <w:t>Se otorgó al Estado un plazo adicional para que presentara esa información (</w:t>
      </w:r>
      <w:r w:rsidR="00314E13" w:rsidRPr="00C96A2D">
        <w:rPr>
          <w:i/>
          <w:iCs/>
          <w:noProof/>
        </w:rPr>
        <w:t>supra</w:t>
      </w:r>
      <w:r w:rsidR="00314E13">
        <w:rPr>
          <w:noProof/>
        </w:rPr>
        <w:t xml:space="preserve"> Visto 10) y, luego de ello, el Estado ha efectuado tres solicitudes de prórroga (</w:t>
      </w:r>
      <w:r w:rsidR="00314E13" w:rsidRPr="00C96A2D">
        <w:rPr>
          <w:i/>
          <w:iCs/>
          <w:noProof/>
        </w:rPr>
        <w:t>supra</w:t>
      </w:r>
      <w:r w:rsidR="00314E13">
        <w:rPr>
          <w:noProof/>
        </w:rPr>
        <w:t xml:space="preserve"> Vistos 11 y 12), sin que haya presentado todavía dicha información. </w:t>
      </w:r>
    </w:p>
    <w:p w14:paraId="3295A48B" w14:textId="179E68AC" w:rsidR="00450E65" w:rsidRPr="00347CA7" w:rsidRDefault="00CA0DFD" w:rsidP="00450E65">
      <w:pPr>
        <w:pStyle w:val="Textoindependiente"/>
        <w:widowControl/>
        <w:numPr>
          <w:ilvl w:val="0"/>
          <w:numId w:val="3"/>
        </w:numPr>
        <w:tabs>
          <w:tab w:val="left" w:pos="851"/>
        </w:tabs>
        <w:adjustRightInd w:val="0"/>
        <w:spacing w:before="120" w:after="120"/>
        <w:ind w:left="0" w:firstLine="0"/>
        <w:jc w:val="both"/>
        <w:rPr>
          <w:rFonts w:cs="CIDFont+F4"/>
        </w:rPr>
      </w:pPr>
      <w:r w:rsidRPr="00856CC6">
        <w:t>La Corte recuerda que</w:t>
      </w:r>
      <w:r w:rsidR="00AE412D" w:rsidRPr="00856CC6">
        <w:t xml:space="preserve"> el cumplimiento de esta garantía de no repetición implica, tanto </w:t>
      </w:r>
      <w:r w:rsidR="00AE412D" w:rsidRPr="00856CC6">
        <w:rPr>
          <w:rFonts w:cs="CIDFont+F4"/>
        </w:rPr>
        <w:t xml:space="preserve">“impulsar el proyecto de ley correspondiente” </w:t>
      </w:r>
      <w:r w:rsidR="00911FA5" w:rsidRPr="00856CC6">
        <w:rPr>
          <w:rFonts w:cs="CIDFont+F4"/>
        </w:rPr>
        <w:t xml:space="preserve">de manera </w:t>
      </w:r>
      <w:r w:rsidR="00AE412D" w:rsidRPr="00856CC6">
        <w:rPr>
          <w:rFonts w:cs="CIDFont+F4"/>
        </w:rPr>
        <w:t>acorde a los estándares internacionales, como “asegurar su pronta sanción y entrada en vigor, de acuerdo con los procedimientos establecidos en el ordenamiento jurídico interno”</w:t>
      </w:r>
      <w:r w:rsidR="00911FA5" w:rsidRPr="00856CC6">
        <w:rPr>
          <w:rStyle w:val="Refdenotaalpie"/>
          <w:rFonts w:cs="CIDFont+F4"/>
        </w:rPr>
        <w:footnoteReference w:id="21"/>
      </w:r>
      <w:r w:rsidR="005E6680" w:rsidRPr="00856CC6">
        <w:rPr>
          <w:rFonts w:cs="CIDFont+F4"/>
        </w:rPr>
        <w:t>.</w:t>
      </w:r>
      <w:r w:rsidR="00AE412D" w:rsidRPr="00AA0604">
        <w:rPr>
          <w:rFonts w:cs="CIDFont+F4"/>
        </w:rPr>
        <w:t xml:space="preserve"> </w:t>
      </w:r>
      <w:r w:rsidR="005E6680">
        <w:rPr>
          <w:rFonts w:cs="CIDFont+F4"/>
        </w:rPr>
        <w:t xml:space="preserve">Al respecto, el Tribunal destaca </w:t>
      </w:r>
      <w:r w:rsidRPr="00AA0604">
        <w:rPr>
          <w:rFonts w:cs="CIDFont+F4"/>
        </w:rPr>
        <w:t>que el cumplimiento de las obligaciones internacionales</w:t>
      </w:r>
      <w:r w:rsidR="00450E65" w:rsidRPr="00AA0604">
        <w:rPr>
          <w:rFonts w:cs="CIDFont+F4"/>
        </w:rPr>
        <w:t xml:space="preserve"> </w:t>
      </w:r>
      <w:r w:rsidRPr="00AA0604">
        <w:rPr>
          <w:rFonts w:cs="CIDFont+F4"/>
        </w:rPr>
        <w:t xml:space="preserve">asumidas por Argentina </w:t>
      </w:r>
      <w:r w:rsidR="00242415" w:rsidRPr="00AA0604">
        <w:t xml:space="preserve">vincula a todos los poderes </w:t>
      </w:r>
      <w:r w:rsidRPr="00AA0604">
        <w:t xml:space="preserve">del Estado (Ejecutivo, Legislativo, Judicial) </w:t>
      </w:r>
      <w:r w:rsidR="00242415" w:rsidRPr="00AA0604">
        <w:t>y órganos estatales en su conjunto</w:t>
      </w:r>
      <w:r w:rsidR="00856CC6">
        <w:t xml:space="preserve"> (</w:t>
      </w:r>
      <w:r w:rsidR="00856CC6" w:rsidRPr="00856CC6">
        <w:rPr>
          <w:i/>
          <w:iCs/>
        </w:rPr>
        <w:t>supra</w:t>
      </w:r>
      <w:r w:rsidR="00856CC6">
        <w:t xml:space="preserve"> Considerando 3)</w:t>
      </w:r>
      <w:r w:rsidR="00450E65" w:rsidRPr="00AA0604">
        <w:rPr>
          <w:rStyle w:val="Refdenotaalpie"/>
        </w:rPr>
        <w:footnoteReference w:id="22"/>
      </w:r>
      <w:r w:rsidRPr="00AA0604">
        <w:t>. Tomando esto en cuenta</w:t>
      </w:r>
      <w:r w:rsidRPr="00856CC6">
        <w:t xml:space="preserve">, el </w:t>
      </w:r>
      <w:r w:rsidRPr="00856CC6">
        <w:lastRenderedPageBreak/>
        <w:t>Poder Legislativo argentino debe</w:t>
      </w:r>
      <w:r w:rsidR="00AA0604" w:rsidRPr="00856CC6">
        <w:t xml:space="preserve"> </w:t>
      </w:r>
      <w:r w:rsidRPr="00856CC6">
        <w:t xml:space="preserve">-en el ámbito de sus competencias- </w:t>
      </w:r>
      <w:r w:rsidR="00AA0604" w:rsidRPr="00856CC6">
        <w:t xml:space="preserve">asumir el importante rol que tiene para </w:t>
      </w:r>
      <w:r w:rsidR="005E6680" w:rsidRPr="00856CC6">
        <w:t xml:space="preserve">que el Estado pueda </w:t>
      </w:r>
      <w:r w:rsidR="00AA0604" w:rsidRPr="00856CC6">
        <w:t>alcanzar el cumplimiento de la garantía de no repetición de adecuación normativa ordenada en este caso</w:t>
      </w:r>
      <w:r w:rsidR="00AA0604" w:rsidRPr="00856CC6">
        <w:rPr>
          <w:rStyle w:val="Refdenotaalpie"/>
        </w:rPr>
        <w:footnoteReference w:id="23"/>
      </w:r>
      <w:r w:rsidR="00AA0604" w:rsidRPr="00856CC6">
        <w:t>.</w:t>
      </w:r>
      <w:r w:rsidR="00AA0604">
        <w:t xml:space="preserve"> En ese sentido, se insta al </w:t>
      </w:r>
      <w:r w:rsidR="00AA0604" w:rsidRPr="00347CA7">
        <w:t>Estado</w:t>
      </w:r>
      <w:r w:rsidR="00AA0604">
        <w:t xml:space="preserve"> </w:t>
      </w:r>
      <w:r w:rsidR="00450E65" w:rsidRPr="00055E00">
        <w:t xml:space="preserve">a que, a la mayor brevedad posible, adopte todas las medidas necesarias para </w:t>
      </w:r>
      <w:r w:rsidR="00055E00" w:rsidRPr="00055E00">
        <w:t xml:space="preserve">alcanzar la </w:t>
      </w:r>
      <w:r w:rsidR="00450E65" w:rsidRPr="00055E00">
        <w:t>aproba</w:t>
      </w:r>
      <w:r w:rsidR="00055E00" w:rsidRPr="00055E00">
        <w:t>ción,</w:t>
      </w:r>
      <w:r w:rsidR="00450E65" w:rsidRPr="00055E00">
        <w:t xml:space="preserve"> sanci</w:t>
      </w:r>
      <w:r w:rsidR="00055E00" w:rsidRPr="00055E00">
        <w:t>ón y entrada en vigor de</w:t>
      </w:r>
      <w:r w:rsidR="00450E65" w:rsidRPr="00055E00">
        <w:t xml:space="preserve"> la normativa que tipifique el delito de </w:t>
      </w:r>
      <w:r w:rsidR="005E6680">
        <w:t xml:space="preserve">compra y </w:t>
      </w:r>
      <w:r w:rsidR="00450E65" w:rsidRPr="00055E00">
        <w:t>venta de niños y niñas</w:t>
      </w:r>
      <w:r w:rsidR="00856CC6">
        <w:t>,</w:t>
      </w:r>
      <w:r w:rsidR="00450E65" w:rsidRPr="00055E00">
        <w:t xml:space="preserve"> en los términos dispuestos en la Sentencia de este caso. </w:t>
      </w:r>
    </w:p>
    <w:p w14:paraId="196FDB07" w14:textId="64FED07A" w:rsidR="00347CA7" w:rsidRPr="00347CA7" w:rsidRDefault="00347CA7" w:rsidP="00347CA7">
      <w:pPr>
        <w:pStyle w:val="Textoindependiente"/>
        <w:numPr>
          <w:ilvl w:val="0"/>
          <w:numId w:val="3"/>
        </w:numPr>
        <w:tabs>
          <w:tab w:val="left" w:pos="851"/>
        </w:tabs>
        <w:spacing w:before="120" w:after="120"/>
        <w:ind w:left="0" w:firstLine="0"/>
        <w:jc w:val="both"/>
      </w:pPr>
      <w:r w:rsidRPr="00911FA5">
        <w:t xml:space="preserve">De acuerdo con la jurisprudencia de la Corte al supervisar medidas de adecuación de normativa interna, </w:t>
      </w:r>
      <w:r w:rsidRPr="00484A06">
        <w:t>una vez que es aprobada legalmente la norma según los procedimientos internos, el Tribunal evalúa si se adecua a los estándares internacionales que correspondan</w:t>
      </w:r>
      <w:r w:rsidRPr="00484A06">
        <w:rPr>
          <w:rStyle w:val="Refdenotaalpie"/>
        </w:rPr>
        <w:footnoteReference w:id="24"/>
      </w:r>
      <w:r w:rsidRPr="00484A06">
        <w:t xml:space="preserve">.  </w:t>
      </w:r>
      <w:r w:rsidRPr="009A5F22">
        <w:t>Aun cuando, en el presente caso esto no ha ocurrido, el Tribunal reconoce el importante esfuerzo conjunto que representó la elaboración y presentación de dicho proyecto de ley para la tipificación de la venta de niñas y niños, el cual fue producto de una “Mesa de trabajo” en que participaron relevantes autoridades y expertos en la materia, y el cual cuenta, en términos generales, con el beneplácito de la representación del señor Fornerón</w:t>
      </w:r>
      <w:r w:rsidRPr="009A5F22">
        <w:rPr>
          <w:rStyle w:val="Refdenotaalpie"/>
        </w:rPr>
        <w:footnoteReference w:id="25"/>
      </w:r>
      <w:r w:rsidRPr="009A5F22">
        <w:t>.</w:t>
      </w:r>
      <w:r w:rsidRPr="00911FA5">
        <w:t xml:space="preserve"> </w:t>
      </w:r>
      <w:r w:rsidRPr="00AA0604">
        <w:t xml:space="preserve">En ese sentido, se destaca que su </w:t>
      </w:r>
      <w:r w:rsidRPr="009A5F22">
        <w:t>aprobación por parte del Congreso de la Nación es fundamental para aprovechar los esfuerzos realizados hasta este momento y que pueden llegar a significar el cumplimiento total de esta reparación, así como de obligaciones internacionales adquiridas por Argentina en esta materia.</w:t>
      </w:r>
      <w:r w:rsidRPr="00AA0604">
        <w:t xml:space="preserve"> </w:t>
      </w:r>
    </w:p>
    <w:p w14:paraId="40A3A667" w14:textId="34BAF858" w:rsidR="002A2DCC" w:rsidRPr="00055E00" w:rsidRDefault="00450E65" w:rsidP="00FD601D">
      <w:pPr>
        <w:pStyle w:val="Textoindependiente"/>
        <w:widowControl/>
        <w:numPr>
          <w:ilvl w:val="0"/>
          <w:numId w:val="3"/>
        </w:numPr>
        <w:tabs>
          <w:tab w:val="left" w:pos="851"/>
        </w:tabs>
        <w:adjustRightInd w:val="0"/>
        <w:spacing w:before="120" w:after="120"/>
        <w:ind w:left="0" w:firstLine="0"/>
        <w:jc w:val="both"/>
        <w:rPr>
          <w:rFonts w:ascii="BookmanOldStyle" w:hAnsi="BookmanOldStyle" w:cs="BookmanOldStyle"/>
          <w:sz w:val="19"/>
          <w:szCs w:val="19"/>
        </w:rPr>
      </w:pPr>
      <w:r w:rsidRPr="009A5F22">
        <w:t>Con base en lo expuesto</w:t>
      </w:r>
      <w:r w:rsidR="00A87EBF" w:rsidRPr="009A5F22">
        <w:t xml:space="preserve">, la Corte </w:t>
      </w:r>
      <w:r w:rsidR="00C51E07" w:rsidRPr="009A5F22">
        <w:t xml:space="preserve">requiere al Estado que realice los mayores esfuerzos para alcanzar el pronto cumplimiento de la garantía de no repetición </w:t>
      </w:r>
      <w:r w:rsidR="00055E00" w:rsidRPr="009A5F22">
        <w:t>ordenada en el punto dispositivo cuarto de la Sentencia, relativa a tipificar la venta de niños y niñas en Argentina</w:t>
      </w:r>
      <w:r w:rsidR="00C51E07" w:rsidRPr="009A5F22">
        <w:t xml:space="preserve">, tomando en cuenta que han transcurrido once años desde la notificación de la Sentencia y que, desde hace más de un año, se encuentra en trámite ante el Congreso de la Nación un proyecto de ley </w:t>
      </w:r>
      <w:r w:rsidR="00BD4EEB" w:rsidRPr="009A5F22">
        <w:t xml:space="preserve">(Expediente Legislativo No. 106/22) </w:t>
      </w:r>
      <w:r w:rsidR="00C51E07" w:rsidRPr="009A5F22">
        <w:t>que tiene ese fin</w:t>
      </w:r>
      <w:r w:rsidR="002843A1" w:rsidRPr="009A5F22">
        <w:t>, el cual cuenta con el dictamen favorable de la Comisión de Justicia y Asuntos Penales del Senado de la Nación</w:t>
      </w:r>
      <w:r w:rsidR="00055E00" w:rsidRPr="009A5F22">
        <w:t>.</w:t>
      </w:r>
      <w:r w:rsidR="00055E00" w:rsidRPr="00055E00">
        <w:t xml:space="preserve"> </w:t>
      </w:r>
      <w:r w:rsidR="00C51E07">
        <w:t xml:space="preserve">Para informar al respecto, </w:t>
      </w:r>
      <w:r w:rsidR="00055E00" w:rsidRPr="00B8303B">
        <w:t xml:space="preserve">en el punto resolutivo </w:t>
      </w:r>
      <w:r w:rsidR="009A5F22">
        <w:t>5</w:t>
      </w:r>
      <w:r w:rsidR="00055E00" w:rsidRPr="00B8303B">
        <w:t xml:space="preserve"> de la presente Resolución </w:t>
      </w:r>
      <w:r w:rsidR="00C51E07">
        <w:t>se otorga un nuevo plazo al</w:t>
      </w:r>
      <w:r w:rsidR="00055E00" w:rsidRPr="00B8303B">
        <w:t xml:space="preserve"> Estado</w:t>
      </w:r>
      <w:r w:rsidR="00C51E07">
        <w:t xml:space="preserve"> y se le requiere que</w:t>
      </w:r>
      <w:r w:rsidR="00055E00" w:rsidRPr="00B8303B">
        <w:t xml:space="preserve"> present</w:t>
      </w:r>
      <w:r w:rsidR="00C51E07">
        <w:t>e</w:t>
      </w:r>
      <w:r w:rsidR="00055E00" w:rsidRPr="00B8303B">
        <w:t xml:space="preserve"> información detallada y actualizada</w:t>
      </w:r>
      <w:r w:rsidR="00B8303B" w:rsidRPr="00B8303B">
        <w:t xml:space="preserve"> sobre las acciones que ha realizado para el cumplimiento de esta reparación. </w:t>
      </w:r>
    </w:p>
    <w:p w14:paraId="29D7C99B" w14:textId="77777777" w:rsidR="00055E00" w:rsidRPr="00296F43" w:rsidRDefault="00055E00" w:rsidP="00AB5A00">
      <w:pPr>
        <w:pStyle w:val="Textoindependiente"/>
        <w:tabs>
          <w:tab w:val="left" w:pos="851"/>
        </w:tabs>
        <w:spacing w:before="120" w:after="120"/>
        <w:jc w:val="both"/>
        <w:rPr>
          <w:b/>
        </w:rPr>
      </w:pPr>
    </w:p>
    <w:p w14:paraId="0E40E226" w14:textId="290E6F7D" w:rsidR="001E08B5" w:rsidRPr="00296F43" w:rsidRDefault="001E08B5" w:rsidP="00AB5A00">
      <w:pPr>
        <w:pStyle w:val="Textoindependiente"/>
        <w:tabs>
          <w:tab w:val="left" w:pos="851"/>
        </w:tabs>
        <w:spacing w:before="120" w:after="120"/>
        <w:jc w:val="both"/>
        <w:rPr>
          <w:b/>
        </w:rPr>
      </w:pPr>
      <w:r w:rsidRPr="00296F43">
        <w:rPr>
          <w:b/>
        </w:rPr>
        <w:t>POR TANTO:</w:t>
      </w:r>
    </w:p>
    <w:p w14:paraId="6A307FBA" w14:textId="77777777" w:rsidR="001E08B5" w:rsidRPr="00296F43" w:rsidRDefault="001E08B5" w:rsidP="00AB5A00">
      <w:pPr>
        <w:pStyle w:val="Textoindependiente"/>
        <w:tabs>
          <w:tab w:val="left" w:pos="851"/>
        </w:tabs>
        <w:spacing w:before="120" w:after="120"/>
        <w:jc w:val="both"/>
        <w:rPr>
          <w:b/>
        </w:rPr>
      </w:pPr>
      <w:r w:rsidRPr="00296F43">
        <w:rPr>
          <w:b/>
        </w:rPr>
        <w:t>LA CORTE INTE</w:t>
      </w:r>
      <w:r w:rsidR="00682E52" w:rsidRPr="00296F43">
        <w:rPr>
          <w:b/>
        </w:rPr>
        <w:t xml:space="preserve">RAMERICANA DE DERECHOS HUMANOS </w:t>
      </w:r>
    </w:p>
    <w:p w14:paraId="61A0FE0D" w14:textId="77777777" w:rsidR="001E08B5" w:rsidRPr="00296F43" w:rsidRDefault="00682E52" w:rsidP="00AB5A00">
      <w:pPr>
        <w:pStyle w:val="Textoindependiente"/>
        <w:tabs>
          <w:tab w:val="left" w:pos="851"/>
        </w:tabs>
        <w:spacing w:before="120" w:after="120"/>
        <w:jc w:val="both"/>
      </w:pPr>
      <w:r w:rsidRPr="00296F43">
        <w:t xml:space="preserve">en el ejercicio de sus atribuciones de supervisión del cumplimiento de sus decisiones y de conformidad con los artículos 33, 62.1, 62.3, 65, 67 y 68.1 de la Convención Americana sobre Derechos Humanos, 24, 25 y 30 del Estatuto, y 31.2 y 69 de su Reglamento, </w:t>
      </w:r>
    </w:p>
    <w:p w14:paraId="7E4BD9C2" w14:textId="77777777" w:rsidR="00347CA7" w:rsidRDefault="00347CA7" w:rsidP="00AB5A00">
      <w:pPr>
        <w:pStyle w:val="Textoindependiente"/>
        <w:tabs>
          <w:tab w:val="left" w:pos="851"/>
        </w:tabs>
        <w:spacing w:before="120" w:after="120"/>
        <w:jc w:val="both"/>
        <w:rPr>
          <w:b/>
        </w:rPr>
      </w:pPr>
    </w:p>
    <w:p w14:paraId="4882B7E1" w14:textId="77777777" w:rsidR="009A5F22" w:rsidRDefault="009A5F22" w:rsidP="00AB5A00">
      <w:pPr>
        <w:pStyle w:val="Textoindependiente"/>
        <w:tabs>
          <w:tab w:val="left" w:pos="851"/>
        </w:tabs>
        <w:spacing w:before="120" w:after="120"/>
        <w:jc w:val="both"/>
        <w:rPr>
          <w:b/>
        </w:rPr>
      </w:pPr>
    </w:p>
    <w:p w14:paraId="28B1D93A" w14:textId="2A97029C" w:rsidR="00682E52" w:rsidRPr="00296F43" w:rsidRDefault="00682E52" w:rsidP="00AB5A00">
      <w:pPr>
        <w:pStyle w:val="Textoindependiente"/>
        <w:tabs>
          <w:tab w:val="left" w:pos="851"/>
        </w:tabs>
        <w:spacing w:before="120" w:after="120"/>
        <w:jc w:val="both"/>
        <w:rPr>
          <w:b/>
        </w:rPr>
      </w:pPr>
      <w:r w:rsidRPr="00296F43">
        <w:rPr>
          <w:b/>
        </w:rPr>
        <w:t xml:space="preserve">RESUELVE: </w:t>
      </w:r>
    </w:p>
    <w:p w14:paraId="28797774" w14:textId="3A54215B" w:rsidR="00474F23" w:rsidRPr="00347CA7" w:rsidRDefault="000E671C" w:rsidP="009153F6">
      <w:pPr>
        <w:pStyle w:val="Textoindependiente"/>
        <w:numPr>
          <w:ilvl w:val="0"/>
          <w:numId w:val="4"/>
        </w:numPr>
        <w:tabs>
          <w:tab w:val="left" w:pos="851"/>
        </w:tabs>
        <w:spacing w:before="120" w:after="120"/>
        <w:ind w:left="0" w:firstLine="0"/>
        <w:jc w:val="both"/>
      </w:pPr>
      <w:r w:rsidRPr="00296F43">
        <w:t xml:space="preserve">Declarar, de conformidad con lo señalado en los Considerandos </w:t>
      </w:r>
      <w:r w:rsidR="00A570BC">
        <w:t>5 a 13</w:t>
      </w:r>
      <w:r w:rsidRPr="00296F43">
        <w:t xml:space="preserve">, que </w:t>
      </w:r>
      <w:r w:rsidR="00296F43" w:rsidRPr="00296F43">
        <w:t xml:space="preserve">continua pendiente de cumplimiento la medida </w:t>
      </w:r>
      <w:r w:rsidR="00474F23" w:rsidRPr="00296F43">
        <w:t xml:space="preserve">de reparación relativa a tipificar la venta de niños y niñas, de manera que el acto de entregar a un niño o niña a cambio de una retribución o </w:t>
      </w:r>
      <w:r w:rsidR="00474F23" w:rsidRPr="00347CA7">
        <w:t xml:space="preserve">cualquier otra compensación, cualquiera que sea su forma o fin, constituya una infracción penal, de conformidad con los estándares internacionales y lo establecido en la Sentencia </w:t>
      </w:r>
      <w:r w:rsidR="00474F23" w:rsidRPr="00347CA7">
        <w:rPr>
          <w:i/>
        </w:rPr>
        <w:t xml:space="preserve">(punto dispositivo cuarto de la Sentencia). </w:t>
      </w:r>
    </w:p>
    <w:p w14:paraId="7FD7001A" w14:textId="46192DC7" w:rsidR="00763216" w:rsidRPr="004C42A8" w:rsidRDefault="00813C6F" w:rsidP="009153F6">
      <w:pPr>
        <w:pStyle w:val="Textoindependiente"/>
        <w:numPr>
          <w:ilvl w:val="0"/>
          <w:numId w:val="4"/>
        </w:numPr>
        <w:tabs>
          <w:tab w:val="left" w:pos="851"/>
        </w:tabs>
        <w:spacing w:before="120" w:after="120"/>
        <w:ind w:left="0" w:firstLine="0"/>
        <w:jc w:val="both"/>
      </w:pPr>
      <w:r w:rsidRPr="004C42A8">
        <w:t>Requerir al Estado</w:t>
      </w:r>
      <w:r w:rsidR="002843A1" w:rsidRPr="004C42A8">
        <w:t xml:space="preserve">, de conformidad con lo indicado en los Considerandos </w:t>
      </w:r>
      <w:r w:rsidR="004C42A8" w:rsidRPr="004C42A8">
        <w:t xml:space="preserve">11 </w:t>
      </w:r>
      <w:r w:rsidR="0000490F">
        <w:t>a</w:t>
      </w:r>
      <w:r w:rsidR="004C42A8" w:rsidRPr="004C42A8">
        <w:t xml:space="preserve"> 1</w:t>
      </w:r>
      <w:r w:rsidR="0000490F">
        <w:t>3</w:t>
      </w:r>
      <w:r w:rsidR="002843A1" w:rsidRPr="004C42A8">
        <w:t>,</w:t>
      </w:r>
      <w:r w:rsidRPr="004C42A8">
        <w:t xml:space="preserve"> que realice los mayores esfuerzos para alcanzar el pronto cumplimiento de la garantía de no repetición ordenada en el punto dispositivo cuarto de la Sentencia, relativa a tipificar la compra y venta de niños y niñas, tomando en cuenta que han transcurrido once años desde la notificación de la Sentencia y que, desde hace más de un año, </w:t>
      </w:r>
      <w:r w:rsidR="009B1529" w:rsidRPr="004C42A8">
        <w:t xml:space="preserve">está en trámite ante el Congreso de la Nación Argentina </w:t>
      </w:r>
      <w:r w:rsidR="00763216" w:rsidRPr="004C42A8">
        <w:t>un proyecto de ley</w:t>
      </w:r>
      <w:r w:rsidR="009B1529" w:rsidRPr="004C42A8">
        <w:t xml:space="preserve"> para adoptar la referida tipificación </w:t>
      </w:r>
      <w:r w:rsidRPr="004C42A8">
        <w:t>(</w:t>
      </w:r>
      <w:r w:rsidR="009B1529" w:rsidRPr="004C42A8">
        <w:t>Expediente Legislativo No. 106/22</w:t>
      </w:r>
      <w:r w:rsidRPr="004C42A8">
        <w:t>)</w:t>
      </w:r>
      <w:r w:rsidR="003548A9" w:rsidRPr="004C42A8">
        <w:t>.</w:t>
      </w:r>
    </w:p>
    <w:p w14:paraId="78F7202B" w14:textId="61F481A5" w:rsidR="00982058" w:rsidRPr="00296F43" w:rsidRDefault="00982058" w:rsidP="00AB5A00">
      <w:pPr>
        <w:pStyle w:val="Prrafodelista"/>
        <w:numPr>
          <w:ilvl w:val="0"/>
          <w:numId w:val="4"/>
        </w:numPr>
        <w:spacing w:before="120" w:after="120"/>
        <w:ind w:left="0" w:firstLine="0"/>
        <w:contextualSpacing w:val="0"/>
        <w:rPr>
          <w:sz w:val="20"/>
          <w:szCs w:val="20"/>
        </w:rPr>
      </w:pPr>
      <w:r w:rsidRPr="00347CA7">
        <w:rPr>
          <w:sz w:val="20"/>
          <w:szCs w:val="20"/>
        </w:rPr>
        <w:t>Mantener abierto el procedimiento de supervisión de cumplimiento respecto de las siguientes medidas de reparación</w:t>
      </w:r>
      <w:r w:rsidRPr="00296F43">
        <w:rPr>
          <w:sz w:val="20"/>
          <w:szCs w:val="20"/>
        </w:rPr>
        <w:t xml:space="preserve"> pendientes de acatamiento:</w:t>
      </w:r>
    </w:p>
    <w:p w14:paraId="1B3950B7" w14:textId="585CFC67" w:rsidR="00474F23" w:rsidRPr="00296F43" w:rsidRDefault="00474F23" w:rsidP="00474F23">
      <w:pPr>
        <w:pStyle w:val="Textoindependiente"/>
        <w:numPr>
          <w:ilvl w:val="0"/>
          <w:numId w:val="21"/>
        </w:numPr>
        <w:tabs>
          <w:tab w:val="left" w:pos="851"/>
        </w:tabs>
        <w:spacing w:before="120" w:after="120"/>
        <w:jc w:val="both"/>
      </w:pPr>
      <w:r w:rsidRPr="00296F43">
        <w:t xml:space="preserve">verificar la conformidad a derecho de la conducta de los funcionarios que intervinieron en los distintos procesos internos relacionados con el presente caso y, en su caso, establecer las responsabilidades que correspondan </w:t>
      </w:r>
      <w:r w:rsidRPr="00296F43">
        <w:rPr>
          <w:i/>
        </w:rPr>
        <w:t>(punto dispositivo tercero de la Sentencia)</w:t>
      </w:r>
      <w:r w:rsidRPr="00296F43">
        <w:t xml:space="preserve">, </w:t>
      </w:r>
      <w:r w:rsidR="001A7844">
        <w:t xml:space="preserve">la cual no fue valorada en la presente Resolución, </w:t>
      </w:r>
      <w:r w:rsidRPr="00296F43">
        <w:t>y</w:t>
      </w:r>
    </w:p>
    <w:p w14:paraId="38A904D7" w14:textId="6985ECE0" w:rsidR="00474F23" w:rsidRPr="00296F43" w:rsidRDefault="00474F23" w:rsidP="00474F23">
      <w:pPr>
        <w:pStyle w:val="Textoindependiente"/>
        <w:numPr>
          <w:ilvl w:val="0"/>
          <w:numId w:val="21"/>
        </w:numPr>
        <w:tabs>
          <w:tab w:val="left" w:pos="851"/>
        </w:tabs>
        <w:spacing w:before="120" w:after="120"/>
        <w:jc w:val="both"/>
      </w:pPr>
      <w:r w:rsidRPr="00296F43">
        <w:t xml:space="preserve">adoptar las medidas que sean necesarias para tipificar la venta de niños y niñas, de manera que el acto de entregar a un niño o niña a cambio de una retribución o cualquier otra compensación, cualquiera que sea su forma o fin, constituya una infracción penal, de conformidad con los estándares internacionales y lo establecido en la Sentencia </w:t>
      </w:r>
      <w:r w:rsidRPr="00296F43">
        <w:rPr>
          <w:i/>
        </w:rPr>
        <w:t xml:space="preserve">(punto dispositivo cuarto de la Sentencia). </w:t>
      </w:r>
    </w:p>
    <w:p w14:paraId="3BE0C8F9" w14:textId="07754371" w:rsidR="0037558E" w:rsidRPr="00B50866" w:rsidRDefault="0037558E" w:rsidP="00474F23">
      <w:pPr>
        <w:pStyle w:val="Prrafodelista"/>
        <w:numPr>
          <w:ilvl w:val="0"/>
          <w:numId w:val="4"/>
        </w:numPr>
        <w:spacing w:before="120" w:after="120"/>
        <w:ind w:left="0" w:firstLine="0"/>
        <w:contextualSpacing w:val="0"/>
        <w:jc w:val="both"/>
        <w:rPr>
          <w:sz w:val="20"/>
          <w:szCs w:val="20"/>
        </w:rPr>
      </w:pPr>
      <w:r w:rsidRPr="00296F43">
        <w:rPr>
          <w:sz w:val="20"/>
          <w:szCs w:val="20"/>
        </w:rPr>
        <w:t xml:space="preserve">Disponer que la República Argentina adopte, en definitiva y a la mayor brevedad posible, las medidas que sean necesarias para dar efectivo y pronto cumplimiento a las reparaciones indicadas en el punto resolutivo anterior, de acuerdo con lo considerado en la presente Resolución, y con lo estipulado en el artículo 68.1 de la Convención Americana sobre Derechos </w:t>
      </w:r>
      <w:r w:rsidRPr="00B50866">
        <w:rPr>
          <w:sz w:val="20"/>
          <w:szCs w:val="20"/>
        </w:rPr>
        <w:t xml:space="preserve">Humanos. </w:t>
      </w:r>
    </w:p>
    <w:p w14:paraId="4AAE0219" w14:textId="1ABF46B6" w:rsidR="002E01BA" w:rsidRPr="00296F43" w:rsidRDefault="0037558E" w:rsidP="00AB5A00">
      <w:pPr>
        <w:pStyle w:val="Prrafodelista"/>
        <w:widowControl/>
        <w:numPr>
          <w:ilvl w:val="0"/>
          <w:numId w:val="4"/>
        </w:numPr>
        <w:autoSpaceDE/>
        <w:autoSpaceDN/>
        <w:spacing w:before="120" w:after="120"/>
        <w:ind w:left="0" w:firstLine="0"/>
        <w:contextualSpacing w:val="0"/>
        <w:jc w:val="both"/>
        <w:rPr>
          <w:sz w:val="20"/>
          <w:szCs w:val="20"/>
        </w:rPr>
      </w:pPr>
      <w:r w:rsidRPr="00B50866">
        <w:rPr>
          <w:sz w:val="20"/>
          <w:szCs w:val="20"/>
        </w:rPr>
        <w:t xml:space="preserve">Disponer que el Estado presente a la Corte Interamericana de Derechos Humanos, a más tardar el </w:t>
      </w:r>
      <w:r w:rsidR="00EA760F">
        <w:rPr>
          <w:sz w:val="20"/>
          <w:szCs w:val="20"/>
        </w:rPr>
        <w:t>18</w:t>
      </w:r>
      <w:r w:rsidRPr="00B50866">
        <w:rPr>
          <w:sz w:val="20"/>
          <w:szCs w:val="20"/>
        </w:rPr>
        <w:t xml:space="preserve"> de </w:t>
      </w:r>
      <w:r w:rsidR="00434AF6" w:rsidRPr="00B50866">
        <w:rPr>
          <w:sz w:val="20"/>
          <w:szCs w:val="20"/>
        </w:rPr>
        <w:t>diciembre</w:t>
      </w:r>
      <w:r w:rsidRPr="00B50866">
        <w:rPr>
          <w:sz w:val="20"/>
          <w:szCs w:val="20"/>
        </w:rPr>
        <w:t xml:space="preserve"> de 2023, un informe sobre </w:t>
      </w:r>
      <w:r w:rsidR="00665FB0" w:rsidRPr="00B50866">
        <w:rPr>
          <w:sz w:val="20"/>
          <w:szCs w:val="20"/>
        </w:rPr>
        <w:t xml:space="preserve">el </w:t>
      </w:r>
      <w:r w:rsidRPr="00B50866">
        <w:rPr>
          <w:sz w:val="20"/>
          <w:szCs w:val="20"/>
        </w:rPr>
        <w:t>cumplimiento</w:t>
      </w:r>
      <w:r w:rsidR="00665FB0" w:rsidRPr="00B50866">
        <w:rPr>
          <w:sz w:val="20"/>
          <w:szCs w:val="20"/>
        </w:rPr>
        <w:t xml:space="preserve"> de la reparación ordenada en el punto dispositivo cuarto de la</w:t>
      </w:r>
      <w:r w:rsidR="00665FB0">
        <w:rPr>
          <w:sz w:val="20"/>
          <w:szCs w:val="20"/>
        </w:rPr>
        <w:t xml:space="preserve"> Sentencia</w:t>
      </w:r>
      <w:r w:rsidRPr="00296F43">
        <w:rPr>
          <w:sz w:val="20"/>
          <w:szCs w:val="20"/>
        </w:rPr>
        <w:t xml:space="preserve">, de conformidad con lo indicado en </w:t>
      </w:r>
      <w:r w:rsidR="00B50866">
        <w:rPr>
          <w:sz w:val="20"/>
          <w:szCs w:val="20"/>
        </w:rPr>
        <w:t>el C</w:t>
      </w:r>
      <w:r w:rsidRPr="00296F43">
        <w:rPr>
          <w:sz w:val="20"/>
          <w:szCs w:val="20"/>
        </w:rPr>
        <w:t>onsiderando</w:t>
      </w:r>
      <w:r w:rsidR="00B50866">
        <w:rPr>
          <w:sz w:val="20"/>
          <w:szCs w:val="20"/>
        </w:rPr>
        <w:t xml:space="preserve"> 13</w:t>
      </w:r>
      <w:r w:rsidR="002E01BA" w:rsidRPr="00296F43">
        <w:rPr>
          <w:sz w:val="20"/>
          <w:szCs w:val="20"/>
        </w:rPr>
        <w:t>.</w:t>
      </w:r>
    </w:p>
    <w:p w14:paraId="32C51F5D" w14:textId="5CECA863" w:rsidR="002E01BA" w:rsidRPr="00296F43" w:rsidRDefault="002E01BA" w:rsidP="00AB5A00">
      <w:pPr>
        <w:pStyle w:val="Prrafodelista"/>
        <w:widowControl/>
        <w:numPr>
          <w:ilvl w:val="0"/>
          <w:numId w:val="4"/>
        </w:numPr>
        <w:autoSpaceDE/>
        <w:autoSpaceDN/>
        <w:spacing w:before="120" w:after="120"/>
        <w:ind w:left="0" w:firstLine="0"/>
        <w:contextualSpacing w:val="0"/>
        <w:jc w:val="both"/>
        <w:rPr>
          <w:sz w:val="20"/>
          <w:szCs w:val="20"/>
        </w:rPr>
      </w:pPr>
      <w:r w:rsidRPr="00296F43">
        <w:rPr>
          <w:sz w:val="20"/>
          <w:szCs w:val="20"/>
        </w:rPr>
        <w:t>Disponer que l</w:t>
      </w:r>
      <w:r w:rsidR="00474F23" w:rsidRPr="00296F43">
        <w:rPr>
          <w:sz w:val="20"/>
          <w:szCs w:val="20"/>
        </w:rPr>
        <w:t>a</w:t>
      </w:r>
      <w:r w:rsidRPr="00296F43">
        <w:rPr>
          <w:sz w:val="20"/>
          <w:szCs w:val="20"/>
        </w:rPr>
        <w:t>s representantes de</w:t>
      </w:r>
      <w:r w:rsidR="00296F43" w:rsidRPr="00296F43">
        <w:rPr>
          <w:sz w:val="20"/>
          <w:szCs w:val="20"/>
        </w:rPr>
        <w:t xml:space="preserve">l señor Fornerón </w:t>
      </w:r>
      <w:r w:rsidRPr="00296F43">
        <w:rPr>
          <w:sz w:val="20"/>
          <w:szCs w:val="20"/>
        </w:rPr>
        <w:t>y la Comisión Interamericana de Derechos Humanos presenten observaciones al informe del Estado mencionado en el punto resolutivo anterior, en los plazos de cuatro y seis semanas, respectivamente, contados a partir de la recepción del informe.</w:t>
      </w:r>
    </w:p>
    <w:p w14:paraId="063C006E" w14:textId="1848DEA0" w:rsidR="00853A8C" w:rsidRDefault="002E01BA" w:rsidP="00853A8C">
      <w:pPr>
        <w:pStyle w:val="Prrafodelista"/>
        <w:widowControl/>
        <w:numPr>
          <w:ilvl w:val="0"/>
          <w:numId w:val="4"/>
        </w:numPr>
        <w:autoSpaceDE/>
        <w:autoSpaceDN/>
        <w:spacing w:before="120" w:after="120"/>
        <w:ind w:left="0" w:firstLine="0"/>
        <w:contextualSpacing w:val="0"/>
        <w:jc w:val="both"/>
        <w:rPr>
          <w:sz w:val="20"/>
          <w:szCs w:val="20"/>
        </w:rPr>
      </w:pPr>
      <w:r w:rsidRPr="00296F43">
        <w:rPr>
          <w:sz w:val="20"/>
          <w:szCs w:val="20"/>
        </w:rPr>
        <w:t>Disponer que la Secretaría de la Corte notifique la presente Resolución al Estado, a los representantes de la víctima y a la Comisión Interamericana de Derechos Humanos.</w:t>
      </w:r>
    </w:p>
    <w:p w14:paraId="49DC771E" w14:textId="77777777" w:rsidR="00E36749" w:rsidRDefault="00E36749" w:rsidP="00E36749">
      <w:pPr>
        <w:widowControl/>
        <w:autoSpaceDE/>
        <w:autoSpaceDN/>
        <w:spacing w:before="120" w:after="120"/>
        <w:jc w:val="both"/>
        <w:rPr>
          <w:sz w:val="20"/>
          <w:szCs w:val="20"/>
        </w:rPr>
      </w:pPr>
    </w:p>
    <w:p w14:paraId="0708F312" w14:textId="77777777" w:rsidR="00E36749" w:rsidRDefault="00E36749" w:rsidP="00E36749">
      <w:pPr>
        <w:widowControl/>
        <w:autoSpaceDE/>
        <w:autoSpaceDN/>
        <w:spacing w:before="120" w:after="120"/>
        <w:jc w:val="both"/>
        <w:rPr>
          <w:sz w:val="20"/>
          <w:szCs w:val="20"/>
        </w:rPr>
      </w:pPr>
    </w:p>
    <w:p w14:paraId="28ACF350" w14:textId="77777777" w:rsidR="00E36749" w:rsidRDefault="00E36749" w:rsidP="00E36749">
      <w:pPr>
        <w:widowControl/>
        <w:autoSpaceDE/>
        <w:autoSpaceDN/>
        <w:spacing w:before="120" w:after="120"/>
        <w:jc w:val="both"/>
        <w:rPr>
          <w:sz w:val="20"/>
          <w:szCs w:val="20"/>
        </w:rPr>
      </w:pPr>
    </w:p>
    <w:p w14:paraId="0F4D770B" w14:textId="77777777" w:rsidR="00E36749" w:rsidRDefault="00E36749" w:rsidP="00E36749">
      <w:pPr>
        <w:widowControl/>
        <w:autoSpaceDE/>
        <w:autoSpaceDN/>
        <w:spacing w:before="120" w:after="120"/>
        <w:jc w:val="both"/>
        <w:rPr>
          <w:sz w:val="20"/>
          <w:szCs w:val="20"/>
        </w:rPr>
      </w:pPr>
    </w:p>
    <w:p w14:paraId="3B754B23" w14:textId="77777777" w:rsidR="00E36749" w:rsidRDefault="00E36749" w:rsidP="00E36749">
      <w:pPr>
        <w:jc w:val="both"/>
        <w:rPr>
          <w:sz w:val="20"/>
          <w:lang w:val="es-ES"/>
        </w:rPr>
      </w:pPr>
      <w:r>
        <w:rPr>
          <w:sz w:val="20"/>
          <w:lang w:val="pt-BR"/>
        </w:rPr>
        <w:lastRenderedPageBreak/>
        <w:t>Corte IDH.</w:t>
      </w:r>
      <w:r>
        <w:rPr>
          <w:i/>
          <w:iCs/>
          <w:sz w:val="20"/>
          <w:lang w:val="pt-BR"/>
        </w:rPr>
        <w:t xml:space="preserve"> Caso</w:t>
      </w:r>
      <w:r>
        <w:rPr>
          <w:sz w:val="20"/>
          <w:lang w:val="pt-BR"/>
        </w:rPr>
        <w:t xml:space="preserve"> </w:t>
      </w:r>
      <w:proofErr w:type="spellStart"/>
      <w:r>
        <w:rPr>
          <w:i/>
          <w:sz w:val="20"/>
          <w:lang w:val="pt-BR"/>
        </w:rPr>
        <w:t>Fornerón</w:t>
      </w:r>
      <w:proofErr w:type="spellEnd"/>
      <w:r>
        <w:rPr>
          <w:i/>
          <w:sz w:val="20"/>
          <w:lang w:val="pt-BR"/>
        </w:rPr>
        <w:t xml:space="preserve"> e </w:t>
      </w:r>
      <w:proofErr w:type="spellStart"/>
      <w:r>
        <w:rPr>
          <w:i/>
          <w:sz w:val="20"/>
          <w:lang w:val="pt-BR"/>
        </w:rPr>
        <w:t>hija</w:t>
      </w:r>
      <w:proofErr w:type="spellEnd"/>
      <w:r>
        <w:rPr>
          <w:i/>
          <w:sz w:val="20"/>
          <w:lang w:val="pt-BR"/>
        </w:rPr>
        <w:t xml:space="preserve"> Vs. </w:t>
      </w:r>
      <w:r>
        <w:rPr>
          <w:i/>
          <w:sz w:val="20"/>
        </w:rPr>
        <w:t xml:space="preserve">Argentina. </w:t>
      </w:r>
      <w:r>
        <w:rPr>
          <w:iCs/>
          <w:sz w:val="20"/>
        </w:rPr>
        <w:t>Supervisión de Cumplimiento de Sentencia</w:t>
      </w:r>
      <w:r>
        <w:rPr>
          <w:sz w:val="20"/>
          <w:lang w:val="es-ES"/>
        </w:rPr>
        <w:t xml:space="preserve">. </w:t>
      </w:r>
      <w:r>
        <w:rPr>
          <w:iCs/>
          <w:sz w:val="20"/>
        </w:rPr>
        <w:t xml:space="preserve">Resolución de la Corte Interamericana de Derechos Humanos </w:t>
      </w:r>
      <w:r>
        <w:rPr>
          <w:sz w:val="20"/>
          <w:lang w:val="es-ES"/>
        </w:rPr>
        <w:t>de 18 de octubre de 2023.</w:t>
      </w:r>
    </w:p>
    <w:p w14:paraId="1DD05FB9" w14:textId="77777777" w:rsidR="00E36749" w:rsidRDefault="00E36749" w:rsidP="00E36749">
      <w:pPr>
        <w:jc w:val="center"/>
        <w:rPr>
          <w:sz w:val="20"/>
          <w:lang w:val="es-ES"/>
        </w:rPr>
      </w:pPr>
    </w:p>
    <w:p w14:paraId="5DF50629" w14:textId="77777777" w:rsidR="00E36749" w:rsidRDefault="00E36749" w:rsidP="00E36749">
      <w:pPr>
        <w:jc w:val="center"/>
        <w:rPr>
          <w:sz w:val="20"/>
          <w:lang w:val="es-ES"/>
        </w:rPr>
      </w:pPr>
    </w:p>
    <w:p w14:paraId="692E0779" w14:textId="77777777" w:rsidR="00E36749" w:rsidRDefault="00E36749" w:rsidP="00E36749">
      <w:pPr>
        <w:rPr>
          <w:sz w:val="20"/>
          <w:lang w:val="es-ES"/>
        </w:rPr>
      </w:pPr>
    </w:p>
    <w:p w14:paraId="25E19EDA" w14:textId="77777777" w:rsidR="00E36749" w:rsidRDefault="00E36749" w:rsidP="00E36749">
      <w:pPr>
        <w:jc w:val="center"/>
        <w:rPr>
          <w:sz w:val="20"/>
          <w:lang w:val="es-ES"/>
        </w:rPr>
      </w:pPr>
    </w:p>
    <w:p w14:paraId="5B97C844" w14:textId="77777777" w:rsidR="00E36749" w:rsidRDefault="00E36749" w:rsidP="00E36749">
      <w:pPr>
        <w:jc w:val="center"/>
        <w:rPr>
          <w:sz w:val="20"/>
          <w:lang w:val="es-ES"/>
        </w:rPr>
      </w:pPr>
      <w:r>
        <w:rPr>
          <w:sz w:val="20"/>
          <w:lang w:val="es-ES"/>
        </w:rPr>
        <w:t>Ricardo C. Pérez Manrique</w:t>
      </w:r>
    </w:p>
    <w:p w14:paraId="68EAC5F2" w14:textId="77777777" w:rsidR="00E36749" w:rsidRDefault="00E36749" w:rsidP="00E36749">
      <w:pPr>
        <w:jc w:val="center"/>
        <w:rPr>
          <w:sz w:val="20"/>
          <w:lang w:val="es-ES"/>
        </w:rPr>
      </w:pPr>
      <w:r>
        <w:rPr>
          <w:sz w:val="20"/>
          <w:lang w:val="es-ES"/>
        </w:rPr>
        <w:t>Presidente</w:t>
      </w:r>
    </w:p>
    <w:p w14:paraId="11B8CEAD" w14:textId="77777777" w:rsidR="00E36749" w:rsidRDefault="00E36749" w:rsidP="00E36749">
      <w:pPr>
        <w:jc w:val="center"/>
        <w:rPr>
          <w:sz w:val="20"/>
          <w:lang w:val="es-ES"/>
        </w:rPr>
      </w:pPr>
    </w:p>
    <w:p w14:paraId="79DD7CB0" w14:textId="77777777" w:rsidR="00E36749" w:rsidRDefault="00E36749" w:rsidP="00E36749">
      <w:pPr>
        <w:rPr>
          <w:sz w:val="20"/>
          <w:lang w:val="es-ES"/>
        </w:rPr>
      </w:pPr>
    </w:p>
    <w:p w14:paraId="095FE3D4" w14:textId="77777777" w:rsidR="00E36749" w:rsidRDefault="00E36749" w:rsidP="00E36749">
      <w:pPr>
        <w:rPr>
          <w:sz w:val="20"/>
          <w:lang w:val="es-ES"/>
        </w:rPr>
      </w:pPr>
    </w:p>
    <w:p w14:paraId="3EB3E454" w14:textId="77777777" w:rsidR="00E36749" w:rsidRDefault="00E36749" w:rsidP="00E36749">
      <w:pPr>
        <w:rPr>
          <w:sz w:val="20"/>
          <w:lang w:val="es-ES"/>
        </w:rPr>
      </w:pPr>
    </w:p>
    <w:p w14:paraId="164B39B8" w14:textId="77777777" w:rsidR="00E36749" w:rsidRDefault="00E36749" w:rsidP="00E36749">
      <w:pPr>
        <w:rPr>
          <w:sz w:val="20"/>
          <w:lang w:val="es-ES"/>
        </w:rPr>
      </w:pPr>
      <w:r>
        <w:rPr>
          <w:sz w:val="20"/>
          <w:lang w:val="es-ES"/>
        </w:rPr>
        <w:t xml:space="preserve"> Eduardo Ferrer Mac-Gregor Poisot                                    Humberto Antonio Sierra Porto                                                                                                                                                </w:t>
      </w:r>
      <w:r>
        <w:rPr>
          <w:sz w:val="20"/>
          <w:lang w:val="es-ES"/>
        </w:rPr>
        <w:tab/>
      </w:r>
      <w:r>
        <w:rPr>
          <w:sz w:val="20"/>
          <w:lang w:val="es-ES"/>
        </w:rPr>
        <w:tab/>
      </w:r>
      <w:r>
        <w:rPr>
          <w:sz w:val="20"/>
          <w:lang w:val="es-ES"/>
        </w:rPr>
        <w:tab/>
      </w:r>
      <w:r>
        <w:rPr>
          <w:sz w:val="20"/>
          <w:lang w:val="es-ES"/>
        </w:rPr>
        <w:tab/>
      </w:r>
    </w:p>
    <w:p w14:paraId="5EF1FB18" w14:textId="77777777" w:rsidR="00E36749" w:rsidRDefault="00E36749" w:rsidP="00E36749">
      <w:pPr>
        <w:rPr>
          <w:sz w:val="20"/>
          <w:lang w:val="es-ES"/>
        </w:rPr>
      </w:pPr>
    </w:p>
    <w:p w14:paraId="043AAADA" w14:textId="77777777" w:rsidR="00E36749" w:rsidRDefault="00E36749" w:rsidP="00E36749">
      <w:pPr>
        <w:rPr>
          <w:sz w:val="20"/>
          <w:lang w:val="es-ES"/>
        </w:rPr>
      </w:pPr>
    </w:p>
    <w:p w14:paraId="59B92C95" w14:textId="77777777" w:rsidR="00E36749" w:rsidRDefault="00E36749" w:rsidP="00E36749">
      <w:pPr>
        <w:rPr>
          <w:sz w:val="20"/>
          <w:lang w:val="es-ES"/>
        </w:rPr>
      </w:pPr>
    </w:p>
    <w:p w14:paraId="427B0F33" w14:textId="77777777" w:rsidR="00E36749" w:rsidRDefault="00E36749" w:rsidP="00E36749">
      <w:pPr>
        <w:rPr>
          <w:sz w:val="20"/>
          <w:lang w:val="es-ES"/>
        </w:rPr>
      </w:pPr>
    </w:p>
    <w:p w14:paraId="0602F2CB" w14:textId="77777777" w:rsidR="00E36749" w:rsidRDefault="00E36749" w:rsidP="00E36749">
      <w:pPr>
        <w:rPr>
          <w:sz w:val="20"/>
          <w:lang w:val="es-ES"/>
        </w:rPr>
      </w:pPr>
      <w:r>
        <w:rPr>
          <w:sz w:val="20"/>
          <w:lang w:val="es-ES"/>
        </w:rPr>
        <w:t>Nancy Hernández López                                                              Patricia Pérez Goldberg</w:t>
      </w:r>
    </w:p>
    <w:p w14:paraId="3A29125D" w14:textId="77777777" w:rsidR="00E36749" w:rsidRDefault="00E36749" w:rsidP="00E36749">
      <w:pPr>
        <w:rPr>
          <w:sz w:val="20"/>
          <w:lang w:val="es-ES"/>
        </w:rPr>
      </w:pPr>
    </w:p>
    <w:p w14:paraId="54B2519A" w14:textId="77777777" w:rsidR="00E36749" w:rsidRDefault="00E36749" w:rsidP="00E36749">
      <w:pPr>
        <w:rPr>
          <w:sz w:val="20"/>
          <w:lang w:val="es-ES"/>
        </w:rPr>
      </w:pPr>
    </w:p>
    <w:p w14:paraId="62D16840" w14:textId="77777777" w:rsidR="00E36749" w:rsidRDefault="00E36749" w:rsidP="00E36749">
      <w:pPr>
        <w:rPr>
          <w:sz w:val="20"/>
          <w:lang w:val="es-ES"/>
        </w:rPr>
      </w:pPr>
    </w:p>
    <w:p w14:paraId="16993D5D" w14:textId="77777777" w:rsidR="00E36749" w:rsidRDefault="00E36749" w:rsidP="00E36749">
      <w:pPr>
        <w:rPr>
          <w:rFonts w:cs="Arial"/>
          <w:color w:val="212529"/>
          <w:sz w:val="20"/>
          <w:lang w:val="es-ES"/>
        </w:rPr>
      </w:pPr>
    </w:p>
    <w:p w14:paraId="0FD3D1A9" w14:textId="77777777" w:rsidR="00E36749" w:rsidRDefault="00E36749" w:rsidP="00E36749">
      <w:pPr>
        <w:jc w:val="center"/>
        <w:rPr>
          <w:rFonts w:cs="Times New Roman"/>
          <w:sz w:val="20"/>
          <w:lang w:val="es-ES"/>
        </w:rPr>
      </w:pPr>
      <w:r>
        <w:rPr>
          <w:rFonts w:cs="Arial"/>
          <w:color w:val="212529"/>
          <w:sz w:val="20"/>
          <w:lang w:val="es-ES"/>
        </w:rPr>
        <w:t>Rodrigo Mudrovitsch</w:t>
      </w:r>
    </w:p>
    <w:p w14:paraId="4C1EEEB3" w14:textId="77777777" w:rsidR="00E36749" w:rsidRDefault="00E36749" w:rsidP="00E36749">
      <w:pPr>
        <w:rPr>
          <w:sz w:val="20"/>
          <w:lang w:val="es-ES"/>
        </w:rPr>
      </w:pPr>
    </w:p>
    <w:p w14:paraId="59B82C9B" w14:textId="77777777" w:rsidR="00E36749" w:rsidRDefault="00E36749" w:rsidP="00E36749">
      <w:pPr>
        <w:rPr>
          <w:sz w:val="20"/>
          <w:lang w:val="es-ES"/>
        </w:rPr>
      </w:pPr>
    </w:p>
    <w:p w14:paraId="09941F83" w14:textId="77777777" w:rsidR="00E36749" w:rsidRDefault="00E36749" w:rsidP="00E36749">
      <w:pPr>
        <w:rPr>
          <w:sz w:val="20"/>
          <w:lang w:val="es-ES"/>
        </w:rPr>
      </w:pPr>
    </w:p>
    <w:p w14:paraId="128998F8" w14:textId="77777777" w:rsidR="00E36749" w:rsidRDefault="00E36749" w:rsidP="00E36749">
      <w:pPr>
        <w:rPr>
          <w:sz w:val="20"/>
          <w:lang w:val="es-ES"/>
        </w:rPr>
      </w:pPr>
    </w:p>
    <w:p w14:paraId="43BE144C" w14:textId="77777777" w:rsidR="00E36749" w:rsidRDefault="00E36749" w:rsidP="00E36749">
      <w:pPr>
        <w:rPr>
          <w:sz w:val="20"/>
          <w:lang w:val="es-ES"/>
        </w:rPr>
      </w:pPr>
    </w:p>
    <w:p w14:paraId="6E1D75E8" w14:textId="77777777" w:rsidR="00E36749" w:rsidRDefault="00E36749" w:rsidP="00E36749">
      <w:pPr>
        <w:rPr>
          <w:sz w:val="20"/>
          <w:lang w:val="es-ES"/>
        </w:rPr>
      </w:pPr>
    </w:p>
    <w:p w14:paraId="7B413E5D" w14:textId="77777777" w:rsidR="00E36749" w:rsidRDefault="00E36749" w:rsidP="00E36749">
      <w:pPr>
        <w:jc w:val="center"/>
        <w:rPr>
          <w:sz w:val="20"/>
          <w:lang w:val="pt-BR"/>
        </w:rPr>
      </w:pPr>
      <w:r>
        <w:rPr>
          <w:sz w:val="20"/>
          <w:lang w:val="pt-BR"/>
        </w:rPr>
        <w:t>Pablo Saavedra Alessandri</w:t>
      </w:r>
    </w:p>
    <w:p w14:paraId="11026402" w14:textId="77777777" w:rsidR="00E36749" w:rsidRDefault="00E36749" w:rsidP="00E36749">
      <w:pPr>
        <w:jc w:val="center"/>
        <w:rPr>
          <w:sz w:val="20"/>
          <w:lang w:val="pt-BR"/>
        </w:rPr>
      </w:pPr>
      <w:r>
        <w:rPr>
          <w:sz w:val="20"/>
          <w:lang w:val="pt-BR"/>
        </w:rPr>
        <w:t>Secretario</w:t>
      </w:r>
    </w:p>
    <w:p w14:paraId="23C35BB2" w14:textId="77777777" w:rsidR="00E36749" w:rsidRDefault="00E36749" w:rsidP="00E36749">
      <w:pPr>
        <w:pStyle w:val="Textonotapie"/>
        <w:rPr>
          <w:lang w:val="pt-BR"/>
        </w:rPr>
      </w:pPr>
    </w:p>
    <w:p w14:paraId="18A193A2" w14:textId="77777777" w:rsidR="00E36749" w:rsidRDefault="00E36749" w:rsidP="00E36749">
      <w:pPr>
        <w:pStyle w:val="Textonotapie"/>
        <w:rPr>
          <w:lang w:val="pt-BR"/>
        </w:rPr>
      </w:pPr>
    </w:p>
    <w:p w14:paraId="09A96AC6" w14:textId="77777777" w:rsidR="00E36749" w:rsidRDefault="00E36749" w:rsidP="00E36749">
      <w:pPr>
        <w:jc w:val="both"/>
        <w:rPr>
          <w:sz w:val="20"/>
          <w:lang w:val="pt-BR"/>
        </w:rPr>
      </w:pPr>
      <w:proofErr w:type="spellStart"/>
      <w:r>
        <w:rPr>
          <w:sz w:val="20"/>
          <w:lang w:val="pt-BR"/>
        </w:rPr>
        <w:t>Comuníquese</w:t>
      </w:r>
      <w:proofErr w:type="spellEnd"/>
      <w:r>
        <w:rPr>
          <w:sz w:val="20"/>
          <w:lang w:val="pt-BR"/>
        </w:rPr>
        <w:t xml:space="preserve"> y ejecútese,</w:t>
      </w:r>
    </w:p>
    <w:p w14:paraId="4371D4E4" w14:textId="77777777" w:rsidR="00E36749" w:rsidRDefault="00E36749" w:rsidP="00E36749">
      <w:pPr>
        <w:rPr>
          <w:sz w:val="20"/>
          <w:lang w:val="pt-BR"/>
        </w:rPr>
      </w:pPr>
    </w:p>
    <w:p w14:paraId="01011A0E" w14:textId="77777777" w:rsidR="00E36749" w:rsidRDefault="00E36749" w:rsidP="00E36749">
      <w:pPr>
        <w:jc w:val="center"/>
        <w:rPr>
          <w:sz w:val="20"/>
          <w:lang w:val="pt-BR"/>
        </w:rPr>
      </w:pPr>
    </w:p>
    <w:p w14:paraId="22513BCB" w14:textId="77777777" w:rsidR="00E36749" w:rsidRDefault="00E36749" w:rsidP="00E36749">
      <w:pPr>
        <w:jc w:val="right"/>
        <w:rPr>
          <w:sz w:val="20"/>
          <w:lang w:val="pt-BR"/>
        </w:rPr>
      </w:pPr>
    </w:p>
    <w:p w14:paraId="216F90C6" w14:textId="21EB344E" w:rsidR="00E36749" w:rsidRDefault="00E36749" w:rsidP="00E36749">
      <w:pPr>
        <w:jc w:val="center"/>
        <w:rPr>
          <w:sz w:val="20"/>
          <w:lang w:val="pt-BR"/>
        </w:rPr>
      </w:pPr>
      <w:r>
        <w:rPr>
          <w:sz w:val="20"/>
          <w:lang w:val="pt-BR"/>
        </w:rPr>
        <w:t xml:space="preserve">                                                                                       Ricardo C. Pérez Manrique</w:t>
      </w:r>
    </w:p>
    <w:p w14:paraId="5011B97C" w14:textId="77777777" w:rsidR="00E36749" w:rsidRDefault="00E36749" w:rsidP="00E36749">
      <w:pPr>
        <w:ind w:left="6480" w:firstLine="720"/>
        <w:rPr>
          <w:sz w:val="20"/>
          <w:lang w:val="pt-BR"/>
        </w:rPr>
      </w:pPr>
      <w:r>
        <w:rPr>
          <w:sz w:val="20"/>
          <w:lang w:val="pt-BR"/>
        </w:rPr>
        <w:t xml:space="preserve">     Presidente</w:t>
      </w:r>
    </w:p>
    <w:p w14:paraId="18CDAFDD" w14:textId="77777777" w:rsidR="00E36749" w:rsidRDefault="00E36749" w:rsidP="00E36749">
      <w:pPr>
        <w:jc w:val="both"/>
        <w:rPr>
          <w:sz w:val="20"/>
          <w:lang w:val="pt-BR"/>
        </w:rPr>
      </w:pPr>
    </w:p>
    <w:p w14:paraId="28D1B9CF" w14:textId="77777777" w:rsidR="00E36749" w:rsidRDefault="00E36749" w:rsidP="00E36749">
      <w:pPr>
        <w:jc w:val="both"/>
        <w:rPr>
          <w:sz w:val="20"/>
          <w:lang w:val="pt-BR"/>
        </w:rPr>
      </w:pPr>
    </w:p>
    <w:p w14:paraId="63079B74" w14:textId="77777777" w:rsidR="00E36749" w:rsidRDefault="00E36749" w:rsidP="00E36749">
      <w:pPr>
        <w:jc w:val="both"/>
        <w:rPr>
          <w:sz w:val="20"/>
          <w:lang w:val="pt-BR"/>
        </w:rPr>
      </w:pPr>
    </w:p>
    <w:p w14:paraId="793D03FA" w14:textId="77777777" w:rsidR="00E36749" w:rsidRDefault="00E36749" w:rsidP="00E36749">
      <w:pPr>
        <w:jc w:val="both"/>
        <w:rPr>
          <w:sz w:val="20"/>
          <w:lang w:val="pt-BR"/>
        </w:rPr>
      </w:pPr>
    </w:p>
    <w:p w14:paraId="25E07BD7" w14:textId="77777777" w:rsidR="00E36749" w:rsidRDefault="00E36749" w:rsidP="00E36749">
      <w:pPr>
        <w:jc w:val="both"/>
        <w:rPr>
          <w:sz w:val="20"/>
          <w:lang w:val="pt-BR"/>
        </w:rPr>
      </w:pPr>
      <w:r>
        <w:rPr>
          <w:sz w:val="20"/>
          <w:lang w:val="pt-BR"/>
        </w:rPr>
        <w:t>Pablo Saavedra Alessandri</w:t>
      </w:r>
    </w:p>
    <w:p w14:paraId="2FFBB6AE" w14:textId="77777777" w:rsidR="00E36749" w:rsidRDefault="00E36749" w:rsidP="00E36749">
      <w:pPr>
        <w:rPr>
          <w:rFonts w:ascii="Times" w:hAnsi="Times"/>
          <w:sz w:val="24"/>
          <w:lang w:val="pt-BR"/>
        </w:rPr>
      </w:pPr>
      <w:r>
        <w:rPr>
          <w:sz w:val="20"/>
          <w:lang w:val="pt-BR"/>
        </w:rPr>
        <w:t xml:space="preserve">          Secretario</w:t>
      </w:r>
    </w:p>
    <w:p w14:paraId="0C7E0B8C" w14:textId="77777777" w:rsidR="00E36749" w:rsidRPr="00E36749" w:rsidRDefault="00E36749" w:rsidP="00E36749">
      <w:pPr>
        <w:widowControl/>
        <w:autoSpaceDE/>
        <w:autoSpaceDN/>
        <w:spacing w:before="120" w:after="120"/>
        <w:jc w:val="both"/>
        <w:rPr>
          <w:sz w:val="20"/>
          <w:szCs w:val="20"/>
        </w:rPr>
      </w:pPr>
    </w:p>
    <w:sectPr w:rsidR="00E36749" w:rsidRPr="00E36749" w:rsidSect="00341044">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4F38D" w14:textId="77777777" w:rsidR="00D930BD" w:rsidRDefault="00D930BD" w:rsidP="00026B50">
      <w:r>
        <w:separator/>
      </w:r>
    </w:p>
  </w:endnote>
  <w:endnote w:type="continuationSeparator" w:id="0">
    <w:p w14:paraId="3C6BE5E7" w14:textId="77777777" w:rsidR="00D930BD" w:rsidRDefault="00D930BD" w:rsidP="0002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IDFont+F4">
    <w:altName w:val="Calibri"/>
    <w:panose1 w:val="00000000000000000000"/>
    <w:charset w:val="00"/>
    <w:family w:val="auto"/>
    <w:notTrueType/>
    <w:pitch w:val="default"/>
    <w:sig w:usb0="00000003" w:usb1="00000000" w:usb2="00000000" w:usb3="00000000" w:csb0="00000001" w:csb1="00000000"/>
  </w:font>
  <w:font w:name="BookmanOldStyle">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281681"/>
      <w:docPartObj>
        <w:docPartGallery w:val="Page Numbers (Bottom of Page)"/>
        <w:docPartUnique/>
      </w:docPartObj>
    </w:sdtPr>
    <w:sdtContent>
      <w:p w14:paraId="325CC750" w14:textId="6E7394DA" w:rsidR="000E671C" w:rsidRDefault="000E671C" w:rsidP="007F0004">
        <w:pPr>
          <w:pStyle w:val="Piedepgina"/>
          <w:jc w:val="center"/>
        </w:pPr>
        <w:r>
          <w:t>-</w:t>
        </w:r>
        <w:r>
          <w:fldChar w:fldCharType="begin"/>
        </w:r>
        <w:r>
          <w:instrText>PAGE   \* MERGEFORMAT</w:instrText>
        </w:r>
        <w:r>
          <w:fldChar w:fldCharType="separate"/>
        </w:r>
        <w:r w:rsidR="002C2498" w:rsidRPr="002C2498">
          <w:rPr>
            <w:noProof/>
            <w:lang w:val="es-ES"/>
          </w:rPr>
          <w:t>12</w:t>
        </w:r>
        <w:r>
          <w:fldChar w:fldCharType="end"/>
        </w:r>
        <w:r>
          <w:t xml:space="preserve">- </w:t>
        </w:r>
      </w:p>
    </w:sdtContent>
  </w:sdt>
  <w:p w14:paraId="2C571444" w14:textId="77777777" w:rsidR="000E671C" w:rsidRDefault="000E67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E982" w14:textId="77777777" w:rsidR="00D930BD" w:rsidRDefault="00D930BD" w:rsidP="00026B50">
      <w:r>
        <w:separator/>
      </w:r>
    </w:p>
  </w:footnote>
  <w:footnote w:type="continuationSeparator" w:id="0">
    <w:p w14:paraId="071DE302" w14:textId="77777777" w:rsidR="00D930BD" w:rsidRDefault="00D930BD" w:rsidP="00026B50">
      <w:r>
        <w:continuationSeparator/>
      </w:r>
    </w:p>
  </w:footnote>
  <w:footnote w:id="1">
    <w:p w14:paraId="6A6AC7CA" w14:textId="74D681E5" w:rsidR="00C35EBF" w:rsidRPr="00D20B06" w:rsidRDefault="00C35EBF" w:rsidP="00C35EBF">
      <w:pPr>
        <w:pStyle w:val="Textonotapie"/>
        <w:tabs>
          <w:tab w:val="left" w:pos="567"/>
        </w:tabs>
        <w:contextualSpacing/>
        <w:jc w:val="both"/>
        <w:rPr>
          <w:sz w:val="16"/>
          <w:szCs w:val="16"/>
        </w:rPr>
      </w:pPr>
      <w:r w:rsidRPr="00D20B06">
        <w:rPr>
          <w:sz w:val="16"/>
          <w:szCs w:val="16"/>
          <w:vertAlign w:val="superscript"/>
        </w:rPr>
        <w:t>*</w:t>
      </w:r>
      <w:r w:rsidRPr="00D20B06">
        <w:rPr>
          <w:sz w:val="16"/>
          <w:szCs w:val="16"/>
        </w:rPr>
        <w:tab/>
      </w:r>
      <w:r w:rsidR="009278E6" w:rsidRPr="00D20B06">
        <w:rPr>
          <w:sz w:val="16"/>
          <w:szCs w:val="16"/>
        </w:rPr>
        <w:t>La Jueza Verónica Gómez, de nacionalidad argentina, no participó en la deliberación de la presente Resolución, de conformidad con lo dispuesto en el artículo 19.1 del Reglamento de la Corte.</w:t>
      </w:r>
    </w:p>
    <w:p w14:paraId="1D7F7563" w14:textId="113D7CA8" w:rsidR="00C35EBF" w:rsidRPr="00D20B06" w:rsidRDefault="00C35EBF" w:rsidP="00C35EBF">
      <w:pPr>
        <w:pStyle w:val="Textonotapie"/>
        <w:tabs>
          <w:tab w:val="left" w:pos="567"/>
        </w:tabs>
        <w:contextualSpacing/>
        <w:jc w:val="both"/>
        <w:rPr>
          <w:sz w:val="16"/>
          <w:szCs w:val="16"/>
        </w:rPr>
      </w:pPr>
      <w:r w:rsidRPr="00D20B06">
        <w:rPr>
          <w:rStyle w:val="Refdenotaalpie"/>
          <w:sz w:val="16"/>
          <w:szCs w:val="16"/>
        </w:rPr>
        <w:footnoteRef/>
      </w:r>
      <w:r w:rsidRPr="00D20B06">
        <w:rPr>
          <w:sz w:val="16"/>
          <w:szCs w:val="16"/>
        </w:rPr>
        <w:t xml:space="preserve"> </w:t>
      </w:r>
      <w:r w:rsidRPr="00D20B06">
        <w:rPr>
          <w:sz w:val="16"/>
          <w:szCs w:val="16"/>
        </w:rPr>
        <w:tab/>
      </w:r>
      <w:r w:rsidR="00EA5CB7" w:rsidRPr="00EA5CB7">
        <w:rPr>
          <w:i/>
          <w:iCs/>
          <w:sz w:val="16"/>
          <w:szCs w:val="16"/>
        </w:rPr>
        <w:t xml:space="preserve">Cfr. Caso Fornerón e hija Vs. Argentina. Fondo, Reparaciones y Costas. </w:t>
      </w:r>
      <w:r w:rsidR="00EA5CB7" w:rsidRPr="00EA5CB7">
        <w:rPr>
          <w:sz w:val="16"/>
          <w:szCs w:val="16"/>
        </w:rPr>
        <w:t xml:space="preserve">Sentencia de 27 de abril de 2012. Serie C No. 242. Disponible en: </w:t>
      </w:r>
      <w:hyperlink r:id="rId1" w:history="1">
        <w:r w:rsidR="008806E7" w:rsidRPr="00572867">
          <w:rPr>
            <w:rStyle w:val="Hipervnculo"/>
            <w:sz w:val="16"/>
            <w:szCs w:val="16"/>
          </w:rPr>
          <w:t>http://corteidh.or.cr/docs/casos/articulos/seriec_242_esp.pdf</w:t>
        </w:r>
      </w:hyperlink>
      <w:r w:rsidR="00EA5CB7" w:rsidRPr="00EA5CB7">
        <w:rPr>
          <w:sz w:val="16"/>
          <w:szCs w:val="16"/>
        </w:rPr>
        <w:t>. La Sentencia fue notificada el 1 de junio de 2012.</w:t>
      </w:r>
    </w:p>
  </w:footnote>
  <w:footnote w:id="2">
    <w:p w14:paraId="21A1CC29" w14:textId="3D854032" w:rsidR="00EA5CB7" w:rsidRPr="00EA5CB7" w:rsidRDefault="00EA5CB7" w:rsidP="00EA5CB7">
      <w:pPr>
        <w:pStyle w:val="Textonotapie"/>
        <w:jc w:val="both"/>
        <w:rPr>
          <w:sz w:val="16"/>
          <w:szCs w:val="16"/>
          <w:lang w:val="es-ES"/>
        </w:rPr>
      </w:pPr>
      <w:r w:rsidRPr="00EA5CB7">
        <w:rPr>
          <w:rStyle w:val="Refdenotaalpie"/>
          <w:sz w:val="16"/>
          <w:szCs w:val="16"/>
        </w:rPr>
        <w:footnoteRef/>
      </w:r>
      <w:r w:rsidRPr="00EA5CB7">
        <w:rPr>
          <w:sz w:val="16"/>
          <w:szCs w:val="16"/>
        </w:rPr>
        <w:t xml:space="preserve"> </w:t>
      </w:r>
      <w:r w:rsidRPr="00EA5CB7">
        <w:rPr>
          <w:sz w:val="16"/>
          <w:szCs w:val="16"/>
          <w:lang w:val="es-ES"/>
        </w:rPr>
        <w:tab/>
      </w:r>
      <w:r w:rsidRPr="00EA5CB7">
        <w:rPr>
          <w:i/>
          <w:iCs/>
          <w:sz w:val="16"/>
          <w:szCs w:val="16"/>
        </w:rPr>
        <w:t xml:space="preserve">Cfr. Casos Torres Millacura y otros, </w:t>
      </w:r>
      <w:proofErr w:type="spellStart"/>
      <w:r w:rsidRPr="00EA5CB7">
        <w:rPr>
          <w:i/>
          <w:iCs/>
          <w:sz w:val="16"/>
          <w:szCs w:val="16"/>
        </w:rPr>
        <w:t>Fornerón</w:t>
      </w:r>
      <w:proofErr w:type="spellEnd"/>
      <w:r w:rsidRPr="00EA5CB7">
        <w:rPr>
          <w:i/>
          <w:iCs/>
          <w:sz w:val="16"/>
          <w:szCs w:val="16"/>
        </w:rPr>
        <w:t xml:space="preserve"> e hija, </w:t>
      </w:r>
      <w:proofErr w:type="spellStart"/>
      <w:r w:rsidRPr="00EA5CB7">
        <w:rPr>
          <w:i/>
          <w:iCs/>
          <w:sz w:val="16"/>
          <w:szCs w:val="16"/>
        </w:rPr>
        <w:t>Furlan</w:t>
      </w:r>
      <w:proofErr w:type="spellEnd"/>
      <w:r w:rsidRPr="00EA5CB7">
        <w:rPr>
          <w:i/>
          <w:iCs/>
          <w:sz w:val="16"/>
          <w:szCs w:val="16"/>
        </w:rPr>
        <w:t xml:space="preserve"> y familiares, Mohamed y Mendoza y otros Vs. Argentina. Reintegro al Fondo de Asistencia Legal de Víctimas. </w:t>
      </w:r>
      <w:r w:rsidRPr="00EA5CB7">
        <w:rPr>
          <w:sz w:val="16"/>
          <w:szCs w:val="16"/>
        </w:rPr>
        <w:t xml:space="preserve">Resolución de la Corte Interamericana de Derechos Humanos de 26 de enero de 2015. Disponible en </w:t>
      </w:r>
      <w:hyperlink r:id="rId2" w:history="1">
        <w:r w:rsidR="008806E7" w:rsidRPr="00572867">
          <w:rPr>
            <w:rStyle w:val="Hipervnculo"/>
            <w:sz w:val="16"/>
            <w:szCs w:val="16"/>
          </w:rPr>
          <w:t>http://www.corteidh.or.cr/docs/asuntos/torres_forneron_furlan_mohamed_fv_2015.pdf</w:t>
        </w:r>
      </w:hyperlink>
      <w:r w:rsidRPr="00EA5CB7">
        <w:rPr>
          <w:sz w:val="16"/>
          <w:szCs w:val="16"/>
        </w:rPr>
        <w:t>.</w:t>
      </w:r>
    </w:p>
  </w:footnote>
  <w:footnote w:id="3">
    <w:p w14:paraId="5CA1D0BC" w14:textId="13354614" w:rsidR="00232A61" w:rsidRPr="00EA5CB7" w:rsidRDefault="00232A61" w:rsidP="00232A61">
      <w:pPr>
        <w:pStyle w:val="Textonotapie"/>
        <w:jc w:val="both"/>
        <w:rPr>
          <w:sz w:val="16"/>
          <w:szCs w:val="16"/>
          <w:lang w:val="es-ES"/>
        </w:rPr>
      </w:pPr>
      <w:r w:rsidRPr="00EA5CB7">
        <w:rPr>
          <w:rStyle w:val="Refdenotaalpie"/>
          <w:sz w:val="16"/>
          <w:szCs w:val="16"/>
        </w:rPr>
        <w:footnoteRef/>
      </w:r>
      <w:r w:rsidRPr="00EA5CB7">
        <w:rPr>
          <w:sz w:val="16"/>
          <w:szCs w:val="16"/>
        </w:rPr>
        <w:t xml:space="preserve"> </w:t>
      </w:r>
      <w:r w:rsidRPr="00EA5CB7">
        <w:rPr>
          <w:sz w:val="16"/>
          <w:szCs w:val="16"/>
          <w:lang w:val="es-ES"/>
        </w:rPr>
        <w:tab/>
      </w:r>
      <w:r w:rsidRPr="00EA5CB7">
        <w:rPr>
          <w:i/>
          <w:iCs/>
          <w:sz w:val="16"/>
          <w:szCs w:val="16"/>
        </w:rPr>
        <w:t>Cfr. Caso Fornerón e hija Vs. Argentina. Supervisión de Cumplimiento de Sentencia.</w:t>
      </w:r>
      <w:r w:rsidRPr="00EA5CB7">
        <w:rPr>
          <w:sz w:val="16"/>
          <w:szCs w:val="16"/>
        </w:rPr>
        <w:t xml:space="preserve"> Resolución de la Corte Interamericana de Derechos Humanos de 28 de noviembre de 2018</w:t>
      </w:r>
      <w:r w:rsidR="0003028E">
        <w:rPr>
          <w:sz w:val="16"/>
          <w:szCs w:val="16"/>
        </w:rPr>
        <w:t>. D</w:t>
      </w:r>
      <w:r>
        <w:rPr>
          <w:sz w:val="16"/>
          <w:szCs w:val="16"/>
        </w:rPr>
        <w:t xml:space="preserve">isponible en: </w:t>
      </w:r>
      <w:hyperlink r:id="rId3" w:history="1">
        <w:r w:rsidRPr="00572867">
          <w:rPr>
            <w:rStyle w:val="Hipervnculo"/>
            <w:sz w:val="16"/>
            <w:szCs w:val="16"/>
          </w:rPr>
          <w:t>https://www.corteidh.or.cr/docs/supervisiones/forneron_28_11_18.pdf</w:t>
        </w:r>
      </w:hyperlink>
      <w:r>
        <w:rPr>
          <w:sz w:val="16"/>
          <w:szCs w:val="16"/>
        </w:rPr>
        <w:t xml:space="preserve">. </w:t>
      </w:r>
    </w:p>
  </w:footnote>
  <w:footnote w:id="4">
    <w:p w14:paraId="40FD1736" w14:textId="5AD55074" w:rsidR="00232A61" w:rsidRPr="004A1F99" w:rsidRDefault="00232A61" w:rsidP="004A1F99">
      <w:pPr>
        <w:pStyle w:val="Textonotapie"/>
        <w:jc w:val="both"/>
        <w:rPr>
          <w:sz w:val="16"/>
          <w:szCs w:val="16"/>
        </w:rPr>
      </w:pPr>
      <w:r w:rsidRPr="00232A61">
        <w:rPr>
          <w:rStyle w:val="Refdenotaalpie"/>
          <w:sz w:val="16"/>
          <w:szCs w:val="16"/>
        </w:rPr>
        <w:footnoteRef/>
      </w:r>
      <w:r w:rsidRPr="00232A61">
        <w:rPr>
          <w:sz w:val="16"/>
          <w:szCs w:val="16"/>
        </w:rPr>
        <w:t xml:space="preserve"> </w:t>
      </w:r>
      <w:r w:rsidRPr="00232A61">
        <w:rPr>
          <w:sz w:val="16"/>
          <w:szCs w:val="16"/>
        </w:rPr>
        <w:tab/>
      </w:r>
      <w:r w:rsidRPr="00232A61">
        <w:rPr>
          <w:i/>
          <w:iCs/>
          <w:sz w:val="16"/>
          <w:szCs w:val="16"/>
        </w:rPr>
        <w:t>Cfr.</w:t>
      </w:r>
      <w:r w:rsidRPr="00232A61">
        <w:rPr>
          <w:sz w:val="16"/>
          <w:szCs w:val="16"/>
        </w:rPr>
        <w:t xml:space="preserve"> </w:t>
      </w:r>
      <w:r w:rsidRPr="00EA5CB7">
        <w:rPr>
          <w:i/>
          <w:iCs/>
          <w:sz w:val="16"/>
          <w:szCs w:val="16"/>
        </w:rPr>
        <w:t>Caso Fornerón e hija Vs. Argentina. Supervisión de Cumplimiento de Sentencia.</w:t>
      </w:r>
      <w:r w:rsidRPr="00EA5CB7">
        <w:rPr>
          <w:sz w:val="16"/>
          <w:szCs w:val="16"/>
        </w:rPr>
        <w:t xml:space="preserve"> Resolución de la Corte Interamericana de Derechos Humanos de 7 de octubre de 2019</w:t>
      </w:r>
      <w:r w:rsidR="0003028E">
        <w:rPr>
          <w:sz w:val="16"/>
          <w:szCs w:val="16"/>
        </w:rPr>
        <w:t>.</w:t>
      </w:r>
      <w:r>
        <w:rPr>
          <w:sz w:val="16"/>
          <w:szCs w:val="16"/>
        </w:rPr>
        <w:t xml:space="preserve"> </w:t>
      </w:r>
      <w:r w:rsidR="0003028E">
        <w:rPr>
          <w:sz w:val="16"/>
          <w:szCs w:val="16"/>
        </w:rPr>
        <w:t>D</w:t>
      </w:r>
      <w:r>
        <w:rPr>
          <w:sz w:val="16"/>
          <w:szCs w:val="16"/>
        </w:rPr>
        <w:t xml:space="preserve">isponible en: </w:t>
      </w:r>
      <w:hyperlink r:id="rId4" w:history="1">
        <w:r w:rsidRPr="004A1F99">
          <w:rPr>
            <w:rStyle w:val="Hipervnculo"/>
            <w:sz w:val="16"/>
            <w:szCs w:val="16"/>
          </w:rPr>
          <w:t>https://www.corteidh.or.cr/docs/supervisiones/forner%C3%B3n_e_hija_07_10_19.pdf</w:t>
        </w:r>
      </w:hyperlink>
      <w:r w:rsidRPr="004A1F99">
        <w:rPr>
          <w:sz w:val="16"/>
          <w:szCs w:val="16"/>
        </w:rPr>
        <w:t xml:space="preserve">. </w:t>
      </w:r>
    </w:p>
  </w:footnote>
  <w:footnote w:id="5">
    <w:p w14:paraId="1F4D8A8B" w14:textId="44C64834" w:rsidR="00D23BD8" w:rsidRPr="00D23BD8" w:rsidRDefault="00D23BD8" w:rsidP="004A1F99">
      <w:pPr>
        <w:pStyle w:val="Textonotapie"/>
        <w:jc w:val="both"/>
      </w:pPr>
      <w:r w:rsidRPr="004A1F99">
        <w:rPr>
          <w:rStyle w:val="Refdenotaalpie"/>
          <w:sz w:val="16"/>
          <w:szCs w:val="16"/>
        </w:rPr>
        <w:footnoteRef/>
      </w:r>
      <w:r w:rsidRPr="004A1F99">
        <w:rPr>
          <w:sz w:val="16"/>
          <w:szCs w:val="16"/>
        </w:rPr>
        <w:t xml:space="preserve"> </w:t>
      </w:r>
      <w:r w:rsidRPr="004A1F99">
        <w:rPr>
          <w:sz w:val="16"/>
          <w:szCs w:val="16"/>
        </w:rPr>
        <w:tab/>
        <w:t xml:space="preserve">En noviembre de 2022 y junio de 2023, el Estado presentó informes sobre la medida de reparación </w:t>
      </w:r>
      <w:r w:rsidR="004A1F99" w:rsidRPr="004A1F99">
        <w:rPr>
          <w:sz w:val="16"/>
          <w:szCs w:val="16"/>
        </w:rPr>
        <w:t xml:space="preserve">ordenada en el punto dispositivo tercero de la Sentencia, </w:t>
      </w:r>
      <w:r w:rsidRPr="004A1F99">
        <w:rPr>
          <w:sz w:val="16"/>
          <w:szCs w:val="16"/>
        </w:rPr>
        <w:t xml:space="preserve">relativa a </w:t>
      </w:r>
      <w:r w:rsidR="004A1F99" w:rsidRPr="004A1F99">
        <w:rPr>
          <w:sz w:val="16"/>
          <w:szCs w:val="16"/>
        </w:rPr>
        <w:t>verificar la conformidad a derecho de la conducta de los funcionarios que intervinieron en los distintos procesos internos relacionados con el presente caso y, en su caso, establecer las responsabilidades que correspondan.</w:t>
      </w:r>
    </w:p>
  </w:footnote>
  <w:footnote w:id="6">
    <w:p w14:paraId="4A99EBC6" w14:textId="77777777" w:rsidR="006E7B99" w:rsidRPr="00D20B06" w:rsidRDefault="006E7B99" w:rsidP="006E7B99">
      <w:pPr>
        <w:pStyle w:val="Textonotapie"/>
        <w:tabs>
          <w:tab w:val="left" w:pos="567"/>
        </w:tabs>
        <w:contextualSpacing/>
        <w:jc w:val="both"/>
        <w:rPr>
          <w:sz w:val="16"/>
          <w:szCs w:val="16"/>
        </w:rPr>
      </w:pPr>
      <w:r w:rsidRPr="00D20B06">
        <w:rPr>
          <w:rStyle w:val="Refdenotaalpie"/>
          <w:sz w:val="16"/>
          <w:szCs w:val="16"/>
        </w:rPr>
        <w:footnoteRef/>
      </w:r>
      <w:r w:rsidRPr="00D20B06">
        <w:rPr>
          <w:sz w:val="16"/>
          <w:szCs w:val="16"/>
        </w:rPr>
        <w:t xml:space="preserve"> </w:t>
      </w:r>
      <w:r w:rsidRPr="00D20B06">
        <w:rPr>
          <w:sz w:val="16"/>
          <w:szCs w:val="16"/>
        </w:rPr>
        <w:tab/>
      </w:r>
      <w:r w:rsidRPr="00EA5CB7">
        <w:rPr>
          <w:sz w:val="16"/>
          <w:szCs w:val="16"/>
        </w:rPr>
        <w:t xml:space="preserve">Las señoras Margarita Rosa </w:t>
      </w:r>
      <w:proofErr w:type="spellStart"/>
      <w:r w:rsidRPr="00EA5CB7">
        <w:rPr>
          <w:sz w:val="16"/>
          <w:szCs w:val="16"/>
        </w:rPr>
        <w:t>Nicoliche</w:t>
      </w:r>
      <w:proofErr w:type="spellEnd"/>
      <w:r w:rsidRPr="00EA5CB7">
        <w:rPr>
          <w:sz w:val="16"/>
          <w:szCs w:val="16"/>
        </w:rPr>
        <w:t xml:space="preserve"> y Susana Ana María </w:t>
      </w:r>
      <w:proofErr w:type="spellStart"/>
      <w:r w:rsidRPr="00EA5CB7">
        <w:rPr>
          <w:sz w:val="16"/>
          <w:szCs w:val="16"/>
        </w:rPr>
        <w:t>Terenzi</w:t>
      </w:r>
      <w:proofErr w:type="spellEnd"/>
      <w:r w:rsidRPr="00EA5CB7">
        <w:rPr>
          <w:sz w:val="16"/>
          <w:szCs w:val="16"/>
        </w:rPr>
        <w:t>, del Centro de Estudios Sociales y Políticos para el Desarrollo Humano (CESPPEDH).</w:t>
      </w:r>
    </w:p>
  </w:footnote>
  <w:footnote w:id="7">
    <w:p w14:paraId="5B6A314A" w14:textId="77777777" w:rsidR="006E7B99" w:rsidRPr="00C01BE6" w:rsidRDefault="006E7B99" w:rsidP="006E7B99">
      <w:pPr>
        <w:pStyle w:val="Textonotapie"/>
        <w:tabs>
          <w:tab w:val="left" w:pos="567"/>
        </w:tabs>
        <w:contextualSpacing/>
        <w:jc w:val="both"/>
        <w:rPr>
          <w:rFonts w:cs="Calibri-Light"/>
          <w:sz w:val="16"/>
          <w:szCs w:val="16"/>
        </w:rPr>
      </w:pPr>
      <w:r w:rsidRPr="00C01BE6">
        <w:rPr>
          <w:rStyle w:val="Refdenotaalpie"/>
          <w:sz w:val="16"/>
          <w:szCs w:val="16"/>
        </w:rPr>
        <w:footnoteRef/>
      </w:r>
      <w:r w:rsidRPr="00C01BE6">
        <w:rPr>
          <w:sz w:val="16"/>
          <w:szCs w:val="16"/>
        </w:rPr>
        <w:t xml:space="preserve"> </w:t>
      </w:r>
      <w:r w:rsidRPr="00C01BE6">
        <w:rPr>
          <w:sz w:val="16"/>
          <w:szCs w:val="16"/>
        </w:rPr>
        <w:tab/>
        <w:t xml:space="preserve">El señor Moreno remitió su “artículo académico” titulado </w:t>
      </w:r>
      <w:r w:rsidRPr="00C01BE6">
        <w:rPr>
          <w:i/>
          <w:iCs/>
          <w:sz w:val="16"/>
          <w:szCs w:val="16"/>
        </w:rPr>
        <w:t>"La compraventa de niñas y de niños de corta edad con fines adoptivos: una modalidad de</w:t>
      </w:r>
      <w:r w:rsidRPr="00C01BE6">
        <w:rPr>
          <w:sz w:val="16"/>
          <w:szCs w:val="16"/>
        </w:rPr>
        <w:t xml:space="preserve"> </w:t>
      </w:r>
      <w:r w:rsidRPr="00C01BE6">
        <w:rPr>
          <w:i/>
          <w:iCs/>
          <w:sz w:val="16"/>
          <w:szCs w:val="16"/>
        </w:rPr>
        <w:t>trata"</w:t>
      </w:r>
      <w:r w:rsidRPr="00C01BE6">
        <w:rPr>
          <w:sz w:val="16"/>
          <w:szCs w:val="16"/>
        </w:rPr>
        <w:t xml:space="preserve">, </w:t>
      </w:r>
      <w:r w:rsidRPr="00C01BE6">
        <w:rPr>
          <w:rFonts w:cs="Calibri-Light"/>
          <w:sz w:val="16"/>
          <w:szCs w:val="16"/>
        </w:rPr>
        <w:t>publicado en</w:t>
      </w:r>
      <w:r>
        <w:rPr>
          <w:rFonts w:cs="Calibri-Light"/>
        </w:rPr>
        <w:t xml:space="preserve"> </w:t>
      </w:r>
      <w:r w:rsidRPr="00C01BE6">
        <w:rPr>
          <w:rFonts w:cs="Calibri-Light"/>
          <w:sz w:val="16"/>
          <w:szCs w:val="16"/>
        </w:rPr>
        <w:t>la revista jurídica Temas de Derechos de Familia, Sucesiones y Bioética, de la editorial ERREIUS (Buenos Aires, Argentina, julio 2022, año VI, págs. 467/484). S</w:t>
      </w:r>
      <w:r w:rsidRPr="00C01BE6">
        <w:rPr>
          <w:sz w:val="16"/>
          <w:szCs w:val="16"/>
        </w:rPr>
        <w:t>e relaciona, entre otros, con la implementación de la garantía de no repetición ordenada</w:t>
      </w:r>
      <w:r w:rsidRPr="00C01BE6">
        <w:rPr>
          <w:rFonts w:cs="Calibri-Light"/>
          <w:sz w:val="16"/>
          <w:szCs w:val="16"/>
        </w:rPr>
        <w:t xml:space="preserve"> </w:t>
      </w:r>
      <w:r w:rsidRPr="00C01BE6">
        <w:rPr>
          <w:sz w:val="16"/>
          <w:szCs w:val="16"/>
        </w:rPr>
        <w:t>en el punto dispositivo cuarto de la Sentencia, relativa a la tipificación penal de la venta de niños y</w:t>
      </w:r>
      <w:r>
        <w:t xml:space="preserve"> </w:t>
      </w:r>
      <w:r w:rsidRPr="00C01BE6">
        <w:rPr>
          <w:sz w:val="16"/>
          <w:szCs w:val="16"/>
        </w:rPr>
        <w:t>niñas.</w:t>
      </w:r>
    </w:p>
  </w:footnote>
  <w:footnote w:id="8">
    <w:p w14:paraId="45B59FA6" w14:textId="77777777" w:rsidR="000E671C" w:rsidRPr="00D20B06" w:rsidRDefault="000E671C" w:rsidP="0000381B">
      <w:pPr>
        <w:pStyle w:val="Textonotapie"/>
        <w:tabs>
          <w:tab w:val="left" w:pos="567"/>
        </w:tabs>
        <w:contextualSpacing/>
        <w:jc w:val="both"/>
        <w:rPr>
          <w:sz w:val="16"/>
          <w:szCs w:val="16"/>
        </w:rPr>
      </w:pPr>
      <w:r w:rsidRPr="00D20B06">
        <w:rPr>
          <w:rStyle w:val="Refdenotaalpie"/>
          <w:sz w:val="16"/>
          <w:szCs w:val="16"/>
        </w:rPr>
        <w:footnoteRef/>
      </w:r>
      <w:r w:rsidRPr="00D20B06">
        <w:rPr>
          <w:sz w:val="16"/>
          <w:szCs w:val="16"/>
        </w:rPr>
        <w:t xml:space="preserve"> </w:t>
      </w:r>
      <w:r w:rsidRPr="00D20B06">
        <w:rPr>
          <w:sz w:val="16"/>
          <w:szCs w:val="16"/>
        </w:rPr>
        <w:tab/>
        <w:t>Facultad que además se desprende de lo dispuesto en los artículos 33, 62.1, 62.3 y 65 de la Convención Americana sobre Derechos Humanos y 30 de su Estatuto y se encuentra regulada en el artículo 69 de su Reglamento.</w:t>
      </w:r>
    </w:p>
  </w:footnote>
  <w:footnote w:id="9">
    <w:p w14:paraId="4EA57645" w14:textId="6325FBAD" w:rsidR="00A93E4F" w:rsidRPr="00A93E4F" w:rsidRDefault="00A93E4F" w:rsidP="00A93E4F">
      <w:pPr>
        <w:pStyle w:val="Textonotapie"/>
        <w:jc w:val="both"/>
        <w:rPr>
          <w:sz w:val="16"/>
          <w:szCs w:val="16"/>
          <w:lang w:val="es-ES"/>
        </w:rPr>
      </w:pPr>
      <w:r w:rsidRPr="00A93E4F">
        <w:rPr>
          <w:rStyle w:val="Refdenotaalpie"/>
          <w:sz w:val="16"/>
          <w:szCs w:val="16"/>
        </w:rPr>
        <w:footnoteRef/>
      </w:r>
      <w:r w:rsidRPr="00A93E4F">
        <w:rPr>
          <w:sz w:val="16"/>
          <w:szCs w:val="16"/>
        </w:rPr>
        <w:t xml:space="preserve"> </w:t>
      </w:r>
      <w:r w:rsidRPr="00A93E4F">
        <w:rPr>
          <w:sz w:val="16"/>
          <w:szCs w:val="16"/>
          <w:lang w:val="es-ES"/>
        </w:rPr>
        <w:tab/>
        <w:t xml:space="preserve">Relativas a: </w:t>
      </w:r>
      <w:r w:rsidRPr="00A93E4F">
        <w:rPr>
          <w:sz w:val="16"/>
          <w:szCs w:val="16"/>
        </w:rPr>
        <w:t xml:space="preserve">i) </w:t>
      </w:r>
      <w:r w:rsidR="00160AC6" w:rsidRPr="00A93E4F">
        <w:rPr>
          <w:sz w:val="16"/>
          <w:szCs w:val="16"/>
        </w:rPr>
        <w:t>establecer un procedimiento orientado a la efectiva vinculación entre el señor Fornerón y su hija M. (</w:t>
      </w:r>
      <w:r w:rsidR="00160AC6" w:rsidRPr="00A93E4F">
        <w:rPr>
          <w:i/>
          <w:iCs/>
          <w:sz w:val="16"/>
          <w:szCs w:val="16"/>
        </w:rPr>
        <w:t>punto dispositivo segundo de la Sentencia</w:t>
      </w:r>
      <w:r w:rsidR="00160AC6" w:rsidRPr="00A93E4F">
        <w:rPr>
          <w:sz w:val="16"/>
          <w:szCs w:val="16"/>
        </w:rPr>
        <w:t>)</w:t>
      </w:r>
      <w:r w:rsidR="00160AC6">
        <w:rPr>
          <w:sz w:val="16"/>
          <w:szCs w:val="16"/>
        </w:rPr>
        <w:t xml:space="preserve">; </w:t>
      </w:r>
      <w:proofErr w:type="spellStart"/>
      <w:r w:rsidR="00160AC6">
        <w:rPr>
          <w:sz w:val="16"/>
          <w:szCs w:val="16"/>
        </w:rPr>
        <w:t>ii</w:t>
      </w:r>
      <w:proofErr w:type="spellEnd"/>
      <w:r w:rsidR="00160AC6">
        <w:rPr>
          <w:sz w:val="16"/>
          <w:szCs w:val="16"/>
        </w:rPr>
        <w:t xml:space="preserve">) </w:t>
      </w:r>
      <w:r w:rsidRPr="00A93E4F">
        <w:rPr>
          <w:sz w:val="16"/>
          <w:szCs w:val="16"/>
        </w:rPr>
        <w:t>implementar un programa o curso obligatorio dirigido a operadores judiciales, incluyendo jueces, defensores, fiscales, asesores y demás funcionarios de la Provincia de Entre Ríos vinculados a la administración de justicia respecto de niños y niñas que contemple, entre otros, los estándares internacionales en derechos humanos, particularmente, en materia de los derechos de los niños y niñas y su interés superior y el principio de no discriminación (</w:t>
      </w:r>
      <w:r w:rsidRPr="00A93E4F">
        <w:rPr>
          <w:i/>
          <w:iCs/>
          <w:sz w:val="16"/>
          <w:szCs w:val="16"/>
        </w:rPr>
        <w:t>punto dispositivo quinto de la Sentencia</w:t>
      </w:r>
      <w:r w:rsidRPr="00A93E4F">
        <w:rPr>
          <w:sz w:val="16"/>
          <w:szCs w:val="16"/>
        </w:rPr>
        <w:t>)</w:t>
      </w:r>
      <w:r>
        <w:rPr>
          <w:sz w:val="16"/>
          <w:szCs w:val="16"/>
        </w:rPr>
        <w:t>;</w:t>
      </w:r>
      <w:r w:rsidRPr="00A93E4F">
        <w:rPr>
          <w:sz w:val="16"/>
          <w:szCs w:val="16"/>
        </w:rPr>
        <w:t xml:space="preserve"> ii</w:t>
      </w:r>
      <w:r w:rsidR="00160AC6">
        <w:rPr>
          <w:sz w:val="16"/>
          <w:szCs w:val="16"/>
        </w:rPr>
        <w:t>i</w:t>
      </w:r>
      <w:r w:rsidRPr="00A93E4F">
        <w:rPr>
          <w:sz w:val="16"/>
          <w:szCs w:val="16"/>
        </w:rPr>
        <w:t>) realizar las publicaciones del resumen oficial de la Sentencia (</w:t>
      </w:r>
      <w:r w:rsidRPr="00A93E4F">
        <w:rPr>
          <w:i/>
          <w:iCs/>
          <w:sz w:val="16"/>
          <w:szCs w:val="16"/>
        </w:rPr>
        <w:t>punto dispositivo sexto de la Sentencia</w:t>
      </w:r>
      <w:r w:rsidRPr="00A93E4F">
        <w:rPr>
          <w:sz w:val="16"/>
          <w:szCs w:val="16"/>
        </w:rPr>
        <w:t>)</w:t>
      </w:r>
      <w:r>
        <w:rPr>
          <w:sz w:val="16"/>
          <w:szCs w:val="16"/>
        </w:rPr>
        <w:t xml:space="preserve">; </w:t>
      </w:r>
      <w:proofErr w:type="spellStart"/>
      <w:r>
        <w:rPr>
          <w:sz w:val="16"/>
          <w:szCs w:val="16"/>
        </w:rPr>
        <w:t>i</w:t>
      </w:r>
      <w:r w:rsidR="00160AC6">
        <w:rPr>
          <w:sz w:val="16"/>
          <w:szCs w:val="16"/>
        </w:rPr>
        <w:t>v</w:t>
      </w:r>
      <w:proofErr w:type="spellEnd"/>
      <w:r>
        <w:rPr>
          <w:sz w:val="16"/>
          <w:szCs w:val="16"/>
        </w:rPr>
        <w:t xml:space="preserve">) </w:t>
      </w:r>
      <w:r w:rsidRPr="00A93E4F">
        <w:rPr>
          <w:sz w:val="16"/>
          <w:szCs w:val="16"/>
        </w:rPr>
        <w:t xml:space="preserve">pagar </w:t>
      </w:r>
      <w:r w:rsidR="000A6BFE">
        <w:rPr>
          <w:sz w:val="16"/>
          <w:szCs w:val="16"/>
        </w:rPr>
        <w:t>las</w:t>
      </w:r>
      <w:r w:rsidRPr="00A93E4F">
        <w:rPr>
          <w:sz w:val="16"/>
          <w:szCs w:val="16"/>
        </w:rPr>
        <w:t xml:space="preserve"> indemnizaci</w:t>
      </w:r>
      <w:r w:rsidR="000A6BFE">
        <w:rPr>
          <w:sz w:val="16"/>
          <w:szCs w:val="16"/>
        </w:rPr>
        <w:t>ones</w:t>
      </w:r>
      <w:r w:rsidRPr="00A93E4F">
        <w:rPr>
          <w:sz w:val="16"/>
          <w:szCs w:val="16"/>
        </w:rPr>
        <w:t xml:space="preserve"> por daño material e inmaterial</w:t>
      </w:r>
      <w:r>
        <w:rPr>
          <w:sz w:val="16"/>
          <w:szCs w:val="16"/>
        </w:rPr>
        <w:t xml:space="preserve"> (</w:t>
      </w:r>
      <w:r w:rsidRPr="00A93E4F">
        <w:rPr>
          <w:i/>
          <w:iCs/>
          <w:sz w:val="16"/>
          <w:szCs w:val="16"/>
        </w:rPr>
        <w:t>punto dispositivo séptimo de la Sentencia</w:t>
      </w:r>
      <w:r w:rsidRPr="00A93E4F">
        <w:rPr>
          <w:sz w:val="16"/>
          <w:szCs w:val="16"/>
        </w:rPr>
        <w:t>)</w:t>
      </w:r>
      <w:r w:rsidR="00160AC6">
        <w:rPr>
          <w:sz w:val="16"/>
          <w:szCs w:val="16"/>
        </w:rPr>
        <w:t xml:space="preserve">, y </w:t>
      </w:r>
      <w:r>
        <w:rPr>
          <w:sz w:val="16"/>
          <w:szCs w:val="16"/>
        </w:rPr>
        <w:t xml:space="preserve">v) </w:t>
      </w:r>
      <w:r w:rsidRPr="00A93E4F">
        <w:rPr>
          <w:sz w:val="16"/>
          <w:szCs w:val="16"/>
        </w:rPr>
        <w:t>reintegro de costas y gastos</w:t>
      </w:r>
      <w:r>
        <w:rPr>
          <w:sz w:val="16"/>
          <w:szCs w:val="16"/>
        </w:rPr>
        <w:t xml:space="preserve"> (</w:t>
      </w:r>
      <w:r w:rsidRPr="00A93E4F">
        <w:rPr>
          <w:i/>
          <w:iCs/>
          <w:sz w:val="16"/>
          <w:szCs w:val="16"/>
        </w:rPr>
        <w:t>punto dispositivo séptimo de la Sentencia</w:t>
      </w:r>
      <w:r w:rsidRPr="00A93E4F">
        <w:rPr>
          <w:sz w:val="16"/>
          <w:szCs w:val="16"/>
        </w:rPr>
        <w:t>)</w:t>
      </w:r>
      <w:r w:rsidR="00160AC6">
        <w:rPr>
          <w:sz w:val="16"/>
          <w:szCs w:val="16"/>
        </w:rPr>
        <w:t>.</w:t>
      </w:r>
    </w:p>
  </w:footnote>
  <w:footnote w:id="10">
    <w:p w14:paraId="083B35C3" w14:textId="78FF463D" w:rsidR="004D364E" w:rsidRPr="001D703D" w:rsidRDefault="004D364E" w:rsidP="004D364E">
      <w:pPr>
        <w:pStyle w:val="Textonotapie"/>
        <w:rPr>
          <w:sz w:val="16"/>
          <w:szCs w:val="16"/>
        </w:rPr>
      </w:pPr>
      <w:r w:rsidRPr="001D703D">
        <w:rPr>
          <w:rStyle w:val="Refdenotaalpie"/>
          <w:sz w:val="16"/>
          <w:szCs w:val="16"/>
        </w:rPr>
        <w:footnoteRef/>
      </w:r>
      <w:r w:rsidRPr="001D703D">
        <w:rPr>
          <w:sz w:val="16"/>
          <w:szCs w:val="16"/>
        </w:rPr>
        <w:t xml:space="preserve"> </w:t>
      </w:r>
      <w:r w:rsidRPr="001D703D">
        <w:rPr>
          <w:sz w:val="16"/>
          <w:szCs w:val="16"/>
        </w:rPr>
        <w:tab/>
      </w:r>
      <w:r w:rsidRPr="001D703D">
        <w:rPr>
          <w:i/>
          <w:iCs/>
          <w:sz w:val="16"/>
          <w:szCs w:val="16"/>
        </w:rPr>
        <w:t>Cfr.</w:t>
      </w:r>
      <w:r w:rsidRPr="001D703D">
        <w:rPr>
          <w:sz w:val="16"/>
          <w:szCs w:val="16"/>
        </w:rPr>
        <w:t xml:space="preserve"> </w:t>
      </w:r>
      <w:r w:rsidR="00F34C34" w:rsidRPr="00DC5505">
        <w:rPr>
          <w:i/>
          <w:iCs/>
          <w:sz w:val="16"/>
          <w:szCs w:val="16"/>
        </w:rPr>
        <w:t xml:space="preserve">Caso Fornerón e hija Vs. Argentina, supra </w:t>
      </w:r>
      <w:r w:rsidR="00F34C34" w:rsidRPr="00DC5505">
        <w:rPr>
          <w:sz w:val="16"/>
          <w:szCs w:val="16"/>
        </w:rPr>
        <w:t>nota</w:t>
      </w:r>
      <w:r w:rsidR="00F34C34" w:rsidRPr="001D703D">
        <w:rPr>
          <w:sz w:val="16"/>
          <w:szCs w:val="16"/>
        </w:rPr>
        <w:t xml:space="preserve"> </w:t>
      </w:r>
      <w:r w:rsidR="00F34C34">
        <w:rPr>
          <w:sz w:val="16"/>
          <w:szCs w:val="16"/>
        </w:rPr>
        <w:t xml:space="preserve">1, </w:t>
      </w:r>
      <w:r w:rsidRPr="001D703D">
        <w:rPr>
          <w:sz w:val="16"/>
          <w:szCs w:val="16"/>
        </w:rPr>
        <w:t xml:space="preserve">párr. </w:t>
      </w:r>
      <w:r w:rsidR="00DC5505">
        <w:rPr>
          <w:sz w:val="16"/>
          <w:szCs w:val="16"/>
        </w:rPr>
        <w:t>177</w:t>
      </w:r>
      <w:r w:rsidRPr="001D703D">
        <w:rPr>
          <w:sz w:val="16"/>
          <w:szCs w:val="16"/>
        </w:rPr>
        <w:t>.</w:t>
      </w:r>
    </w:p>
  </w:footnote>
  <w:footnote w:id="11">
    <w:p w14:paraId="557DD9FD" w14:textId="0F66AC07" w:rsidR="00DC5505" w:rsidRPr="00DC5505" w:rsidRDefault="00DC5505">
      <w:pPr>
        <w:pStyle w:val="Textonotapie"/>
        <w:rPr>
          <w:sz w:val="16"/>
          <w:szCs w:val="16"/>
          <w:lang w:val="es-ES"/>
        </w:rPr>
      </w:pPr>
      <w:r w:rsidRPr="00DC5505">
        <w:rPr>
          <w:rStyle w:val="Refdenotaalpie"/>
          <w:sz w:val="16"/>
          <w:szCs w:val="16"/>
        </w:rPr>
        <w:footnoteRef/>
      </w:r>
      <w:r w:rsidRPr="00DC5505">
        <w:rPr>
          <w:sz w:val="16"/>
          <w:szCs w:val="16"/>
        </w:rPr>
        <w:t xml:space="preserve"> </w:t>
      </w:r>
      <w:r w:rsidRPr="00DC5505">
        <w:rPr>
          <w:sz w:val="16"/>
          <w:szCs w:val="16"/>
          <w:lang w:val="es-ES"/>
        </w:rPr>
        <w:tab/>
      </w:r>
      <w:r w:rsidRPr="00DC5505">
        <w:rPr>
          <w:i/>
          <w:iCs/>
          <w:sz w:val="16"/>
          <w:szCs w:val="16"/>
        </w:rPr>
        <w:t>Cfr</w:t>
      </w:r>
      <w:r w:rsidRPr="00DC5505">
        <w:rPr>
          <w:sz w:val="16"/>
          <w:szCs w:val="16"/>
        </w:rPr>
        <w:t>.</w:t>
      </w:r>
      <w:r w:rsidRPr="00DC5505">
        <w:rPr>
          <w:i/>
          <w:iCs/>
          <w:sz w:val="16"/>
          <w:szCs w:val="16"/>
        </w:rPr>
        <w:t xml:space="preserve"> Caso Fornerón e hija Vs. Argentina, supra </w:t>
      </w:r>
      <w:r w:rsidRPr="00DC5505">
        <w:rPr>
          <w:sz w:val="16"/>
          <w:szCs w:val="16"/>
        </w:rPr>
        <w:t xml:space="preserve">nota </w:t>
      </w:r>
      <w:r w:rsidR="00160AC6">
        <w:rPr>
          <w:sz w:val="16"/>
          <w:szCs w:val="16"/>
        </w:rPr>
        <w:t>3</w:t>
      </w:r>
      <w:r w:rsidRPr="00DC5505">
        <w:rPr>
          <w:sz w:val="16"/>
          <w:szCs w:val="16"/>
        </w:rPr>
        <w:t>, Considerandos 49 a 56</w:t>
      </w:r>
      <w:r w:rsidR="00160AC6">
        <w:rPr>
          <w:sz w:val="16"/>
          <w:szCs w:val="16"/>
        </w:rPr>
        <w:t>.</w:t>
      </w:r>
    </w:p>
  </w:footnote>
  <w:footnote w:id="12">
    <w:p w14:paraId="20AC7FDA" w14:textId="34FF7CA4" w:rsidR="00160AC6" w:rsidRPr="00005CFD" w:rsidRDefault="00160AC6" w:rsidP="00160AC6">
      <w:pPr>
        <w:pStyle w:val="Textonotapie"/>
        <w:rPr>
          <w:sz w:val="16"/>
          <w:szCs w:val="16"/>
          <w:lang w:val="es-ES"/>
        </w:rPr>
      </w:pPr>
      <w:r w:rsidRPr="00005CFD">
        <w:rPr>
          <w:rStyle w:val="Refdenotaalpie"/>
          <w:sz w:val="16"/>
          <w:szCs w:val="16"/>
        </w:rPr>
        <w:footnoteRef/>
      </w:r>
      <w:r w:rsidRPr="00005CFD">
        <w:rPr>
          <w:sz w:val="16"/>
          <w:szCs w:val="16"/>
        </w:rPr>
        <w:t xml:space="preserve"> </w:t>
      </w:r>
      <w:r w:rsidRPr="00005CFD">
        <w:rPr>
          <w:sz w:val="16"/>
          <w:szCs w:val="16"/>
          <w:lang w:val="es-ES"/>
        </w:rPr>
        <w:tab/>
      </w:r>
      <w:r w:rsidRPr="00005CFD">
        <w:rPr>
          <w:i/>
          <w:iCs/>
          <w:sz w:val="16"/>
          <w:szCs w:val="16"/>
        </w:rPr>
        <w:t>Cfr</w:t>
      </w:r>
      <w:r w:rsidRPr="00005CFD">
        <w:rPr>
          <w:sz w:val="16"/>
          <w:szCs w:val="16"/>
        </w:rPr>
        <w:t>.</w:t>
      </w:r>
      <w:r w:rsidRPr="00005CFD">
        <w:rPr>
          <w:i/>
          <w:iCs/>
          <w:sz w:val="16"/>
          <w:szCs w:val="16"/>
        </w:rPr>
        <w:t xml:space="preserve"> Caso Fornerón e hija Vs. Argentina, supra </w:t>
      </w:r>
      <w:r w:rsidRPr="00005CFD">
        <w:rPr>
          <w:sz w:val="16"/>
          <w:szCs w:val="16"/>
        </w:rPr>
        <w:t>nota 5, Considerandos 22 y 23.</w:t>
      </w:r>
    </w:p>
  </w:footnote>
  <w:footnote w:id="13">
    <w:p w14:paraId="18A7CD90" w14:textId="342EB5A7" w:rsidR="00005CFD" w:rsidRPr="00497A4D" w:rsidRDefault="00005CFD">
      <w:pPr>
        <w:pStyle w:val="Textonotapie"/>
        <w:rPr>
          <w:sz w:val="16"/>
          <w:szCs w:val="16"/>
        </w:rPr>
      </w:pPr>
      <w:r w:rsidRPr="00005CFD">
        <w:rPr>
          <w:rStyle w:val="Refdenotaalpie"/>
          <w:sz w:val="16"/>
          <w:szCs w:val="16"/>
        </w:rPr>
        <w:footnoteRef/>
      </w:r>
      <w:r w:rsidRPr="00497A4D">
        <w:rPr>
          <w:sz w:val="16"/>
          <w:szCs w:val="16"/>
        </w:rPr>
        <w:t xml:space="preserve"> </w:t>
      </w:r>
      <w:r w:rsidRPr="00497A4D">
        <w:rPr>
          <w:sz w:val="16"/>
          <w:szCs w:val="16"/>
        </w:rPr>
        <w:tab/>
      </w:r>
      <w:r w:rsidRPr="00497A4D">
        <w:rPr>
          <w:i/>
          <w:iCs/>
          <w:sz w:val="16"/>
          <w:szCs w:val="16"/>
        </w:rPr>
        <w:t>Cfr.</w:t>
      </w:r>
      <w:r w:rsidRPr="00497A4D">
        <w:rPr>
          <w:sz w:val="16"/>
          <w:szCs w:val="16"/>
        </w:rPr>
        <w:t xml:space="preserve"> </w:t>
      </w:r>
      <w:r w:rsidRPr="00497A4D">
        <w:rPr>
          <w:i/>
          <w:iCs/>
          <w:sz w:val="16"/>
          <w:szCs w:val="16"/>
        </w:rPr>
        <w:t>Caso Fornerón e hija, supra</w:t>
      </w:r>
      <w:r w:rsidRPr="00497A4D">
        <w:rPr>
          <w:sz w:val="16"/>
          <w:szCs w:val="16"/>
        </w:rPr>
        <w:t xml:space="preserve"> nota 1, párrs</w:t>
      </w:r>
      <w:r w:rsidR="00F34C34">
        <w:rPr>
          <w:sz w:val="16"/>
          <w:szCs w:val="16"/>
        </w:rPr>
        <w:t>.</w:t>
      </w:r>
      <w:r w:rsidRPr="00497A4D">
        <w:rPr>
          <w:sz w:val="16"/>
          <w:szCs w:val="16"/>
        </w:rPr>
        <w:t xml:space="preserve"> 129 a 144.</w:t>
      </w:r>
    </w:p>
  </w:footnote>
  <w:footnote w:id="14">
    <w:p w14:paraId="0A1F7830" w14:textId="6A3DE7DC" w:rsidR="00097AAD" w:rsidRPr="00E36749" w:rsidRDefault="00097AAD">
      <w:pPr>
        <w:pStyle w:val="Textonotapie"/>
        <w:rPr>
          <w:sz w:val="16"/>
          <w:szCs w:val="16"/>
        </w:rPr>
      </w:pPr>
      <w:r w:rsidRPr="00005CFD">
        <w:rPr>
          <w:rStyle w:val="Refdenotaalpie"/>
          <w:sz w:val="16"/>
          <w:szCs w:val="16"/>
        </w:rPr>
        <w:footnoteRef/>
      </w:r>
      <w:r w:rsidRPr="00E36749">
        <w:rPr>
          <w:sz w:val="16"/>
          <w:szCs w:val="16"/>
        </w:rPr>
        <w:t xml:space="preserve"> </w:t>
      </w:r>
      <w:r w:rsidRPr="00E36749">
        <w:rPr>
          <w:sz w:val="16"/>
          <w:szCs w:val="16"/>
        </w:rPr>
        <w:tab/>
      </w:r>
      <w:r w:rsidRPr="00E36749">
        <w:rPr>
          <w:i/>
          <w:iCs/>
          <w:sz w:val="16"/>
          <w:szCs w:val="16"/>
        </w:rPr>
        <w:t>Cfr.</w:t>
      </w:r>
      <w:r w:rsidRPr="00E36749">
        <w:rPr>
          <w:sz w:val="16"/>
          <w:szCs w:val="16"/>
        </w:rPr>
        <w:t xml:space="preserve"> Informe estatal de 30 de agosto de 2022.</w:t>
      </w:r>
    </w:p>
  </w:footnote>
  <w:footnote w:id="15">
    <w:p w14:paraId="711E8A9C" w14:textId="379AA6AE" w:rsidR="00957075" w:rsidRPr="00B348AB" w:rsidRDefault="00957075" w:rsidP="00B348AB">
      <w:pPr>
        <w:pStyle w:val="Textonotapie"/>
        <w:jc w:val="both"/>
        <w:rPr>
          <w:sz w:val="16"/>
          <w:szCs w:val="16"/>
        </w:rPr>
      </w:pPr>
      <w:r w:rsidRPr="00B348AB">
        <w:rPr>
          <w:rStyle w:val="Refdenotaalpie"/>
          <w:sz w:val="16"/>
          <w:szCs w:val="16"/>
        </w:rPr>
        <w:footnoteRef/>
      </w:r>
      <w:r w:rsidRPr="00B348AB">
        <w:rPr>
          <w:sz w:val="16"/>
          <w:szCs w:val="16"/>
        </w:rPr>
        <w:t xml:space="preserve"> </w:t>
      </w:r>
      <w:r w:rsidRPr="00B348AB">
        <w:rPr>
          <w:sz w:val="16"/>
          <w:szCs w:val="16"/>
        </w:rPr>
        <w:tab/>
      </w:r>
      <w:r w:rsidRPr="00B348AB">
        <w:rPr>
          <w:i/>
          <w:iCs/>
          <w:sz w:val="16"/>
          <w:szCs w:val="16"/>
        </w:rPr>
        <w:t>Cfr.</w:t>
      </w:r>
      <w:r w:rsidRPr="00B348AB">
        <w:rPr>
          <w:sz w:val="16"/>
          <w:szCs w:val="16"/>
        </w:rPr>
        <w:t xml:space="preserve"> Informe estatal de 30 de agosto de 2022 y escritos de observaciones de l</w:t>
      </w:r>
      <w:r w:rsidR="008756DA">
        <w:rPr>
          <w:sz w:val="16"/>
          <w:szCs w:val="16"/>
        </w:rPr>
        <w:t>a</w:t>
      </w:r>
      <w:r w:rsidRPr="00B348AB">
        <w:rPr>
          <w:sz w:val="16"/>
          <w:szCs w:val="16"/>
        </w:rPr>
        <w:t>s representantes de 20 de enero y 23 de octubre de 2022.</w:t>
      </w:r>
    </w:p>
  </w:footnote>
  <w:footnote w:id="16">
    <w:p w14:paraId="6DCCAEB7" w14:textId="6CF3E38F" w:rsidR="00B348AB" w:rsidRPr="00B348AB" w:rsidRDefault="00B348AB" w:rsidP="00B348AB">
      <w:pPr>
        <w:pStyle w:val="Textonotapie"/>
        <w:jc w:val="both"/>
        <w:rPr>
          <w:sz w:val="16"/>
          <w:szCs w:val="16"/>
        </w:rPr>
      </w:pPr>
      <w:r w:rsidRPr="00B348AB">
        <w:rPr>
          <w:rStyle w:val="Refdenotaalpie"/>
          <w:sz w:val="16"/>
          <w:szCs w:val="16"/>
        </w:rPr>
        <w:footnoteRef/>
      </w:r>
      <w:r w:rsidRPr="00B348AB">
        <w:rPr>
          <w:sz w:val="16"/>
          <w:szCs w:val="16"/>
        </w:rPr>
        <w:t xml:space="preserve"> </w:t>
      </w:r>
      <w:r w:rsidRPr="00B348AB">
        <w:rPr>
          <w:sz w:val="16"/>
          <w:szCs w:val="16"/>
        </w:rPr>
        <w:tab/>
        <w:t xml:space="preserve">Participó la señora Margarita </w:t>
      </w:r>
      <w:proofErr w:type="spellStart"/>
      <w:r w:rsidRPr="00B348AB">
        <w:rPr>
          <w:sz w:val="16"/>
          <w:szCs w:val="16"/>
        </w:rPr>
        <w:t>Nicoliche</w:t>
      </w:r>
      <w:proofErr w:type="spellEnd"/>
      <w:r w:rsidRPr="00B348AB">
        <w:rPr>
          <w:sz w:val="16"/>
          <w:szCs w:val="16"/>
        </w:rPr>
        <w:t xml:space="preserve">, representante del señor Fornerón. </w:t>
      </w:r>
    </w:p>
  </w:footnote>
  <w:footnote w:id="17">
    <w:p w14:paraId="1A514ADE" w14:textId="06A16183" w:rsidR="00B348AB" w:rsidRPr="00B348AB" w:rsidRDefault="00B348AB" w:rsidP="00B348AB">
      <w:pPr>
        <w:pStyle w:val="Textonotapie"/>
        <w:jc w:val="both"/>
      </w:pPr>
      <w:r w:rsidRPr="00B348AB">
        <w:rPr>
          <w:rStyle w:val="Refdenotaalpie"/>
          <w:sz w:val="16"/>
          <w:szCs w:val="16"/>
        </w:rPr>
        <w:footnoteRef/>
      </w:r>
      <w:r w:rsidRPr="00B348AB">
        <w:rPr>
          <w:sz w:val="16"/>
          <w:szCs w:val="16"/>
        </w:rPr>
        <w:t xml:space="preserve"> </w:t>
      </w:r>
      <w:r w:rsidRPr="00B348AB">
        <w:rPr>
          <w:sz w:val="16"/>
          <w:szCs w:val="16"/>
        </w:rPr>
        <w:tab/>
      </w:r>
      <w:r>
        <w:rPr>
          <w:sz w:val="16"/>
          <w:szCs w:val="16"/>
        </w:rPr>
        <w:t>P</w:t>
      </w:r>
      <w:r w:rsidRPr="00B348AB">
        <w:rPr>
          <w:sz w:val="16"/>
          <w:szCs w:val="16"/>
        </w:rPr>
        <w:t>articip</w:t>
      </w:r>
      <w:r>
        <w:rPr>
          <w:sz w:val="16"/>
          <w:szCs w:val="16"/>
        </w:rPr>
        <w:t>aron</w:t>
      </w:r>
      <w:r w:rsidRPr="00B348AB">
        <w:rPr>
          <w:sz w:val="16"/>
          <w:szCs w:val="16"/>
        </w:rPr>
        <w:t xml:space="preserve"> “la Presidenta de la Comisión de Legislación Penal de la Cámara de Diputados de la Nación; el Presidente de la Comisión de Justicia y Asuntos Penales del Senado de la Nación; el Secretario Nacional de Niñez, Adolescencia y Familia; el titular de la Unidad Especializada para Casos de Apropiación de Niños durante el Terrorismo de Estado del Ministerio Público Fiscal de la Nación; la Defensoría de los Derechos de Niñas, Niños y Adolescentes de la Nación; y representantes del Ministerio de Relaciones Exteriores, Comercio Internacional y Culto; la Comisión Nacional por el Derecho a la Identidad (CONADI); la Defensoría General de la Nación; la Asociación Abuelas de Plaza de Mayo”. </w:t>
      </w:r>
    </w:p>
  </w:footnote>
  <w:footnote w:id="18">
    <w:p w14:paraId="3D49B8A9" w14:textId="7826962F" w:rsidR="00957075" w:rsidRPr="008806E7" w:rsidRDefault="00957075" w:rsidP="00957075">
      <w:pPr>
        <w:pStyle w:val="Textonotapie"/>
        <w:jc w:val="both"/>
        <w:rPr>
          <w:sz w:val="16"/>
          <w:szCs w:val="16"/>
        </w:rPr>
      </w:pPr>
      <w:r w:rsidRPr="00DA6677">
        <w:rPr>
          <w:rStyle w:val="Refdenotaalpie"/>
          <w:sz w:val="16"/>
          <w:szCs w:val="16"/>
        </w:rPr>
        <w:footnoteRef/>
      </w:r>
      <w:r w:rsidRPr="00DA6677">
        <w:rPr>
          <w:sz w:val="16"/>
          <w:szCs w:val="16"/>
        </w:rPr>
        <w:t xml:space="preserve"> </w:t>
      </w:r>
      <w:r w:rsidRPr="00DA6677">
        <w:rPr>
          <w:sz w:val="16"/>
          <w:szCs w:val="16"/>
        </w:rPr>
        <w:tab/>
      </w:r>
      <w:r w:rsidR="00B348AB">
        <w:rPr>
          <w:sz w:val="16"/>
          <w:szCs w:val="16"/>
        </w:rPr>
        <w:t xml:space="preserve">Participaron </w:t>
      </w:r>
      <w:r w:rsidRPr="00DA6677">
        <w:rPr>
          <w:sz w:val="16"/>
          <w:szCs w:val="16"/>
        </w:rPr>
        <w:t>la Vicepresidenta y la Relatora sobre los Derechos de la Niñez de la Comisión Interamericana de Derechos Humanos</w:t>
      </w:r>
      <w:r w:rsidR="00B348AB">
        <w:rPr>
          <w:sz w:val="16"/>
          <w:szCs w:val="16"/>
        </w:rPr>
        <w:t xml:space="preserve"> y</w:t>
      </w:r>
      <w:r w:rsidRPr="00DA6677">
        <w:rPr>
          <w:sz w:val="16"/>
          <w:szCs w:val="16"/>
        </w:rPr>
        <w:t xml:space="preserve"> UNICEF Argentina. </w:t>
      </w:r>
    </w:p>
  </w:footnote>
  <w:footnote w:id="19">
    <w:p w14:paraId="054317EF" w14:textId="67A6CD77" w:rsidR="00A203D3" w:rsidRPr="00A203D3" w:rsidRDefault="00A203D3" w:rsidP="00A203D3">
      <w:pPr>
        <w:pStyle w:val="Textonotapie"/>
        <w:jc w:val="both"/>
        <w:rPr>
          <w:sz w:val="16"/>
          <w:szCs w:val="16"/>
          <w:lang w:val="es-ES"/>
        </w:rPr>
      </w:pPr>
      <w:r w:rsidRPr="00A203D3">
        <w:rPr>
          <w:rStyle w:val="Refdenotaalpie"/>
          <w:sz w:val="16"/>
          <w:szCs w:val="16"/>
        </w:rPr>
        <w:footnoteRef/>
      </w:r>
      <w:r w:rsidRPr="00A203D3">
        <w:rPr>
          <w:sz w:val="16"/>
          <w:szCs w:val="16"/>
        </w:rPr>
        <w:t xml:space="preserve"> </w:t>
      </w:r>
      <w:r w:rsidRPr="00A203D3">
        <w:rPr>
          <w:sz w:val="16"/>
          <w:szCs w:val="16"/>
          <w:lang w:val="es-ES"/>
        </w:rPr>
        <w:tab/>
        <w:t xml:space="preserve">Al respecto ver: </w:t>
      </w:r>
      <w:r w:rsidRPr="00A203D3">
        <w:rPr>
          <w:sz w:val="16"/>
          <w:szCs w:val="16"/>
        </w:rPr>
        <w:t>Corte IDH_CP-78/2022 Español,</w:t>
      </w:r>
      <w:r w:rsidRPr="00A203D3">
        <w:rPr>
          <w:sz w:val="16"/>
          <w:szCs w:val="16"/>
          <w:lang w:val="es-ES"/>
        </w:rPr>
        <w:t xml:space="preserve"> </w:t>
      </w:r>
      <w:r w:rsidRPr="00A203D3">
        <w:rPr>
          <w:i/>
          <w:iCs/>
          <w:sz w:val="16"/>
          <w:szCs w:val="16"/>
          <w:lang w:val="es-ES"/>
        </w:rPr>
        <w:t>“</w:t>
      </w:r>
      <w:r w:rsidRPr="00A203D3">
        <w:rPr>
          <w:rFonts w:cs="Open Sans"/>
          <w:i/>
          <w:iCs/>
          <w:sz w:val="16"/>
          <w:szCs w:val="16"/>
        </w:rPr>
        <w:t>Corte Interamericana realizó visita a Argentina para Supervisar Cumplimiento de Sentencias”</w:t>
      </w:r>
      <w:r w:rsidRPr="00A203D3">
        <w:rPr>
          <w:rFonts w:cs="Open Sans"/>
          <w:sz w:val="16"/>
          <w:szCs w:val="16"/>
        </w:rPr>
        <w:t xml:space="preserve">, 2 de noviembre de 2022. Disponible en: </w:t>
      </w:r>
      <w:hyperlink r:id="rId5" w:history="1">
        <w:r w:rsidRPr="00A203D3">
          <w:rPr>
            <w:rStyle w:val="Hipervnculo"/>
            <w:rFonts w:cs="Open Sans"/>
            <w:sz w:val="16"/>
            <w:szCs w:val="16"/>
          </w:rPr>
          <w:t>https://www.corteidh.or.cr/docs/comunicados/cp_78_2022.pdf</w:t>
        </w:r>
      </w:hyperlink>
      <w:r>
        <w:rPr>
          <w:rFonts w:cs="Open Sans"/>
          <w:color w:val="3695D2"/>
          <w:sz w:val="16"/>
          <w:szCs w:val="16"/>
        </w:rPr>
        <w:t>.</w:t>
      </w:r>
      <w:r w:rsidRPr="00A203D3">
        <w:rPr>
          <w:rFonts w:cs="Open Sans"/>
          <w:b/>
          <w:bCs/>
          <w:color w:val="3695D2"/>
          <w:sz w:val="16"/>
          <w:szCs w:val="16"/>
        </w:rPr>
        <w:t xml:space="preserve"> </w:t>
      </w:r>
    </w:p>
  </w:footnote>
  <w:footnote w:id="20">
    <w:p w14:paraId="506A7111" w14:textId="677C2D07" w:rsidR="003548A9" w:rsidRPr="003548A9" w:rsidRDefault="003548A9">
      <w:pPr>
        <w:pStyle w:val="Textonotapie"/>
        <w:rPr>
          <w:sz w:val="16"/>
          <w:szCs w:val="16"/>
        </w:rPr>
      </w:pPr>
      <w:r w:rsidRPr="003548A9">
        <w:rPr>
          <w:rStyle w:val="Refdenotaalpie"/>
          <w:sz w:val="16"/>
          <w:szCs w:val="16"/>
        </w:rPr>
        <w:footnoteRef/>
      </w:r>
      <w:r w:rsidRPr="003548A9">
        <w:rPr>
          <w:sz w:val="16"/>
          <w:szCs w:val="16"/>
        </w:rPr>
        <w:t xml:space="preserve"> </w:t>
      </w:r>
      <w:r w:rsidRPr="003548A9">
        <w:rPr>
          <w:sz w:val="16"/>
          <w:szCs w:val="16"/>
        </w:rPr>
        <w:tab/>
        <w:t>Este dictamen fue dado el 19 de octubre de 2022.</w:t>
      </w:r>
    </w:p>
  </w:footnote>
  <w:footnote w:id="21">
    <w:p w14:paraId="1AE12468" w14:textId="2950BE96" w:rsidR="00911FA5" w:rsidRPr="00055E00" w:rsidRDefault="00911FA5" w:rsidP="008756DA">
      <w:pPr>
        <w:pStyle w:val="Textonotapie"/>
        <w:tabs>
          <w:tab w:val="left" w:pos="709"/>
        </w:tabs>
        <w:jc w:val="both"/>
        <w:rPr>
          <w:sz w:val="16"/>
          <w:szCs w:val="16"/>
        </w:rPr>
      </w:pPr>
      <w:r w:rsidRPr="00055E00">
        <w:rPr>
          <w:rStyle w:val="Refdenotaalpie"/>
          <w:sz w:val="16"/>
          <w:szCs w:val="16"/>
        </w:rPr>
        <w:footnoteRef/>
      </w:r>
      <w:r w:rsidRPr="00055E00">
        <w:rPr>
          <w:sz w:val="16"/>
          <w:szCs w:val="16"/>
        </w:rPr>
        <w:t xml:space="preserve"> </w:t>
      </w:r>
      <w:r w:rsidR="00055E00" w:rsidRPr="00055E00">
        <w:rPr>
          <w:sz w:val="16"/>
          <w:szCs w:val="16"/>
        </w:rPr>
        <w:tab/>
      </w:r>
      <w:r w:rsidR="00055E00" w:rsidRPr="00055E00">
        <w:rPr>
          <w:i/>
          <w:iCs/>
          <w:sz w:val="16"/>
          <w:szCs w:val="16"/>
        </w:rPr>
        <w:t>Cfr</w:t>
      </w:r>
      <w:r w:rsidR="00055E00" w:rsidRPr="00055E00">
        <w:rPr>
          <w:sz w:val="16"/>
          <w:szCs w:val="16"/>
        </w:rPr>
        <w:t>.</w:t>
      </w:r>
      <w:r w:rsidR="00055E00" w:rsidRPr="00055E00">
        <w:rPr>
          <w:i/>
          <w:iCs/>
          <w:sz w:val="16"/>
          <w:szCs w:val="16"/>
        </w:rPr>
        <w:t xml:space="preserve"> Caso Fornerón e hija Vs. Argentina, supra </w:t>
      </w:r>
      <w:r w:rsidR="00055E00" w:rsidRPr="00055E00">
        <w:rPr>
          <w:sz w:val="16"/>
          <w:szCs w:val="16"/>
        </w:rPr>
        <w:t>nota 3, Considerando 51.</w:t>
      </w:r>
    </w:p>
  </w:footnote>
  <w:footnote w:id="22">
    <w:p w14:paraId="5B757F87" w14:textId="404C7610" w:rsidR="00450E65" w:rsidRPr="00450E65" w:rsidRDefault="00450E65" w:rsidP="008756DA">
      <w:pPr>
        <w:pStyle w:val="Textonotapie"/>
        <w:tabs>
          <w:tab w:val="left" w:pos="709"/>
        </w:tabs>
        <w:jc w:val="both"/>
        <w:rPr>
          <w:lang w:val="es-ES"/>
        </w:rPr>
      </w:pPr>
      <w:r w:rsidRPr="00055E00">
        <w:rPr>
          <w:rStyle w:val="Refdenotaalpie"/>
          <w:sz w:val="16"/>
          <w:szCs w:val="16"/>
        </w:rPr>
        <w:footnoteRef/>
      </w:r>
      <w:r w:rsidRPr="00055E00">
        <w:rPr>
          <w:sz w:val="16"/>
          <w:szCs w:val="16"/>
        </w:rPr>
        <w:t xml:space="preserve"> </w:t>
      </w:r>
      <w:r w:rsidR="00055E00" w:rsidRPr="00055E00">
        <w:rPr>
          <w:sz w:val="16"/>
          <w:szCs w:val="16"/>
        </w:rPr>
        <w:tab/>
      </w:r>
      <w:r w:rsidR="00055E00" w:rsidRPr="00055E00">
        <w:rPr>
          <w:i/>
          <w:iCs/>
          <w:sz w:val="16"/>
          <w:szCs w:val="16"/>
        </w:rPr>
        <w:t xml:space="preserve">Cfr. Caso Castillo </w:t>
      </w:r>
      <w:proofErr w:type="spellStart"/>
      <w:r w:rsidR="00055E00" w:rsidRPr="00055E00">
        <w:rPr>
          <w:i/>
          <w:iCs/>
          <w:sz w:val="16"/>
          <w:szCs w:val="16"/>
        </w:rPr>
        <w:t>Petruzzi</w:t>
      </w:r>
      <w:proofErr w:type="spellEnd"/>
      <w:r w:rsidR="00055E00" w:rsidRPr="00055E00">
        <w:rPr>
          <w:i/>
          <w:iCs/>
          <w:sz w:val="16"/>
          <w:szCs w:val="16"/>
        </w:rPr>
        <w:t xml:space="preserve"> y otros Vs. Perú. Supervisión de Cumplimiento de Sentencia.</w:t>
      </w:r>
      <w:r w:rsidR="00055E00" w:rsidRPr="00055E00">
        <w:rPr>
          <w:sz w:val="16"/>
          <w:szCs w:val="16"/>
        </w:rPr>
        <w:t xml:space="preserve"> Resolución de la Corte Interamericana de Derechos Humanos de 17 de noviembre de 1999, Considerando 4, y </w:t>
      </w:r>
      <w:r w:rsidR="00055E00" w:rsidRPr="00055E00">
        <w:rPr>
          <w:rFonts w:cs="Open Sans"/>
          <w:i/>
          <w:iCs/>
          <w:sz w:val="16"/>
          <w:szCs w:val="16"/>
          <w:shd w:val="clear" w:color="auto" w:fill="FFFFFF"/>
        </w:rPr>
        <w:t>Caso Fontevecchia y D’Amico Vs. Argentina. Supervisión de Cumplimiento de Sentencia.</w:t>
      </w:r>
      <w:r w:rsidR="00055E00" w:rsidRPr="00055E00">
        <w:rPr>
          <w:rFonts w:cs="Open Sans"/>
          <w:sz w:val="16"/>
          <w:szCs w:val="16"/>
          <w:shd w:val="clear" w:color="auto" w:fill="FFFFFF"/>
        </w:rPr>
        <w:t xml:space="preserve"> Resolución de la Corte Interamericana de Derechos Humanos de 18 de octubre de 2017, Considerando 13.</w:t>
      </w:r>
    </w:p>
  </w:footnote>
  <w:footnote w:id="23">
    <w:p w14:paraId="1C95BAD1" w14:textId="0F35C0D1" w:rsidR="00AA0604" w:rsidRPr="00AA0604" w:rsidRDefault="00AA0604" w:rsidP="00AA0604">
      <w:pPr>
        <w:pStyle w:val="Textonotapie"/>
        <w:jc w:val="both"/>
        <w:rPr>
          <w:sz w:val="16"/>
          <w:szCs w:val="16"/>
          <w:lang w:val="es-ES"/>
        </w:rPr>
      </w:pPr>
      <w:r w:rsidRPr="00AA0604">
        <w:rPr>
          <w:rStyle w:val="Refdenotaalpie"/>
          <w:sz w:val="16"/>
          <w:szCs w:val="16"/>
        </w:rPr>
        <w:footnoteRef/>
      </w:r>
      <w:r w:rsidRPr="00AA0604">
        <w:rPr>
          <w:sz w:val="16"/>
          <w:szCs w:val="16"/>
        </w:rPr>
        <w:t xml:space="preserve"> </w:t>
      </w:r>
      <w:r w:rsidRPr="00AA0604">
        <w:rPr>
          <w:sz w:val="16"/>
          <w:szCs w:val="16"/>
          <w:lang w:val="es-ES"/>
        </w:rPr>
        <w:tab/>
        <w:t xml:space="preserve">En similar sentido ver: </w:t>
      </w:r>
      <w:r w:rsidRPr="00AA0604">
        <w:rPr>
          <w:rFonts w:cs="Open Sans"/>
          <w:i/>
          <w:iCs/>
          <w:sz w:val="16"/>
          <w:szCs w:val="16"/>
          <w:shd w:val="clear" w:color="auto" w:fill="FFFFFF"/>
        </w:rPr>
        <w:t>Caso Artavia Murillo y otros (Fecundación in Vitro) Vs. Costa Rica. Supervisión de Cumplimiento de Sentencia.</w:t>
      </w:r>
      <w:r w:rsidRPr="00AA0604">
        <w:rPr>
          <w:rFonts w:cs="Open Sans"/>
          <w:sz w:val="16"/>
          <w:szCs w:val="16"/>
          <w:shd w:val="clear" w:color="auto" w:fill="FFFFFF"/>
        </w:rPr>
        <w:t xml:space="preserve"> Resolución de la Corte Interamericana de Derechos Humanos de 26 de febrero de 2016, Considerando 12.</w:t>
      </w:r>
    </w:p>
  </w:footnote>
  <w:footnote w:id="24">
    <w:p w14:paraId="10A9F6AC" w14:textId="134F17CE" w:rsidR="00347CA7" w:rsidRPr="00055E00" w:rsidRDefault="00347CA7" w:rsidP="00347CA7">
      <w:pPr>
        <w:pStyle w:val="Textonotapie"/>
        <w:tabs>
          <w:tab w:val="left" w:pos="567"/>
        </w:tabs>
        <w:jc w:val="both"/>
        <w:rPr>
          <w:sz w:val="16"/>
          <w:szCs w:val="16"/>
        </w:rPr>
      </w:pPr>
      <w:r w:rsidRPr="00055E00">
        <w:rPr>
          <w:rStyle w:val="Refdenotaalpie"/>
          <w:sz w:val="16"/>
          <w:szCs w:val="16"/>
        </w:rPr>
        <w:footnoteRef/>
      </w:r>
      <w:r w:rsidRPr="00055E00">
        <w:rPr>
          <w:sz w:val="16"/>
          <w:szCs w:val="16"/>
          <w:lang w:val="pt-BR"/>
        </w:rPr>
        <w:t xml:space="preserve"> </w:t>
      </w:r>
      <w:r w:rsidRPr="00055E00">
        <w:rPr>
          <w:sz w:val="16"/>
          <w:szCs w:val="16"/>
          <w:lang w:val="pt-BR"/>
        </w:rPr>
        <w:tab/>
      </w:r>
      <w:r w:rsidRPr="00055E00">
        <w:rPr>
          <w:i/>
          <w:iCs/>
          <w:sz w:val="16"/>
          <w:szCs w:val="16"/>
          <w:lang w:val="pt-BR"/>
        </w:rPr>
        <w:t xml:space="preserve">Cfr. Caso Gomes </w:t>
      </w:r>
      <w:proofErr w:type="spellStart"/>
      <w:r w:rsidRPr="00055E00">
        <w:rPr>
          <w:i/>
          <w:iCs/>
          <w:sz w:val="16"/>
          <w:szCs w:val="16"/>
          <w:lang w:val="pt-BR"/>
        </w:rPr>
        <w:t>Lund</w:t>
      </w:r>
      <w:proofErr w:type="spellEnd"/>
      <w:r w:rsidRPr="00055E00">
        <w:rPr>
          <w:i/>
          <w:iCs/>
          <w:sz w:val="16"/>
          <w:szCs w:val="16"/>
          <w:lang w:val="pt-BR"/>
        </w:rPr>
        <w:t xml:space="preserve"> y </w:t>
      </w:r>
      <w:proofErr w:type="spellStart"/>
      <w:r w:rsidRPr="00055E00">
        <w:rPr>
          <w:i/>
          <w:iCs/>
          <w:sz w:val="16"/>
          <w:szCs w:val="16"/>
          <w:lang w:val="pt-BR"/>
        </w:rPr>
        <w:t>otros</w:t>
      </w:r>
      <w:proofErr w:type="spellEnd"/>
      <w:r w:rsidRPr="00055E00">
        <w:rPr>
          <w:i/>
          <w:iCs/>
          <w:sz w:val="16"/>
          <w:szCs w:val="16"/>
          <w:lang w:val="pt-BR"/>
        </w:rPr>
        <w:t xml:space="preserve"> ("Guerrilha do Araguaia") Vs. </w:t>
      </w:r>
      <w:r w:rsidRPr="00055E00">
        <w:rPr>
          <w:i/>
          <w:iCs/>
          <w:sz w:val="16"/>
          <w:szCs w:val="16"/>
        </w:rPr>
        <w:t>Brasil. Supervisión de Cumplimiento de Sentencia.</w:t>
      </w:r>
      <w:r w:rsidRPr="00055E00">
        <w:rPr>
          <w:sz w:val="16"/>
          <w:szCs w:val="16"/>
        </w:rPr>
        <w:t xml:space="preserve"> Resolución de la Corte Interamericana de Derechos Humanos de 17 de octubre de 2014, Considerando 84, y </w:t>
      </w:r>
      <w:r w:rsidRPr="00055E00">
        <w:rPr>
          <w:i/>
          <w:iCs/>
          <w:sz w:val="16"/>
          <w:szCs w:val="16"/>
        </w:rPr>
        <w:t>Caso Petro Urrego Vs. Colombia. Solicitud de Medidas Provisionales y Supervisión de Cumplimiento de Sentencia.</w:t>
      </w:r>
      <w:r w:rsidRPr="00055E00">
        <w:rPr>
          <w:sz w:val="16"/>
          <w:szCs w:val="16"/>
        </w:rPr>
        <w:t xml:space="preserve"> Resolución de la Corte Interamericana de Derechos Humanos de 24 de junio de 2021, Considerando 18.</w:t>
      </w:r>
    </w:p>
  </w:footnote>
  <w:footnote w:id="25">
    <w:p w14:paraId="6368E5E5" w14:textId="2C79BAA6" w:rsidR="00347CA7" w:rsidRPr="00055E00" w:rsidRDefault="00347CA7" w:rsidP="00347CA7">
      <w:pPr>
        <w:pStyle w:val="Textonotapie"/>
        <w:tabs>
          <w:tab w:val="left" w:pos="567"/>
        </w:tabs>
        <w:jc w:val="both"/>
        <w:rPr>
          <w:rFonts w:cs="Arial"/>
          <w:sz w:val="16"/>
          <w:szCs w:val="16"/>
        </w:rPr>
      </w:pPr>
      <w:r w:rsidRPr="00055E00">
        <w:rPr>
          <w:rStyle w:val="Refdenotaalpie"/>
          <w:sz w:val="16"/>
          <w:szCs w:val="16"/>
        </w:rPr>
        <w:footnoteRef/>
      </w:r>
      <w:r w:rsidRPr="00055E00">
        <w:rPr>
          <w:sz w:val="16"/>
          <w:szCs w:val="16"/>
        </w:rPr>
        <w:t xml:space="preserve"> </w:t>
      </w:r>
      <w:r w:rsidRPr="00055E00">
        <w:rPr>
          <w:sz w:val="16"/>
          <w:szCs w:val="16"/>
          <w:lang w:val="es-ES"/>
        </w:rPr>
        <w:tab/>
        <w:t xml:space="preserve">Únicamente señalaron que </w:t>
      </w:r>
      <w:r w:rsidRPr="00055E00">
        <w:rPr>
          <w:sz w:val="16"/>
          <w:szCs w:val="16"/>
        </w:rPr>
        <w:t>“queda[ría] […] un punto p[</w:t>
      </w:r>
      <w:proofErr w:type="spellStart"/>
      <w:r w:rsidRPr="00055E00">
        <w:rPr>
          <w:sz w:val="16"/>
          <w:szCs w:val="16"/>
        </w:rPr>
        <w:t>or</w:t>
      </w:r>
      <w:proofErr w:type="spellEnd"/>
      <w:r w:rsidRPr="00055E00">
        <w:rPr>
          <w:sz w:val="16"/>
          <w:szCs w:val="16"/>
        </w:rPr>
        <w:t xml:space="preserve">] agregar [relativo a] fijar la competencia territorial </w:t>
      </w:r>
      <w:r w:rsidRPr="00055E00">
        <w:rPr>
          <w:rFonts w:cs="Arial"/>
          <w:sz w:val="16"/>
          <w:szCs w:val="16"/>
        </w:rPr>
        <w:t xml:space="preserve">en el domicilio de la víctima, en el centro de vida del niño/niña como prueba del delito”. </w:t>
      </w:r>
      <w:r w:rsidRPr="00055E00">
        <w:rPr>
          <w:rFonts w:cs="Arial"/>
          <w:i/>
          <w:iCs/>
          <w:sz w:val="16"/>
          <w:szCs w:val="16"/>
        </w:rPr>
        <w:t xml:space="preserve">Cfr. </w:t>
      </w:r>
      <w:r w:rsidRPr="00055E00">
        <w:rPr>
          <w:rFonts w:cs="Arial"/>
          <w:sz w:val="16"/>
          <w:szCs w:val="16"/>
        </w:rPr>
        <w:t xml:space="preserve">Escrito de observaciones de </w:t>
      </w:r>
      <w:r w:rsidR="00484A06">
        <w:rPr>
          <w:rFonts w:cs="Arial"/>
          <w:sz w:val="16"/>
          <w:szCs w:val="16"/>
        </w:rPr>
        <w:t xml:space="preserve">las </w:t>
      </w:r>
      <w:r w:rsidRPr="00055E00">
        <w:rPr>
          <w:rFonts w:cs="Arial"/>
          <w:sz w:val="16"/>
          <w:szCs w:val="16"/>
        </w:rPr>
        <w:t xml:space="preserve">representantes de 23 de octubre de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A43A9"/>
    <w:multiLevelType w:val="hybridMultilevel"/>
    <w:tmpl w:val="E508E99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9D1F4B"/>
    <w:multiLevelType w:val="hybridMultilevel"/>
    <w:tmpl w:val="5A6A1722"/>
    <w:lvl w:ilvl="0" w:tplc="E01C1288">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209822DF"/>
    <w:multiLevelType w:val="multilevel"/>
    <w:tmpl w:val="BF14E9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 w15:restartNumberingAfterBreak="0">
    <w:nsid w:val="21F73BAE"/>
    <w:multiLevelType w:val="hybridMultilevel"/>
    <w:tmpl w:val="AB64D1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4807B4A"/>
    <w:multiLevelType w:val="hybridMultilevel"/>
    <w:tmpl w:val="70EEC1E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8905B65"/>
    <w:multiLevelType w:val="hybridMultilevel"/>
    <w:tmpl w:val="E0826C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0350D5D"/>
    <w:multiLevelType w:val="hybridMultilevel"/>
    <w:tmpl w:val="9A80CB06"/>
    <w:lvl w:ilvl="0" w:tplc="140A0001">
      <w:start w:val="1"/>
      <w:numFmt w:val="bullet"/>
      <w:lvlText w:val=""/>
      <w:lvlJc w:val="left"/>
      <w:pPr>
        <w:ind w:left="770" w:hanging="360"/>
      </w:pPr>
      <w:rPr>
        <w:rFonts w:ascii="Symbol" w:hAnsi="Symbol" w:hint="default"/>
      </w:rPr>
    </w:lvl>
    <w:lvl w:ilvl="1" w:tplc="140A0003">
      <w:start w:val="1"/>
      <w:numFmt w:val="bullet"/>
      <w:lvlText w:val="o"/>
      <w:lvlJc w:val="left"/>
      <w:pPr>
        <w:ind w:left="1490" w:hanging="360"/>
      </w:pPr>
      <w:rPr>
        <w:rFonts w:ascii="Courier New" w:hAnsi="Courier New" w:cs="Courier New" w:hint="default"/>
      </w:rPr>
    </w:lvl>
    <w:lvl w:ilvl="2" w:tplc="140A0005">
      <w:start w:val="1"/>
      <w:numFmt w:val="bullet"/>
      <w:lvlText w:val=""/>
      <w:lvlJc w:val="left"/>
      <w:pPr>
        <w:ind w:left="2210" w:hanging="360"/>
      </w:pPr>
      <w:rPr>
        <w:rFonts w:ascii="Wingdings" w:hAnsi="Wingdings" w:hint="default"/>
      </w:rPr>
    </w:lvl>
    <w:lvl w:ilvl="3" w:tplc="140A0001">
      <w:start w:val="1"/>
      <w:numFmt w:val="bullet"/>
      <w:lvlText w:val=""/>
      <w:lvlJc w:val="left"/>
      <w:pPr>
        <w:ind w:left="2930" w:hanging="360"/>
      </w:pPr>
      <w:rPr>
        <w:rFonts w:ascii="Symbol" w:hAnsi="Symbol" w:hint="default"/>
      </w:rPr>
    </w:lvl>
    <w:lvl w:ilvl="4" w:tplc="140A0003">
      <w:start w:val="1"/>
      <w:numFmt w:val="bullet"/>
      <w:lvlText w:val="o"/>
      <w:lvlJc w:val="left"/>
      <w:pPr>
        <w:ind w:left="3650" w:hanging="360"/>
      </w:pPr>
      <w:rPr>
        <w:rFonts w:ascii="Courier New" w:hAnsi="Courier New" w:cs="Courier New" w:hint="default"/>
      </w:rPr>
    </w:lvl>
    <w:lvl w:ilvl="5" w:tplc="140A0005">
      <w:start w:val="1"/>
      <w:numFmt w:val="bullet"/>
      <w:lvlText w:val=""/>
      <w:lvlJc w:val="left"/>
      <w:pPr>
        <w:ind w:left="4370" w:hanging="360"/>
      </w:pPr>
      <w:rPr>
        <w:rFonts w:ascii="Wingdings" w:hAnsi="Wingdings" w:hint="default"/>
      </w:rPr>
    </w:lvl>
    <w:lvl w:ilvl="6" w:tplc="140A0001">
      <w:start w:val="1"/>
      <w:numFmt w:val="bullet"/>
      <w:lvlText w:val=""/>
      <w:lvlJc w:val="left"/>
      <w:pPr>
        <w:ind w:left="5090" w:hanging="360"/>
      </w:pPr>
      <w:rPr>
        <w:rFonts w:ascii="Symbol" w:hAnsi="Symbol" w:hint="default"/>
      </w:rPr>
    </w:lvl>
    <w:lvl w:ilvl="7" w:tplc="140A0003">
      <w:start w:val="1"/>
      <w:numFmt w:val="bullet"/>
      <w:lvlText w:val="o"/>
      <w:lvlJc w:val="left"/>
      <w:pPr>
        <w:ind w:left="5810" w:hanging="360"/>
      </w:pPr>
      <w:rPr>
        <w:rFonts w:ascii="Courier New" w:hAnsi="Courier New" w:cs="Courier New" w:hint="default"/>
      </w:rPr>
    </w:lvl>
    <w:lvl w:ilvl="8" w:tplc="140A0005">
      <w:start w:val="1"/>
      <w:numFmt w:val="bullet"/>
      <w:lvlText w:val=""/>
      <w:lvlJc w:val="left"/>
      <w:pPr>
        <w:ind w:left="6530" w:hanging="360"/>
      </w:pPr>
      <w:rPr>
        <w:rFonts w:ascii="Wingdings" w:hAnsi="Wingdings" w:hint="default"/>
      </w:rPr>
    </w:lvl>
  </w:abstractNum>
  <w:abstractNum w:abstractNumId="7" w15:restartNumberingAfterBreak="0">
    <w:nsid w:val="309908AA"/>
    <w:multiLevelType w:val="hybridMultilevel"/>
    <w:tmpl w:val="1FD482A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0D103E2"/>
    <w:multiLevelType w:val="hybridMultilevel"/>
    <w:tmpl w:val="F5B821BC"/>
    <w:lvl w:ilvl="0" w:tplc="30D0FA70">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5D5496"/>
    <w:multiLevelType w:val="hybridMultilevel"/>
    <w:tmpl w:val="590A63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4D7841"/>
    <w:multiLevelType w:val="hybridMultilevel"/>
    <w:tmpl w:val="6124FB58"/>
    <w:lvl w:ilvl="0" w:tplc="3A6A802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DAF1CA6"/>
    <w:multiLevelType w:val="hybridMultilevel"/>
    <w:tmpl w:val="5BCCFC6C"/>
    <w:lvl w:ilvl="0" w:tplc="140A0015">
      <w:start w:val="1"/>
      <w:numFmt w:val="upperLetter"/>
      <w:lvlText w:val="%1."/>
      <w:lvlJc w:val="left"/>
      <w:pPr>
        <w:ind w:left="1215" w:hanging="360"/>
      </w:pPr>
      <w:rPr>
        <w:rFonts w:hint="default"/>
      </w:rPr>
    </w:lvl>
    <w:lvl w:ilvl="1" w:tplc="140A0019">
      <w:start w:val="1"/>
      <w:numFmt w:val="lowerLetter"/>
      <w:lvlText w:val="%2."/>
      <w:lvlJc w:val="left"/>
      <w:pPr>
        <w:ind w:left="1935" w:hanging="360"/>
      </w:pPr>
    </w:lvl>
    <w:lvl w:ilvl="2" w:tplc="140A001B">
      <w:start w:val="1"/>
      <w:numFmt w:val="lowerRoman"/>
      <w:lvlText w:val="%3."/>
      <w:lvlJc w:val="right"/>
      <w:pPr>
        <w:ind w:left="2655" w:hanging="180"/>
      </w:pPr>
    </w:lvl>
    <w:lvl w:ilvl="3" w:tplc="140A000F">
      <w:start w:val="1"/>
      <w:numFmt w:val="decimal"/>
      <w:lvlText w:val="%4."/>
      <w:lvlJc w:val="left"/>
      <w:pPr>
        <w:ind w:left="3375" w:hanging="360"/>
      </w:pPr>
    </w:lvl>
    <w:lvl w:ilvl="4" w:tplc="140A0019">
      <w:start w:val="1"/>
      <w:numFmt w:val="lowerLetter"/>
      <w:lvlText w:val="%5."/>
      <w:lvlJc w:val="left"/>
      <w:pPr>
        <w:ind w:left="4095" w:hanging="360"/>
      </w:pPr>
    </w:lvl>
    <w:lvl w:ilvl="5" w:tplc="140A001B">
      <w:start w:val="1"/>
      <w:numFmt w:val="lowerRoman"/>
      <w:lvlText w:val="%6."/>
      <w:lvlJc w:val="right"/>
      <w:pPr>
        <w:ind w:left="4815" w:hanging="180"/>
      </w:pPr>
    </w:lvl>
    <w:lvl w:ilvl="6" w:tplc="140A000F" w:tentative="1">
      <w:start w:val="1"/>
      <w:numFmt w:val="decimal"/>
      <w:lvlText w:val="%7."/>
      <w:lvlJc w:val="left"/>
      <w:pPr>
        <w:ind w:left="5535" w:hanging="360"/>
      </w:pPr>
    </w:lvl>
    <w:lvl w:ilvl="7" w:tplc="140A0019" w:tentative="1">
      <w:start w:val="1"/>
      <w:numFmt w:val="lowerLetter"/>
      <w:lvlText w:val="%8."/>
      <w:lvlJc w:val="left"/>
      <w:pPr>
        <w:ind w:left="6255" w:hanging="360"/>
      </w:pPr>
    </w:lvl>
    <w:lvl w:ilvl="8" w:tplc="140A001B" w:tentative="1">
      <w:start w:val="1"/>
      <w:numFmt w:val="lowerRoman"/>
      <w:lvlText w:val="%9."/>
      <w:lvlJc w:val="right"/>
      <w:pPr>
        <w:ind w:left="6975" w:hanging="180"/>
      </w:pPr>
    </w:lvl>
  </w:abstractNum>
  <w:abstractNum w:abstractNumId="12" w15:restartNumberingAfterBreak="0">
    <w:nsid w:val="3E2316A0"/>
    <w:multiLevelType w:val="hybridMultilevel"/>
    <w:tmpl w:val="EC0895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8965AD2"/>
    <w:multiLevelType w:val="hybridMultilevel"/>
    <w:tmpl w:val="FEE08248"/>
    <w:lvl w:ilvl="0" w:tplc="79F63482">
      <w:start w:val="1"/>
      <w:numFmt w:val="decimal"/>
      <w:lvlText w:val="%1."/>
      <w:lvlJc w:val="left"/>
      <w:pPr>
        <w:ind w:left="786" w:hanging="360"/>
      </w:pPr>
      <w:rPr>
        <w:rFonts w:ascii="Verdana" w:hAnsi="Verdana" w:hint="default"/>
        <w:b w:val="0"/>
        <w:bCs w:val="0"/>
        <w:color w:val="auto"/>
        <w:sz w:val="20"/>
        <w:szCs w:val="20"/>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4" w15:restartNumberingAfterBreak="0">
    <w:nsid w:val="4AD5015C"/>
    <w:multiLevelType w:val="hybridMultilevel"/>
    <w:tmpl w:val="7F7ACA8A"/>
    <w:lvl w:ilvl="0" w:tplc="140A0015">
      <w:start w:val="1"/>
      <w:numFmt w:val="upperLetter"/>
      <w:lvlText w:val="%1."/>
      <w:lvlJc w:val="left"/>
      <w:pPr>
        <w:ind w:left="1215" w:hanging="360"/>
      </w:pPr>
      <w:rPr>
        <w:rFonts w:hint="default"/>
      </w:rPr>
    </w:lvl>
    <w:lvl w:ilvl="1" w:tplc="140A0019">
      <w:start w:val="1"/>
      <w:numFmt w:val="lowerLetter"/>
      <w:lvlText w:val="%2."/>
      <w:lvlJc w:val="left"/>
      <w:pPr>
        <w:ind w:left="1935" w:hanging="360"/>
      </w:pPr>
    </w:lvl>
    <w:lvl w:ilvl="2" w:tplc="140A001B">
      <w:start w:val="1"/>
      <w:numFmt w:val="lowerRoman"/>
      <w:lvlText w:val="%3."/>
      <w:lvlJc w:val="right"/>
      <w:pPr>
        <w:ind w:left="2655" w:hanging="180"/>
      </w:pPr>
    </w:lvl>
    <w:lvl w:ilvl="3" w:tplc="140A000F">
      <w:start w:val="1"/>
      <w:numFmt w:val="decimal"/>
      <w:lvlText w:val="%4."/>
      <w:lvlJc w:val="left"/>
      <w:pPr>
        <w:ind w:left="3375" w:hanging="360"/>
      </w:pPr>
    </w:lvl>
    <w:lvl w:ilvl="4" w:tplc="140A0019">
      <w:start w:val="1"/>
      <w:numFmt w:val="lowerLetter"/>
      <w:lvlText w:val="%5."/>
      <w:lvlJc w:val="left"/>
      <w:pPr>
        <w:ind w:left="4095" w:hanging="360"/>
      </w:pPr>
    </w:lvl>
    <w:lvl w:ilvl="5" w:tplc="140A001B">
      <w:start w:val="1"/>
      <w:numFmt w:val="lowerRoman"/>
      <w:lvlText w:val="%6."/>
      <w:lvlJc w:val="right"/>
      <w:pPr>
        <w:ind w:left="4815" w:hanging="180"/>
      </w:pPr>
    </w:lvl>
    <w:lvl w:ilvl="6" w:tplc="140A000F" w:tentative="1">
      <w:start w:val="1"/>
      <w:numFmt w:val="decimal"/>
      <w:lvlText w:val="%7."/>
      <w:lvlJc w:val="left"/>
      <w:pPr>
        <w:ind w:left="5535" w:hanging="360"/>
      </w:pPr>
    </w:lvl>
    <w:lvl w:ilvl="7" w:tplc="140A0019" w:tentative="1">
      <w:start w:val="1"/>
      <w:numFmt w:val="lowerLetter"/>
      <w:lvlText w:val="%8."/>
      <w:lvlJc w:val="left"/>
      <w:pPr>
        <w:ind w:left="6255" w:hanging="360"/>
      </w:pPr>
    </w:lvl>
    <w:lvl w:ilvl="8" w:tplc="140A001B" w:tentative="1">
      <w:start w:val="1"/>
      <w:numFmt w:val="lowerRoman"/>
      <w:lvlText w:val="%9."/>
      <w:lvlJc w:val="right"/>
      <w:pPr>
        <w:ind w:left="6975" w:hanging="180"/>
      </w:pPr>
    </w:lvl>
  </w:abstractNum>
  <w:abstractNum w:abstractNumId="15" w15:restartNumberingAfterBreak="0">
    <w:nsid w:val="4CB2054A"/>
    <w:multiLevelType w:val="hybridMultilevel"/>
    <w:tmpl w:val="27A8CDD6"/>
    <w:lvl w:ilvl="0" w:tplc="140A000F">
      <w:start w:val="1"/>
      <w:numFmt w:val="decimal"/>
      <w:lvlText w:val="%1."/>
      <w:lvlJc w:val="left"/>
      <w:pPr>
        <w:ind w:left="333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1DC1D0C"/>
    <w:multiLevelType w:val="hybridMultilevel"/>
    <w:tmpl w:val="9B4EA7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2321300"/>
    <w:multiLevelType w:val="hybridMultilevel"/>
    <w:tmpl w:val="3C4C9F16"/>
    <w:lvl w:ilvl="0" w:tplc="ADA4E026">
      <w:start w:val="1"/>
      <w:numFmt w:val="decimal"/>
      <w:lvlText w:val="%1."/>
      <w:lvlJc w:val="left"/>
      <w:pPr>
        <w:ind w:left="121" w:hanging="709"/>
      </w:pPr>
      <w:rPr>
        <w:rFonts w:ascii="Verdana" w:eastAsia="Verdana" w:hAnsi="Verdana" w:cs="Verdana" w:hint="default"/>
        <w:b w:val="0"/>
        <w:bCs w:val="0"/>
        <w:i w:val="0"/>
        <w:iCs w:val="0"/>
        <w:spacing w:val="-1"/>
        <w:w w:val="100"/>
        <w:sz w:val="20"/>
        <w:szCs w:val="20"/>
        <w:lang w:val="es-ES" w:eastAsia="en-US" w:bidi="ar-SA"/>
      </w:rPr>
    </w:lvl>
    <w:lvl w:ilvl="1" w:tplc="D4BA7E76">
      <w:start w:val="1"/>
      <w:numFmt w:val="lowerLetter"/>
      <w:lvlText w:val="%2)"/>
      <w:lvlJc w:val="left"/>
      <w:pPr>
        <w:ind w:left="841" w:hanging="361"/>
      </w:pPr>
      <w:rPr>
        <w:rFonts w:ascii="Verdana" w:eastAsia="Verdana" w:hAnsi="Verdana" w:cs="Verdana" w:hint="default"/>
        <w:b w:val="0"/>
        <w:bCs w:val="0"/>
        <w:i w:val="0"/>
        <w:iCs w:val="0"/>
        <w:spacing w:val="-1"/>
        <w:w w:val="100"/>
        <w:sz w:val="20"/>
        <w:szCs w:val="20"/>
        <w:lang w:val="es-ES" w:eastAsia="en-US" w:bidi="ar-SA"/>
      </w:rPr>
    </w:lvl>
    <w:lvl w:ilvl="2" w:tplc="F06E53F6">
      <w:numFmt w:val="bullet"/>
      <w:lvlText w:val="•"/>
      <w:lvlJc w:val="left"/>
      <w:pPr>
        <w:ind w:left="1755" w:hanging="361"/>
      </w:pPr>
      <w:rPr>
        <w:rFonts w:hint="default"/>
        <w:lang w:val="es-ES" w:eastAsia="en-US" w:bidi="ar-SA"/>
      </w:rPr>
    </w:lvl>
    <w:lvl w:ilvl="3" w:tplc="556A441E">
      <w:numFmt w:val="bullet"/>
      <w:lvlText w:val="•"/>
      <w:lvlJc w:val="left"/>
      <w:pPr>
        <w:ind w:left="2671" w:hanging="361"/>
      </w:pPr>
      <w:rPr>
        <w:rFonts w:hint="default"/>
        <w:lang w:val="es-ES" w:eastAsia="en-US" w:bidi="ar-SA"/>
      </w:rPr>
    </w:lvl>
    <w:lvl w:ilvl="4" w:tplc="A0EAAD1E">
      <w:numFmt w:val="bullet"/>
      <w:lvlText w:val="•"/>
      <w:lvlJc w:val="left"/>
      <w:pPr>
        <w:ind w:left="3586" w:hanging="361"/>
      </w:pPr>
      <w:rPr>
        <w:rFonts w:hint="default"/>
        <w:lang w:val="es-ES" w:eastAsia="en-US" w:bidi="ar-SA"/>
      </w:rPr>
    </w:lvl>
    <w:lvl w:ilvl="5" w:tplc="07F0D332">
      <w:numFmt w:val="bullet"/>
      <w:lvlText w:val="•"/>
      <w:lvlJc w:val="left"/>
      <w:pPr>
        <w:ind w:left="4502" w:hanging="361"/>
      </w:pPr>
      <w:rPr>
        <w:rFonts w:hint="default"/>
        <w:lang w:val="es-ES" w:eastAsia="en-US" w:bidi="ar-SA"/>
      </w:rPr>
    </w:lvl>
    <w:lvl w:ilvl="6" w:tplc="A20A0804">
      <w:numFmt w:val="bullet"/>
      <w:lvlText w:val="•"/>
      <w:lvlJc w:val="left"/>
      <w:pPr>
        <w:ind w:left="5417" w:hanging="361"/>
      </w:pPr>
      <w:rPr>
        <w:rFonts w:hint="default"/>
        <w:lang w:val="es-ES" w:eastAsia="en-US" w:bidi="ar-SA"/>
      </w:rPr>
    </w:lvl>
    <w:lvl w:ilvl="7" w:tplc="C06807C2">
      <w:numFmt w:val="bullet"/>
      <w:lvlText w:val="•"/>
      <w:lvlJc w:val="left"/>
      <w:pPr>
        <w:ind w:left="6333" w:hanging="361"/>
      </w:pPr>
      <w:rPr>
        <w:rFonts w:hint="default"/>
        <w:lang w:val="es-ES" w:eastAsia="en-US" w:bidi="ar-SA"/>
      </w:rPr>
    </w:lvl>
    <w:lvl w:ilvl="8" w:tplc="2218693E">
      <w:numFmt w:val="bullet"/>
      <w:lvlText w:val="•"/>
      <w:lvlJc w:val="left"/>
      <w:pPr>
        <w:ind w:left="7248" w:hanging="361"/>
      </w:pPr>
      <w:rPr>
        <w:rFonts w:hint="default"/>
        <w:lang w:val="es-ES" w:eastAsia="en-US" w:bidi="ar-SA"/>
      </w:rPr>
    </w:lvl>
  </w:abstractNum>
  <w:abstractNum w:abstractNumId="18" w15:restartNumberingAfterBreak="0">
    <w:nsid w:val="55B41B6B"/>
    <w:multiLevelType w:val="hybridMultilevel"/>
    <w:tmpl w:val="C7F24256"/>
    <w:lvl w:ilvl="0" w:tplc="D5883D78">
      <w:start w:val="1"/>
      <w:numFmt w:val="upperLetter"/>
      <w:lvlText w:val="%1."/>
      <w:lvlJc w:val="left"/>
      <w:pPr>
        <w:ind w:left="928"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19" w15:restartNumberingAfterBreak="0">
    <w:nsid w:val="58C66F14"/>
    <w:multiLevelType w:val="hybridMultilevel"/>
    <w:tmpl w:val="32B6E38E"/>
    <w:lvl w:ilvl="0" w:tplc="62D64914">
      <w:start w:val="1"/>
      <w:numFmt w:val="decimal"/>
      <w:lvlText w:val="%1."/>
      <w:lvlJc w:val="left"/>
      <w:pPr>
        <w:ind w:left="5464" w:hanging="360"/>
      </w:pPr>
      <w:rPr>
        <w:rFonts w:ascii="Verdana" w:hAnsi="Verdana" w:cstheme="minorBidi"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F0E7125"/>
    <w:multiLevelType w:val="hybridMultilevel"/>
    <w:tmpl w:val="17CC6A2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3366108"/>
    <w:multiLevelType w:val="hybridMultilevel"/>
    <w:tmpl w:val="78FE2C4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67DB0AC2"/>
    <w:multiLevelType w:val="hybridMultilevel"/>
    <w:tmpl w:val="B812086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9C90304"/>
    <w:multiLevelType w:val="hybridMultilevel"/>
    <w:tmpl w:val="A5E0EBD4"/>
    <w:lvl w:ilvl="0" w:tplc="993C1F14">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C177EB5"/>
    <w:multiLevelType w:val="hybridMultilevel"/>
    <w:tmpl w:val="638AFE1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0CC0FD5"/>
    <w:multiLevelType w:val="multilevel"/>
    <w:tmpl w:val="26EEE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0065C3"/>
    <w:multiLevelType w:val="hybridMultilevel"/>
    <w:tmpl w:val="5FE082AE"/>
    <w:lvl w:ilvl="0" w:tplc="140A0019">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C58083C"/>
    <w:multiLevelType w:val="hybridMultilevel"/>
    <w:tmpl w:val="25BCE59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15:restartNumberingAfterBreak="0">
    <w:nsid w:val="7EFD7A29"/>
    <w:multiLevelType w:val="hybridMultilevel"/>
    <w:tmpl w:val="7EC8300C"/>
    <w:lvl w:ilvl="0" w:tplc="B426CCE8">
      <w:start w:val="1"/>
      <w:numFmt w:val="decimal"/>
      <w:lvlText w:val="%1."/>
      <w:lvlJc w:val="left"/>
      <w:pPr>
        <w:ind w:left="1353" w:hanging="360"/>
      </w:pPr>
      <w:rPr>
        <w:rFonts w:ascii="Verdana" w:hAnsi="Verdana" w:hint="default"/>
        <w:b w:val="0"/>
        <w:i w:val="0"/>
        <w:color w:val="auto"/>
        <w:sz w:val="20"/>
        <w:szCs w:val="20"/>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2114090816">
    <w:abstractNumId w:val="21"/>
  </w:num>
  <w:num w:numId="2" w16cid:durableId="678698549">
    <w:abstractNumId w:val="17"/>
  </w:num>
  <w:num w:numId="3" w16cid:durableId="476722554">
    <w:abstractNumId w:val="28"/>
  </w:num>
  <w:num w:numId="4" w16cid:durableId="204877680">
    <w:abstractNumId w:val="15"/>
  </w:num>
  <w:num w:numId="5" w16cid:durableId="1239100474">
    <w:abstractNumId w:val="14"/>
  </w:num>
  <w:num w:numId="6" w16cid:durableId="599147215">
    <w:abstractNumId w:val="0"/>
  </w:num>
  <w:num w:numId="7" w16cid:durableId="1574121079">
    <w:abstractNumId w:val="11"/>
  </w:num>
  <w:num w:numId="8" w16cid:durableId="1498350727">
    <w:abstractNumId w:val="18"/>
  </w:num>
  <w:num w:numId="9" w16cid:durableId="1915778881">
    <w:abstractNumId w:val="24"/>
  </w:num>
  <w:num w:numId="10" w16cid:durableId="1706756094">
    <w:abstractNumId w:val="26"/>
  </w:num>
  <w:num w:numId="11" w16cid:durableId="2076463691">
    <w:abstractNumId w:val="7"/>
  </w:num>
  <w:num w:numId="12" w16cid:durableId="193425307">
    <w:abstractNumId w:val="27"/>
  </w:num>
  <w:num w:numId="13" w16cid:durableId="1201824755">
    <w:abstractNumId w:val="6"/>
  </w:num>
  <w:num w:numId="14" w16cid:durableId="951670861">
    <w:abstractNumId w:val="4"/>
  </w:num>
  <w:num w:numId="15" w16cid:durableId="1912084036">
    <w:abstractNumId w:val="23"/>
  </w:num>
  <w:num w:numId="16" w16cid:durableId="249195774">
    <w:abstractNumId w:val="1"/>
  </w:num>
  <w:num w:numId="17" w16cid:durableId="862210342">
    <w:abstractNumId w:val="20"/>
  </w:num>
  <w:num w:numId="18" w16cid:durableId="1928035080">
    <w:abstractNumId w:val="16"/>
  </w:num>
  <w:num w:numId="19" w16cid:durableId="2146850121">
    <w:abstractNumId w:val="19"/>
  </w:num>
  <w:num w:numId="20" w16cid:durableId="1737240456">
    <w:abstractNumId w:val="12"/>
  </w:num>
  <w:num w:numId="21" w16cid:durableId="1024943914">
    <w:abstractNumId w:val="3"/>
  </w:num>
  <w:num w:numId="22" w16cid:durableId="1773357608">
    <w:abstractNumId w:val="25"/>
  </w:num>
  <w:num w:numId="23" w16cid:durableId="1103838949">
    <w:abstractNumId w:val="5"/>
  </w:num>
  <w:num w:numId="24" w16cid:durableId="1871188109">
    <w:abstractNumId w:val="10"/>
  </w:num>
  <w:num w:numId="25" w16cid:durableId="1001392594">
    <w:abstractNumId w:val="22"/>
  </w:num>
  <w:num w:numId="26" w16cid:durableId="1248466746">
    <w:abstractNumId w:val="13"/>
  </w:num>
  <w:num w:numId="27" w16cid:durableId="406419597">
    <w:abstractNumId w:val="2"/>
  </w:num>
  <w:num w:numId="28" w16cid:durableId="393240546">
    <w:abstractNumId w:val="9"/>
  </w:num>
  <w:num w:numId="29" w16cid:durableId="3402019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B50"/>
    <w:rsid w:val="0000165C"/>
    <w:rsid w:val="0000381B"/>
    <w:rsid w:val="0000490F"/>
    <w:rsid w:val="00005CFD"/>
    <w:rsid w:val="000064AE"/>
    <w:rsid w:val="000126A2"/>
    <w:rsid w:val="00012985"/>
    <w:rsid w:val="00015DB2"/>
    <w:rsid w:val="00016473"/>
    <w:rsid w:val="00020DD9"/>
    <w:rsid w:val="000218A0"/>
    <w:rsid w:val="00021945"/>
    <w:rsid w:val="00022965"/>
    <w:rsid w:val="00023D29"/>
    <w:rsid w:val="0002403D"/>
    <w:rsid w:val="00024860"/>
    <w:rsid w:val="00026B50"/>
    <w:rsid w:val="00026DC9"/>
    <w:rsid w:val="0003028E"/>
    <w:rsid w:val="00030A55"/>
    <w:rsid w:val="00030CFD"/>
    <w:rsid w:val="000310A2"/>
    <w:rsid w:val="00031FAD"/>
    <w:rsid w:val="000324BB"/>
    <w:rsid w:val="0003426C"/>
    <w:rsid w:val="00036322"/>
    <w:rsid w:val="00041550"/>
    <w:rsid w:val="00042829"/>
    <w:rsid w:val="000469ED"/>
    <w:rsid w:val="00051904"/>
    <w:rsid w:val="000525AA"/>
    <w:rsid w:val="00053AB2"/>
    <w:rsid w:val="00055E00"/>
    <w:rsid w:val="00060457"/>
    <w:rsid w:val="0006051E"/>
    <w:rsid w:val="000625BA"/>
    <w:rsid w:val="0006450E"/>
    <w:rsid w:val="00066D02"/>
    <w:rsid w:val="000678A3"/>
    <w:rsid w:val="00073C7D"/>
    <w:rsid w:val="00074CB6"/>
    <w:rsid w:val="00075302"/>
    <w:rsid w:val="000766AD"/>
    <w:rsid w:val="00077CA4"/>
    <w:rsid w:val="00094CDA"/>
    <w:rsid w:val="00095D49"/>
    <w:rsid w:val="00097AAD"/>
    <w:rsid w:val="000A27BB"/>
    <w:rsid w:val="000A2FA4"/>
    <w:rsid w:val="000A2FE7"/>
    <w:rsid w:val="000A4D79"/>
    <w:rsid w:val="000A549D"/>
    <w:rsid w:val="000A6BFE"/>
    <w:rsid w:val="000A7E63"/>
    <w:rsid w:val="000B3C02"/>
    <w:rsid w:val="000B49F4"/>
    <w:rsid w:val="000B529B"/>
    <w:rsid w:val="000C08B3"/>
    <w:rsid w:val="000C0A7D"/>
    <w:rsid w:val="000C64CB"/>
    <w:rsid w:val="000C7D23"/>
    <w:rsid w:val="000D00A3"/>
    <w:rsid w:val="000D3410"/>
    <w:rsid w:val="000D5D01"/>
    <w:rsid w:val="000D6636"/>
    <w:rsid w:val="000E3A38"/>
    <w:rsid w:val="000E3B35"/>
    <w:rsid w:val="000E671C"/>
    <w:rsid w:val="000E75E3"/>
    <w:rsid w:val="000F4FEC"/>
    <w:rsid w:val="000F5B26"/>
    <w:rsid w:val="000F7F95"/>
    <w:rsid w:val="001028A9"/>
    <w:rsid w:val="00105AE6"/>
    <w:rsid w:val="00106EB9"/>
    <w:rsid w:val="001071D0"/>
    <w:rsid w:val="0011190F"/>
    <w:rsid w:val="00113E47"/>
    <w:rsid w:val="00114578"/>
    <w:rsid w:val="00114CE8"/>
    <w:rsid w:val="00116643"/>
    <w:rsid w:val="00122BFF"/>
    <w:rsid w:val="00124DD0"/>
    <w:rsid w:val="00125DAB"/>
    <w:rsid w:val="00130BEA"/>
    <w:rsid w:val="00130C96"/>
    <w:rsid w:val="001402A0"/>
    <w:rsid w:val="00144DFA"/>
    <w:rsid w:val="00145214"/>
    <w:rsid w:val="001505E9"/>
    <w:rsid w:val="00155078"/>
    <w:rsid w:val="00156F2E"/>
    <w:rsid w:val="00160AC6"/>
    <w:rsid w:val="0017068E"/>
    <w:rsid w:val="00171D06"/>
    <w:rsid w:val="00173AB4"/>
    <w:rsid w:val="00176768"/>
    <w:rsid w:val="001771DA"/>
    <w:rsid w:val="00182BC3"/>
    <w:rsid w:val="001879F4"/>
    <w:rsid w:val="00191A75"/>
    <w:rsid w:val="00194024"/>
    <w:rsid w:val="001941C5"/>
    <w:rsid w:val="001A0BA4"/>
    <w:rsid w:val="001A4E90"/>
    <w:rsid w:val="001A73FA"/>
    <w:rsid w:val="001A7844"/>
    <w:rsid w:val="001A7CAD"/>
    <w:rsid w:val="001B087F"/>
    <w:rsid w:val="001B2626"/>
    <w:rsid w:val="001B2E2D"/>
    <w:rsid w:val="001B40A3"/>
    <w:rsid w:val="001B5591"/>
    <w:rsid w:val="001B7FC7"/>
    <w:rsid w:val="001C4AF6"/>
    <w:rsid w:val="001C4C61"/>
    <w:rsid w:val="001D2249"/>
    <w:rsid w:val="001D3A8A"/>
    <w:rsid w:val="001D51AC"/>
    <w:rsid w:val="001E08B5"/>
    <w:rsid w:val="001E2DB4"/>
    <w:rsid w:val="001E50D0"/>
    <w:rsid w:val="001F19ED"/>
    <w:rsid w:val="001F23EB"/>
    <w:rsid w:val="001F48BF"/>
    <w:rsid w:val="001F4F64"/>
    <w:rsid w:val="001F6064"/>
    <w:rsid w:val="001F7152"/>
    <w:rsid w:val="002016F1"/>
    <w:rsid w:val="0020274E"/>
    <w:rsid w:val="00203947"/>
    <w:rsid w:val="002049ED"/>
    <w:rsid w:val="00207704"/>
    <w:rsid w:val="00220063"/>
    <w:rsid w:val="00220854"/>
    <w:rsid w:val="0022097E"/>
    <w:rsid w:val="00222387"/>
    <w:rsid w:val="00224F7E"/>
    <w:rsid w:val="00232A61"/>
    <w:rsid w:val="00233C4A"/>
    <w:rsid w:val="002359C1"/>
    <w:rsid w:val="00235D88"/>
    <w:rsid w:val="0023694F"/>
    <w:rsid w:val="00241456"/>
    <w:rsid w:val="00241EC9"/>
    <w:rsid w:val="00241FBA"/>
    <w:rsid w:val="00242415"/>
    <w:rsid w:val="00242704"/>
    <w:rsid w:val="00246482"/>
    <w:rsid w:val="00250B12"/>
    <w:rsid w:val="00256573"/>
    <w:rsid w:val="00260907"/>
    <w:rsid w:val="00260B0E"/>
    <w:rsid w:val="002621A9"/>
    <w:rsid w:val="002673E1"/>
    <w:rsid w:val="00272DE7"/>
    <w:rsid w:val="0027318E"/>
    <w:rsid w:val="00274763"/>
    <w:rsid w:val="00275637"/>
    <w:rsid w:val="00275682"/>
    <w:rsid w:val="0028170F"/>
    <w:rsid w:val="002843A1"/>
    <w:rsid w:val="00284F0F"/>
    <w:rsid w:val="00287B42"/>
    <w:rsid w:val="0029049F"/>
    <w:rsid w:val="002918C0"/>
    <w:rsid w:val="00295437"/>
    <w:rsid w:val="00295481"/>
    <w:rsid w:val="00296D3D"/>
    <w:rsid w:val="00296F43"/>
    <w:rsid w:val="002A0744"/>
    <w:rsid w:val="002A16CD"/>
    <w:rsid w:val="002A1A27"/>
    <w:rsid w:val="002A1F23"/>
    <w:rsid w:val="002A2DCC"/>
    <w:rsid w:val="002A3356"/>
    <w:rsid w:val="002A6FDF"/>
    <w:rsid w:val="002B35B4"/>
    <w:rsid w:val="002B372D"/>
    <w:rsid w:val="002C1FA7"/>
    <w:rsid w:val="002C2498"/>
    <w:rsid w:val="002C3D33"/>
    <w:rsid w:val="002C4D23"/>
    <w:rsid w:val="002D52A5"/>
    <w:rsid w:val="002E01BA"/>
    <w:rsid w:val="002E067D"/>
    <w:rsid w:val="002E6123"/>
    <w:rsid w:val="002F0470"/>
    <w:rsid w:val="002F219C"/>
    <w:rsid w:val="002F426E"/>
    <w:rsid w:val="002F5034"/>
    <w:rsid w:val="002F6D7E"/>
    <w:rsid w:val="003006EA"/>
    <w:rsid w:val="003007BD"/>
    <w:rsid w:val="003031AE"/>
    <w:rsid w:val="003051F9"/>
    <w:rsid w:val="003102FC"/>
    <w:rsid w:val="003140AE"/>
    <w:rsid w:val="00314E13"/>
    <w:rsid w:val="00315BFA"/>
    <w:rsid w:val="00320822"/>
    <w:rsid w:val="0032179E"/>
    <w:rsid w:val="0032298A"/>
    <w:rsid w:val="00322E2C"/>
    <w:rsid w:val="00327E86"/>
    <w:rsid w:val="00330401"/>
    <w:rsid w:val="00330F94"/>
    <w:rsid w:val="0033363B"/>
    <w:rsid w:val="00333BCD"/>
    <w:rsid w:val="003375D2"/>
    <w:rsid w:val="00341044"/>
    <w:rsid w:val="0034137E"/>
    <w:rsid w:val="00342827"/>
    <w:rsid w:val="0034485A"/>
    <w:rsid w:val="00347CA7"/>
    <w:rsid w:val="00347FC5"/>
    <w:rsid w:val="00352203"/>
    <w:rsid w:val="003548A9"/>
    <w:rsid w:val="003559B9"/>
    <w:rsid w:val="00357119"/>
    <w:rsid w:val="00357888"/>
    <w:rsid w:val="00362511"/>
    <w:rsid w:val="003732A7"/>
    <w:rsid w:val="0037382D"/>
    <w:rsid w:val="00373E12"/>
    <w:rsid w:val="00375200"/>
    <w:rsid w:val="00375544"/>
    <w:rsid w:val="0037558E"/>
    <w:rsid w:val="00376DC9"/>
    <w:rsid w:val="00380E7F"/>
    <w:rsid w:val="00381757"/>
    <w:rsid w:val="0038799F"/>
    <w:rsid w:val="00392E30"/>
    <w:rsid w:val="003931F8"/>
    <w:rsid w:val="003A2B57"/>
    <w:rsid w:val="003A5174"/>
    <w:rsid w:val="003B1A3C"/>
    <w:rsid w:val="003B20E9"/>
    <w:rsid w:val="003C0F28"/>
    <w:rsid w:val="003C5CEA"/>
    <w:rsid w:val="003C79A4"/>
    <w:rsid w:val="003D05A5"/>
    <w:rsid w:val="003D09D2"/>
    <w:rsid w:val="003D0F8A"/>
    <w:rsid w:val="003D1F44"/>
    <w:rsid w:val="003D411E"/>
    <w:rsid w:val="003D7426"/>
    <w:rsid w:val="003D7DEC"/>
    <w:rsid w:val="003E3ADD"/>
    <w:rsid w:val="003F0D6E"/>
    <w:rsid w:val="003F2466"/>
    <w:rsid w:val="003F78C7"/>
    <w:rsid w:val="00401938"/>
    <w:rsid w:val="00401ECE"/>
    <w:rsid w:val="004042C8"/>
    <w:rsid w:val="00404811"/>
    <w:rsid w:val="00413FF3"/>
    <w:rsid w:val="00420D58"/>
    <w:rsid w:val="00422FE4"/>
    <w:rsid w:val="00423D89"/>
    <w:rsid w:val="00431C31"/>
    <w:rsid w:val="00434AF6"/>
    <w:rsid w:val="00436C02"/>
    <w:rsid w:val="00440532"/>
    <w:rsid w:val="00443877"/>
    <w:rsid w:val="00444D6B"/>
    <w:rsid w:val="00446BEC"/>
    <w:rsid w:val="00450E65"/>
    <w:rsid w:val="00451DD1"/>
    <w:rsid w:val="00454A74"/>
    <w:rsid w:val="00465A17"/>
    <w:rsid w:val="00470FAE"/>
    <w:rsid w:val="00471831"/>
    <w:rsid w:val="00474F23"/>
    <w:rsid w:val="004767DA"/>
    <w:rsid w:val="00482868"/>
    <w:rsid w:val="0048344E"/>
    <w:rsid w:val="00484A06"/>
    <w:rsid w:val="00484B71"/>
    <w:rsid w:val="00486E1F"/>
    <w:rsid w:val="00487BA4"/>
    <w:rsid w:val="004900E3"/>
    <w:rsid w:val="00492E09"/>
    <w:rsid w:val="004952E0"/>
    <w:rsid w:val="004971C0"/>
    <w:rsid w:val="0049755E"/>
    <w:rsid w:val="00497A4D"/>
    <w:rsid w:val="004A0405"/>
    <w:rsid w:val="004A1F99"/>
    <w:rsid w:val="004A2787"/>
    <w:rsid w:val="004A2C61"/>
    <w:rsid w:val="004A36F1"/>
    <w:rsid w:val="004A3904"/>
    <w:rsid w:val="004A3FB5"/>
    <w:rsid w:val="004A3FBA"/>
    <w:rsid w:val="004A4336"/>
    <w:rsid w:val="004A455D"/>
    <w:rsid w:val="004B09E4"/>
    <w:rsid w:val="004B5748"/>
    <w:rsid w:val="004B5AFF"/>
    <w:rsid w:val="004C1BDC"/>
    <w:rsid w:val="004C34E4"/>
    <w:rsid w:val="004C3C6B"/>
    <w:rsid w:val="004C42A8"/>
    <w:rsid w:val="004C4704"/>
    <w:rsid w:val="004C55EC"/>
    <w:rsid w:val="004C6AB0"/>
    <w:rsid w:val="004C77F9"/>
    <w:rsid w:val="004C7B95"/>
    <w:rsid w:val="004D077C"/>
    <w:rsid w:val="004D10A9"/>
    <w:rsid w:val="004D364E"/>
    <w:rsid w:val="004D36FB"/>
    <w:rsid w:val="004E0EB5"/>
    <w:rsid w:val="004E50DC"/>
    <w:rsid w:val="004E5350"/>
    <w:rsid w:val="004E55A4"/>
    <w:rsid w:val="004E64FB"/>
    <w:rsid w:val="004F003B"/>
    <w:rsid w:val="004F35C7"/>
    <w:rsid w:val="004F3F1E"/>
    <w:rsid w:val="005021D1"/>
    <w:rsid w:val="00512210"/>
    <w:rsid w:val="00512A95"/>
    <w:rsid w:val="00513396"/>
    <w:rsid w:val="00517C7E"/>
    <w:rsid w:val="00524CD4"/>
    <w:rsid w:val="005254D0"/>
    <w:rsid w:val="00527A16"/>
    <w:rsid w:val="00531D9C"/>
    <w:rsid w:val="005321DE"/>
    <w:rsid w:val="00532208"/>
    <w:rsid w:val="00532ACF"/>
    <w:rsid w:val="00533244"/>
    <w:rsid w:val="0053398E"/>
    <w:rsid w:val="00534F78"/>
    <w:rsid w:val="005418CA"/>
    <w:rsid w:val="00544C7A"/>
    <w:rsid w:val="0054610C"/>
    <w:rsid w:val="00550821"/>
    <w:rsid w:val="00553605"/>
    <w:rsid w:val="00556A29"/>
    <w:rsid w:val="00557659"/>
    <w:rsid w:val="00560846"/>
    <w:rsid w:val="005616CB"/>
    <w:rsid w:val="00563020"/>
    <w:rsid w:val="005631B4"/>
    <w:rsid w:val="005758C7"/>
    <w:rsid w:val="0057625F"/>
    <w:rsid w:val="00580D43"/>
    <w:rsid w:val="00586C7B"/>
    <w:rsid w:val="00594F79"/>
    <w:rsid w:val="005A1E76"/>
    <w:rsid w:val="005A21D7"/>
    <w:rsid w:val="005A3E65"/>
    <w:rsid w:val="005A4EEE"/>
    <w:rsid w:val="005A75B4"/>
    <w:rsid w:val="005B1419"/>
    <w:rsid w:val="005B3384"/>
    <w:rsid w:val="005B4546"/>
    <w:rsid w:val="005B60FD"/>
    <w:rsid w:val="005B6DEE"/>
    <w:rsid w:val="005C0BB1"/>
    <w:rsid w:val="005C70BA"/>
    <w:rsid w:val="005D2E08"/>
    <w:rsid w:val="005D63DC"/>
    <w:rsid w:val="005D6A9A"/>
    <w:rsid w:val="005D714D"/>
    <w:rsid w:val="005E63C9"/>
    <w:rsid w:val="005E6680"/>
    <w:rsid w:val="005F2703"/>
    <w:rsid w:val="005F449F"/>
    <w:rsid w:val="005F528D"/>
    <w:rsid w:val="005F6488"/>
    <w:rsid w:val="005F6F30"/>
    <w:rsid w:val="005F7331"/>
    <w:rsid w:val="005F7649"/>
    <w:rsid w:val="0060084E"/>
    <w:rsid w:val="00601F6D"/>
    <w:rsid w:val="00605E3D"/>
    <w:rsid w:val="006101A4"/>
    <w:rsid w:val="00610C89"/>
    <w:rsid w:val="006113DF"/>
    <w:rsid w:val="006116A0"/>
    <w:rsid w:val="0061208D"/>
    <w:rsid w:val="00612B91"/>
    <w:rsid w:val="00613662"/>
    <w:rsid w:val="006140BF"/>
    <w:rsid w:val="0061577B"/>
    <w:rsid w:val="00620139"/>
    <w:rsid w:val="0062353D"/>
    <w:rsid w:val="00623E07"/>
    <w:rsid w:val="0062784C"/>
    <w:rsid w:val="006310B3"/>
    <w:rsid w:val="00631402"/>
    <w:rsid w:val="00632BDF"/>
    <w:rsid w:val="00637501"/>
    <w:rsid w:val="00637DAF"/>
    <w:rsid w:val="0064303B"/>
    <w:rsid w:val="00643252"/>
    <w:rsid w:val="00643579"/>
    <w:rsid w:val="0064738A"/>
    <w:rsid w:val="006507AC"/>
    <w:rsid w:val="00656176"/>
    <w:rsid w:val="0065678A"/>
    <w:rsid w:val="006573F1"/>
    <w:rsid w:val="00661937"/>
    <w:rsid w:val="00665FB0"/>
    <w:rsid w:val="006732C4"/>
    <w:rsid w:val="0067652A"/>
    <w:rsid w:val="00677189"/>
    <w:rsid w:val="00677217"/>
    <w:rsid w:val="00681761"/>
    <w:rsid w:val="00682E52"/>
    <w:rsid w:val="006837C1"/>
    <w:rsid w:val="006845DA"/>
    <w:rsid w:val="0068567A"/>
    <w:rsid w:val="00686A74"/>
    <w:rsid w:val="00690C28"/>
    <w:rsid w:val="00690CC7"/>
    <w:rsid w:val="006911D9"/>
    <w:rsid w:val="0069127B"/>
    <w:rsid w:val="00691AEB"/>
    <w:rsid w:val="00692E48"/>
    <w:rsid w:val="00693CE4"/>
    <w:rsid w:val="0069689C"/>
    <w:rsid w:val="006970D8"/>
    <w:rsid w:val="006A160C"/>
    <w:rsid w:val="006A19BB"/>
    <w:rsid w:val="006A2FCF"/>
    <w:rsid w:val="006A7D56"/>
    <w:rsid w:val="006B046D"/>
    <w:rsid w:val="006B6666"/>
    <w:rsid w:val="006C3D5E"/>
    <w:rsid w:val="006C43F6"/>
    <w:rsid w:val="006D1EAC"/>
    <w:rsid w:val="006D4758"/>
    <w:rsid w:val="006D5BD1"/>
    <w:rsid w:val="006E2D8B"/>
    <w:rsid w:val="006E644E"/>
    <w:rsid w:val="006E6B7C"/>
    <w:rsid w:val="006E7B99"/>
    <w:rsid w:val="006F393D"/>
    <w:rsid w:val="006F4B4B"/>
    <w:rsid w:val="006F7074"/>
    <w:rsid w:val="006F774E"/>
    <w:rsid w:val="007016C5"/>
    <w:rsid w:val="00701A9C"/>
    <w:rsid w:val="00702FB6"/>
    <w:rsid w:val="007032E9"/>
    <w:rsid w:val="00707EEE"/>
    <w:rsid w:val="00710F09"/>
    <w:rsid w:val="00713F30"/>
    <w:rsid w:val="00713FF8"/>
    <w:rsid w:val="00714C1E"/>
    <w:rsid w:val="00721AD8"/>
    <w:rsid w:val="00724C68"/>
    <w:rsid w:val="00731747"/>
    <w:rsid w:val="00731A74"/>
    <w:rsid w:val="00732241"/>
    <w:rsid w:val="0073675E"/>
    <w:rsid w:val="0074069D"/>
    <w:rsid w:val="00741E69"/>
    <w:rsid w:val="00743979"/>
    <w:rsid w:val="00746DC2"/>
    <w:rsid w:val="00747A2F"/>
    <w:rsid w:val="0075134E"/>
    <w:rsid w:val="00754FFB"/>
    <w:rsid w:val="007575CC"/>
    <w:rsid w:val="00763216"/>
    <w:rsid w:val="00767766"/>
    <w:rsid w:val="00771168"/>
    <w:rsid w:val="00772C0C"/>
    <w:rsid w:val="007752AA"/>
    <w:rsid w:val="00777944"/>
    <w:rsid w:val="00781BDD"/>
    <w:rsid w:val="0078225C"/>
    <w:rsid w:val="007839A3"/>
    <w:rsid w:val="00785716"/>
    <w:rsid w:val="007862B5"/>
    <w:rsid w:val="00787851"/>
    <w:rsid w:val="00793454"/>
    <w:rsid w:val="00793827"/>
    <w:rsid w:val="007946BB"/>
    <w:rsid w:val="0079749A"/>
    <w:rsid w:val="007A0587"/>
    <w:rsid w:val="007A2CEC"/>
    <w:rsid w:val="007B2557"/>
    <w:rsid w:val="007B58F3"/>
    <w:rsid w:val="007B641E"/>
    <w:rsid w:val="007B6466"/>
    <w:rsid w:val="007C5ED7"/>
    <w:rsid w:val="007D1EB3"/>
    <w:rsid w:val="007D61ED"/>
    <w:rsid w:val="007D7FDC"/>
    <w:rsid w:val="007E0BA4"/>
    <w:rsid w:val="007E24D8"/>
    <w:rsid w:val="007F0004"/>
    <w:rsid w:val="007F04FE"/>
    <w:rsid w:val="007F3B8A"/>
    <w:rsid w:val="007F7900"/>
    <w:rsid w:val="008008FF"/>
    <w:rsid w:val="00800CBD"/>
    <w:rsid w:val="00802C99"/>
    <w:rsid w:val="008078E1"/>
    <w:rsid w:val="00810BDD"/>
    <w:rsid w:val="00813C6F"/>
    <w:rsid w:val="008145A4"/>
    <w:rsid w:val="00815092"/>
    <w:rsid w:val="008155F5"/>
    <w:rsid w:val="00816D89"/>
    <w:rsid w:val="00823AC5"/>
    <w:rsid w:val="00823E08"/>
    <w:rsid w:val="0082743D"/>
    <w:rsid w:val="0083134C"/>
    <w:rsid w:val="00831D90"/>
    <w:rsid w:val="008323CB"/>
    <w:rsid w:val="008362C5"/>
    <w:rsid w:val="00836914"/>
    <w:rsid w:val="0083722A"/>
    <w:rsid w:val="0084213A"/>
    <w:rsid w:val="00844F7E"/>
    <w:rsid w:val="008455E5"/>
    <w:rsid w:val="0084590F"/>
    <w:rsid w:val="00845D40"/>
    <w:rsid w:val="008464F2"/>
    <w:rsid w:val="00850437"/>
    <w:rsid w:val="00853A8C"/>
    <w:rsid w:val="00854090"/>
    <w:rsid w:val="00854510"/>
    <w:rsid w:val="008545B2"/>
    <w:rsid w:val="00856CC6"/>
    <w:rsid w:val="008575F0"/>
    <w:rsid w:val="008607A2"/>
    <w:rsid w:val="00860E10"/>
    <w:rsid w:val="00863646"/>
    <w:rsid w:val="00865273"/>
    <w:rsid w:val="0086753A"/>
    <w:rsid w:val="0087230E"/>
    <w:rsid w:val="008756DA"/>
    <w:rsid w:val="00876712"/>
    <w:rsid w:val="008806E7"/>
    <w:rsid w:val="00880F82"/>
    <w:rsid w:val="0088545D"/>
    <w:rsid w:val="0089263B"/>
    <w:rsid w:val="008963AD"/>
    <w:rsid w:val="00897F68"/>
    <w:rsid w:val="008A0896"/>
    <w:rsid w:val="008A420E"/>
    <w:rsid w:val="008A4D90"/>
    <w:rsid w:val="008A7D22"/>
    <w:rsid w:val="008B0BA7"/>
    <w:rsid w:val="008B4E3A"/>
    <w:rsid w:val="008B5E31"/>
    <w:rsid w:val="008C1314"/>
    <w:rsid w:val="008C3658"/>
    <w:rsid w:val="008C40DD"/>
    <w:rsid w:val="008C4AE4"/>
    <w:rsid w:val="008C5AAB"/>
    <w:rsid w:val="008C78B3"/>
    <w:rsid w:val="008D0D53"/>
    <w:rsid w:val="008D1138"/>
    <w:rsid w:val="008D27C6"/>
    <w:rsid w:val="008D6A10"/>
    <w:rsid w:val="008D7F5B"/>
    <w:rsid w:val="008E1B9B"/>
    <w:rsid w:val="008E5F50"/>
    <w:rsid w:val="008E7CFC"/>
    <w:rsid w:val="008F0F5C"/>
    <w:rsid w:val="008F2C7D"/>
    <w:rsid w:val="008F3140"/>
    <w:rsid w:val="008F560D"/>
    <w:rsid w:val="009007A1"/>
    <w:rsid w:val="009010EC"/>
    <w:rsid w:val="009105A6"/>
    <w:rsid w:val="00911FA5"/>
    <w:rsid w:val="009135B4"/>
    <w:rsid w:val="009211A2"/>
    <w:rsid w:val="009213B9"/>
    <w:rsid w:val="00922BA2"/>
    <w:rsid w:val="00924CC3"/>
    <w:rsid w:val="00927185"/>
    <w:rsid w:val="009278E6"/>
    <w:rsid w:val="00930844"/>
    <w:rsid w:val="00932A6C"/>
    <w:rsid w:val="00934171"/>
    <w:rsid w:val="00935522"/>
    <w:rsid w:val="00936ED7"/>
    <w:rsid w:val="009375E6"/>
    <w:rsid w:val="009413A6"/>
    <w:rsid w:val="009459E7"/>
    <w:rsid w:val="00955391"/>
    <w:rsid w:val="00957075"/>
    <w:rsid w:val="00957C28"/>
    <w:rsid w:val="00961E2A"/>
    <w:rsid w:val="00963919"/>
    <w:rsid w:val="009657C8"/>
    <w:rsid w:val="00967FDA"/>
    <w:rsid w:val="00973DCF"/>
    <w:rsid w:val="0097507E"/>
    <w:rsid w:val="009810A7"/>
    <w:rsid w:val="00982058"/>
    <w:rsid w:val="00982478"/>
    <w:rsid w:val="00982D68"/>
    <w:rsid w:val="009938F5"/>
    <w:rsid w:val="00994F67"/>
    <w:rsid w:val="009A5F22"/>
    <w:rsid w:val="009B1529"/>
    <w:rsid w:val="009B3309"/>
    <w:rsid w:val="009B3780"/>
    <w:rsid w:val="009B3CD6"/>
    <w:rsid w:val="009B5CFD"/>
    <w:rsid w:val="009B75EC"/>
    <w:rsid w:val="009C0847"/>
    <w:rsid w:val="009C1CCC"/>
    <w:rsid w:val="009C2F47"/>
    <w:rsid w:val="009C33BA"/>
    <w:rsid w:val="009C3CFB"/>
    <w:rsid w:val="009C3DA5"/>
    <w:rsid w:val="009C5548"/>
    <w:rsid w:val="009C757D"/>
    <w:rsid w:val="009D0537"/>
    <w:rsid w:val="009D0931"/>
    <w:rsid w:val="009D0DF7"/>
    <w:rsid w:val="009D4AFD"/>
    <w:rsid w:val="009E00FC"/>
    <w:rsid w:val="009E3E5A"/>
    <w:rsid w:val="009E7063"/>
    <w:rsid w:val="009E7F79"/>
    <w:rsid w:val="009F1E59"/>
    <w:rsid w:val="009F2714"/>
    <w:rsid w:val="009F4768"/>
    <w:rsid w:val="009F4E3D"/>
    <w:rsid w:val="009F6200"/>
    <w:rsid w:val="00A01AE9"/>
    <w:rsid w:val="00A06AB6"/>
    <w:rsid w:val="00A06EF7"/>
    <w:rsid w:val="00A12922"/>
    <w:rsid w:val="00A12F12"/>
    <w:rsid w:val="00A13DA7"/>
    <w:rsid w:val="00A147E5"/>
    <w:rsid w:val="00A14C4A"/>
    <w:rsid w:val="00A15FA4"/>
    <w:rsid w:val="00A203D3"/>
    <w:rsid w:val="00A209AD"/>
    <w:rsid w:val="00A21FB7"/>
    <w:rsid w:val="00A240F1"/>
    <w:rsid w:val="00A24892"/>
    <w:rsid w:val="00A24D04"/>
    <w:rsid w:val="00A258CD"/>
    <w:rsid w:val="00A30957"/>
    <w:rsid w:val="00A36130"/>
    <w:rsid w:val="00A41FE3"/>
    <w:rsid w:val="00A44B66"/>
    <w:rsid w:val="00A44E1A"/>
    <w:rsid w:val="00A46F1E"/>
    <w:rsid w:val="00A524F4"/>
    <w:rsid w:val="00A52908"/>
    <w:rsid w:val="00A55DDA"/>
    <w:rsid w:val="00A5677A"/>
    <w:rsid w:val="00A570BC"/>
    <w:rsid w:val="00A62FF2"/>
    <w:rsid w:val="00A650C9"/>
    <w:rsid w:val="00A65E04"/>
    <w:rsid w:val="00A768A4"/>
    <w:rsid w:val="00A77958"/>
    <w:rsid w:val="00A80230"/>
    <w:rsid w:val="00A80FFA"/>
    <w:rsid w:val="00A81517"/>
    <w:rsid w:val="00A823EB"/>
    <w:rsid w:val="00A85D7E"/>
    <w:rsid w:val="00A875C8"/>
    <w:rsid w:val="00A87EBF"/>
    <w:rsid w:val="00A90E30"/>
    <w:rsid w:val="00A93B5F"/>
    <w:rsid w:val="00A93E4F"/>
    <w:rsid w:val="00A9619A"/>
    <w:rsid w:val="00AA0604"/>
    <w:rsid w:val="00AA0BF8"/>
    <w:rsid w:val="00AA3989"/>
    <w:rsid w:val="00AA561D"/>
    <w:rsid w:val="00AA634E"/>
    <w:rsid w:val="00AB246E"/>
    <w:rsid w:val="00AB2F6D"/>
    <w:rsid w:val="00AB4841"/>
    <w:rsid w:val="00AB4FA9"/>
    <w:rsid w:val="00AB5A00"/>
    <w:rsid w:val="00AC347F"/>
    <w:rsid w:val="00AD2538"/>
    <w:rsid w:val="00AD685A"/>
    <w:rsid w:val="00AE07A5"/>
    <w:rsid w:val="00AE219F"/>
    <w:rsid w:val="00AE21A4"/>
    <w:rsid w:val="00AE39CC"/>
    <w:rsid w:val="00AE412D"/>
    <w:rsid w:val="00AE46FC"/>
    <w:rsid w:val="00AF449B"/>
    <w:rsid w:val="00AF47C3"/>
    <w:rsid w:val="00AF5CF1"/>
    <w:rsid w:val="00B00756"/>
    <w:rsid w:val="00B06163"/>
    <w:rsid w:val="00B0695F"/>
    <w:rsid w:val="00B10681"/>
    <w:rsid w:val="00B14324"/>
    <w:rsid w:val="00B15B6F"/>
    <w:rsid w:val="00B20AFB"/>
    <w:rsid w:val="00B21A13"/>
    <w:rsid w:val="00B247AD"/>
    <w:rsid w:val="00B24844"/>
    <w:rsid w:val="00B24B9D"/>
    <w:rsid w:val="00B26CE8"/>
    <w:rsid w:val="00B30C78"/>
    <w:rsid w:val="00B348AB"/>
    <w:rsid w:val="00B36D4F"/>
    <w:rsid w:val="00B40692"/>
    <w:rsid w:val="00B413EB"/>
    <w:rsid w:val="00B439E0"/>
    <w:rsid w:val="00B43D77"/>
    <w:rsid w:val="00B45423"/>
    <w:rsid w:val="00B46EB9"/>
    <w:rsid w:val="00B47D8C"/>
    <w:rsid w:val="00B50866"/>
    <w:rsid w:val="00B52B2F"/>
    <w:rsid w:val="00B5588E"/>
    <w:rsid w:val="00B56A5F"/>
    <w:rsid w:val="00B56BE7"/>
    <w:rsid w:val="00B61F74"/>
    <w:rsid w:val="00B67F8E"/>
    <w:rsid w:val="00B82C40"/>
    <w:rsid w:val="00B8303B"/>
    <w:rsid w:val="00B83773"/>
    <w:rsid w:val="00B91DA5"/>
    <w:rsid w:val="00BA12F8"/>
    <w:rsid w:val="00BA1B30"/>
    <w:rsid w:val="00BA594E"/>
    <w:rsid w:val="00BA647D"/>
    <w:rsid w:val="00BA79F9"/>
    <w:rsid w:val="00BB12D9"/>
    <w:rsid w:val="00BB71C2"/>
    <w:rsid w:val="00BC0032"/>
    <w:rsid w:val="00BC31BA"/>
    <w:rsid w:val="00BC6F07"/>
    <w:rsid w:val="00BD2737"/>
    <w:rsid w:val="00BD2D1E"/>
    <w:rsid w:val="00BD466D"/>
    <w:rsid w:val="00BD4EEB"/>
    <w:rsid w:val="00BD67DE"/>
    <w:rsid w:val="00BE0D8E"/>
    <w:rsid w:val="00BE1415"/>
    <w:rsid w:val="00BE2ED5"/>
    <w:rsid w:val="00BE5393"/>
    <w:rsid w:val="00BF2FBD"/>
    <w:rsid w:val="00BF386B"/>
    <w:rsid w:val="00C0014B"/>
    <w:rsid w:val="00C014B2"/>
    <w:rsid w:val="00C01BE6"/>
    <w:rsid w:val="00C05433"/>
    <w:rsid w:val="00C06184"/>
    <w:rsid w:val="00C0726A"/>
    <w:rsid w:val="00C12B95"/>
    <w:rsid w:val="00C1722E"/>
    <w:rsid w:val="00C2047C"/>
    <w:rsid w:val="00C21776"/>
    <w:rsid w:val="00C22960"/>
    <w:rsid w:val="00C26CA6"/>
    <w:rsid w:val="00C31784"/>
    <w:rsid w:val="00C34242"/>
    <w:rsid w:val="00C342C7"/>
    <w:rsid w:val="00C35EBF"/>
    <w:rsid w:val="00C3743A"/>
    <w:rsid w:val="00C405FE"/>
    <w:rsid w:val="00C41EE9"/>
    <w:rsid w:val="00C44071"/>
    <w:rsid w:val="00C45A7A"/>
    <w:rsid w:val="00C45FD3"/>
    <w:rsid w:val="00C46060"/>
    <w:rsid w:val="00C4684C"/>
    <w:rsid w:val="00C46CCA"/>
    <w:rsid w:val="00C5099F"/>
    <w:rsid w:val="00C51E07"/>
    <w:rsid w:val="00C52060"/>
    <w:rsid w:val="00C5279F"/>
    <w:rsid w:val="00C56D19"/>
    <w:rsid w:val="00C603EB"/>
    <w:rsid w:val="00C6126E"/>
    <w:rsid w:val="00C61306"/>
    <w:rsid w:val="00C62FFA"/>
    <w:rsid w:val="00C67458"/>
    <w:rsid w:val="00C70704"/>
    <w:rsid w:val="00C726D6"/>
    <w:rsid w:val="00C73E1B"/>
    <w:rsid w:val="00C80F3A"/>
    <w:rsid w:val="00C819F3"/>
    <w:rsid w:val="00C82569"/>
    <w:rsid w:val="00C831D6"/>
    <w:rsid w:val="00C8387E"/>
    <w:rsid w:val="00C84F36"/>
    <w:rsid w:val="00C855DF"/>
    <w:rsid w:val="00C94269"/>
    <w:rsid w:val="00C96A2D"/>
    <w:rsid w:val="00CA08A0"/>
    <w:rsid w:val="00CA0DFD"/>
    <w:rsid w:val="00CA212E"/>
    <w:rsid w:val="00CA3FFB"/>
    <w:rsid w:val="00CA44BC"/>
    <w:rsid w:val="00CA75CE"/>
    <w:rsid w:val="00CB3D54"/>
    <w:rsid w:val="00CB5902"/>
    <w:rsid w:val="00CB6050"/>
    <w:rsid w:val="00CB6059"/>
    <w:rsid w:val="00CC0415"/>
    <w:rsid w:val="00CC4914"/>
    <w:rsid w:val="00CC4CE2"/>
    <w:rsid w:val="00CD03FA"/>
    <w:rsid w:val="00CD216E"/>
    <w:rsid w:val="00CE2C6F"/>
    <w:rsid w:val="00CE2F2A"/>
    <w:rsid w:val="00CE730C"/>
    <w:rsid w:val="00CF374D"/>
    <w:rsid w:val="00CF5207"/>
    <w:rsid w:val="00CF6E84"/>
    <w:rsid w:val="00D0061E"/>
    <w:rsid w:val="00D02D21"/>
    <w:rsid w:val="00D0383F"/>
    <w:rsid w:val="00D0504E"/>
    <w:rsid w:val="00D05955"/>
    <w:rsid w:val="00D05A98"/>
    <w:rsid w:val="00D0659A"/>
    <w:rsid w:val="00D11FDE"/>
    <w:rsid w:val="00D12129"/>
    <w:rsid w:val="00D13F20"/>
    <w:rsid w:val="00D15566"/>
    <w:rsid w:val="00D17284"/>
    <w:rsid w:val="00D17815"/>
    <w:rsid w:val="00D2083B"/>
    <w:rsid w:val="00D20931"/>
    <w:rsid w:val="00D20B06"/>
    <w:rsid w:val="00D22DFC"/>
    <w:rsid w:val="00D23BD8"/>
    <w:rsid w:val="00D267A1"/>
    <w:rsid w:val="00D276CD"/>
    <w:rsid w:val="00D35EF9"/>
    <w:rsid w:val="00D41594"/>
    <w:rsid w:val="00D430C1"/>
    <w:rsid w:val="00D43872"/>
    <w:rsid w:val="00D44F39"/>
    <w:rsid w:val="00D45F86"/>
    <w:rsid w:val="00D46086"/>
    <w:rsid w:val="00D47471"/>
    <w:rsid w:val="00D53627"/>
    <w:rsid w:val="00D53C00"/>
    <w:rsid w:val="00D549AE"/>
    <w:rsid w:val="00D60B31"/>
    <w:rsid w:val="00D61134"/>
    <w:rsid w:val="00D6525E"/>
    <w:rsid w:val="00D66B3C"/>
    <w:rsid w:val="00D67664"/>
    <w:rsid w:val="00D72125"/>
    <w:rsid w:val="00D73132"/>
    <w:rsid w:val="00D74196"/>
    <w:rsid w:val="00D776E7"/>
    <w:rsid w:val="00D77C3E"/>
    <w:rsid w:val="00D80C12"/>
    <w:rsid w:val="00D81994"/>
    <w:rsid w:val="00D82DF4"/>
    <w:rsid w:val="00D838A6"/>
    <w:rsid w:val="00D8474C"/>
    <w:rsid w:val="00D849D8"/>
    <w:rsid w:val="00D87758"/>
    <w:rsid w:val="00D914E3"/>
    <w:rsid w:val="00D930BD"/>
    <w:rsid w:val="00D93E11"/>
    <w:rsid w:val="00D947F6"/>
    <w:rsid w:val="00D949AD"/>
    <w:rsid w:val="00D95942"/>
    <w:rsid w:val="00DA678E"/>
    <w:rsid w:val="00DA769F"/>
    <w:rsid w:val="00DB2364"/>
    <w:rsid w:val="00DB2B98"/>
    <w:rsid w:val="00DB2C2E"/>
    <w:rsid w:val="00DB5B31"/>
    <w:rsid w:val="00DB705C"/>
    <w:rsid w:val="00DC08C6"/>
    <w:rsid w:val="00DC466A"/>
    <w:rsid w:val="00DC5505"/>
    <w:rsid w:val="00DC5B21"/>
    <w:rsid w:val="00DD17AA"/>
    <w:rsid w:val="00DD1F89"/>
    <w:rsid w:val="00DD2357"/>
    <w:rsid w:val="00DD5663"/>
    <w:rsid w:val="00DD5B1E"/>
    <w:rsid w:val="00DD7868"/>
    <w:rsid w:val="00DE00DC"/>
    <w:rsid w:val="00DE1A81"/>
    <w:rsid w:val="00DE1A9C"/>
    <w:rsid w:val="00DE1FAA"/>
    <w:rsid w:val="00DF5887"/>
    <w:rsid w:val="00DF6C59"/>
    <w:rsid w:val="00DF7709"/>
    <w:rsid w:val="00E0291D"/>
    <w:rsid w:val="00E061A9"/>
    <w:rsid w:val="00E10C07"/>
    <w:rsid w:val="00E12109"/>
    <w:rsid w:val="00E13425"/>
    <w:rsid w:val="00E13A47"/>
    <w:rsid w:val="00E14317"/>
    <w:rsid w:val="00E15192"/>
    <w:rsid w:val="00E17BEC"/>
    <w:rsid w:val="00E20F6D"/>
    <w:rsid w:val="00E21A21"/>
    <w:rsid w:val="00E22574"/>
    <w:rsid w:val="00E30677"/>
    <w:rsid w:val="00E31A29"/>
    <w:rsid w:val="00E3622E"/>
    <w:rsid w:val="00E36749"/>
    <w:rsid w:val="00E44283"/>
    <w:rsid w:val="00E45470"/>
    <w:rsid w:val="00E45B2D"/>
    <w:rsid w:val="00E4707C"/>
    <w:rsid w:val="00E47627"/>
    <w:rsid w:val="00E5166B"/>
    <w:rsid w:val="00E5402F"/>
    <w:rsid w:val="00E541BD"/>
    <w:rsid w:val="00E556E5"/>
    <w:rsid w:val="00E55784"/>
    <w:rsid w:val="00E5765E"/>
    <w:rsid w:val="00E60284"/>
    <w:rsid w:val="00E60570"/>
    <w:rsid w:val="00E61074"/>
    <w:rsid w:val="00E6111F"/>
    <w:rsid w:val="00E614B4"/>
    <w:rsid w:val="00E643C7"/>
    <w:rsid w:val="00E71158"/>
    <w:rsid w:val="00E75AE7"/>
    <w:rsid w:val="00E75D56"/>
    <w:rsid w:val="00E7647A"/>
    <w:rsid w:val="00E779AB"/>
    <w:rsid w:val="00E94EC0"/>
    <w:rsid w:val="00E967B5"/>
    <w:rsid w:val="00EA145F"/>
    <w:rsid w:val="00EA3A4F"/>
    <w:rsid w:val="00EA5CB7"/>
    <w:rsid w:val="00EA760F"/>
    <w:rsid w:val="00EB357F"/>
    <w:rsid w:val="00EB507B"/>
    <w:rsid w:val="00EB67C5"/>
    <w:rsid w:val="00EB7394"/>
    <w:rsid w:val="00EB74EB"/>
    <w:rsid w:val="00EC2566"/>
    <w:rsid w:val="00EC3F2E"/>
    <w:rsid w:val="00EC4FFB"/>
    <w:rsid w:val="00ED44E7"/>
    <w:rsid w:val="00ED55B2"/>
    <w:rsid w:val="00ED5836"/>
    <w:rsid w:val="00ED5BD9"/>
    <w:rsid w:val="00ED6DD9"/>
    <w:rsid w:val="00ED75C6"/>
    <w:rsid w:val="00EE2F7C"/>
    <w:rsid w:val="00EE329D"/>
    <w:rsid w:val="00EE48CB"/>
    <w:rsid w:val="00EE5FA6"/>
    <w:rsid w:val="00EE6A38"/>
    <w:rsid w:val="00EE7843"/>
    <w:rsid w:val="00EF1FD4"/>
    <w:rsid w:val="00EF3BFC"/>
    <w:rsid w:val="00EF5F7E"/>
    <w:rsid w:val="00F01D15"/>
    <w:rsid w:val="00F04D61"/>
    <w:rsid w:val="00F079A8"/>
    <w:rsid w:val="00F10F73"/>
    <w:rsid w:val="00F16F5A"/>
    <w:rsid w:val="00F235BD"/>
    <w:rsid w:val="00F2397F"/>
    <w:rsid w:val="00F2583C"/>
    <w:rsid w:val="00F27800"/>
    <w:rsid w:val="00F30551"/>
    <w:rsid w:val="00F33127"/>
    <w:rsid w:val="00F34C34"/>
    <w:rsid w:val="00F37F1B"/>
    <w:rsid w:val="00F4310A"/>
    <w:rsid w:val="00F53F66"/>
    <w:rsid w:val="00F54051"/>
    <w:rsid w:val="00F54266"/>
    <w:rsid w:val="00F55810"/>
    <w:rsid w:val="00F6221D"/>
    <w:rsid w:val="00F634E7"/>
    <w:rsid w:val="00F6568C"/>
    <w:rsid w:val="00F65FBF"/>
    <w:rsid w:val="00F66F0F"/>
    <w:rsid w:val="00F670C6"/>
    <w:rsid w:val="00F703C6"/>
    <w:rsid w:val="00F70AA6"/>
    <w:rsid w:val="00F722E8"/>
    <w:rsid w:val="00F72427"/>
    <w:rsid w:val="00F84589"/>
    <w:rsid w:val="00F9123E"/>
    <w:rsid w:val="00F912C8"/>
    <w:rsid w:val="00FA5E45"/>
    <w:rsid w:val="00FA73A3"/>
    <w:rsid w:val="00FB1E9F"/>
    <w:rsid w:val="00FB4647"/>
    <w:rsid w:val="00FB5925"/>
    <w:rsid w:val="00FC09EB"/>
    <w:rsid w:val="00FC1035"/>
    <w:rsid w:val="00FC152A"/>
    <w:rsid w:val="00FC392E"/>
    <w:rsid w:val="00FC468E"/>
    <w:rsid w:val="00FC62F4"/>
    <w:rsid w:val="00FD0012"/>
    <w:rsid w:val="00FD1B3D"/>
    <w:rsid w:val="00FD7741"/>
    <w:rsid w:val="00FE001D"/>
    <w:rsid w:val="00FE0033"/>
    <w:rsid w:val="00FE1838"/>
    <w:rsid w:val="00FE4448"/>
    <w:rsid w:val="00FE4C31"/>
    <w:rsid w:val="00FE4DB4"/>
    <w:rsid w:val="00FE55CF"/>
    <w:rsid w:val="00FE6AF9"/>
    <w:rsid w:val="00FF2630"/>
    <w:rsid w:val="00FF2E55"/>
    <w:rsid w:val="00FF5D1F"/>
    <w:rsid w:val="00FF674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60BE8"/>
  <w15:chartTrackingRefBased/>
  <w15:docId w15:val="{0E120D27-1560-4790-BB50-2FDF7324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Verdana"/>
        <w:sz w:val="16"/>
        <w:szCs w:val="16"/>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0AA6"/>
    <w:pPr>
      <w:widowControl w:val="0"/>
      <w:autoSpaceDE w:val="0"/>
      <w:autoSpaceDN w:val="0"/>
      <w:spacing w:after="0" w:line="240" w:lineRule="auto"/>
    </w:pPr>
  </w:style>
  <w:style w:type="paragraph" w:styleId="Ttulo1">
    <w:name w:val="heading 1"/>
    <w:basedOn w:val="Normal"/>
    <w:link w:val="Ttulo1Car"/>
    <w:uiPriority w:val="1"/>
    <w:qFormat/>
    <w:rsid w:val="00026B50"/>
    <w:pPr>
      <w:ind w:left="121"/>
      <w:outlineLvl w:val="0"/>
    </w:pPr>
    <w:rPr>
      <w:b/>
      <w:bCs/>
      <w:sz w:val="20"/>
      <w:szCs w:val="20"/>
    </w:rPr>
  </w:style>
  <w:style w:type="paragraph" w:styleId="Ttulo2">
    <w:name w:val="heading 2"/>
    <w:basedOn w:val="Normal"/>
    <w:next w:val="Normal"/>
    <w:link w:val="Ttulo2Car"/>
    <w:uiPriority w:val="9"/>
    <w:unhideWhenUsed/>
    <w:qFormat/>
    <w:rsid w:val="001F19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1F19E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203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26B50"/>
    <w:rPr>
      <w:rFonts w:ascii="Verdana" w:eastAsia="Verdana" w:hAnsi="Verdana" w:cs="Verdana"/>
      <w:b/>
      <w:bCs/>
      <w:sz w:val="20"/>
      <w:szCs w:val="20"/>
      <w:lang w:val="es-ES"/>
    </w:rPr>
  </w:style>
  <w:style w:type="paragraph" w:styleId="Prrafodelista">
    <w:name w:val="List Paragraph"/>
    <w:aliases w:val="Footnote,List Paragraph1,Colorful List - Accent 11,Párrafo de lista1,List Paragraph2,Lista vistosa - Énfasis 11,Subtle Emphasis1,Footnote1,List Paragraph11,Parrafos,Cuadrícula clara - Énfasis 31,Lista clara - Énfasis 51"/>
    <w:basedOn w:val="Normal"/>
    <w:link w:val="PrrafodelistaCar"/>
    <w:uiPriority w:val="34"/>
    <w:qFormat/>
    <w:rsid w:val="00026B5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ft,FA Fu?notente"/>
    <w:basedOn w:val="Normal"/>
    <w:link w:val="TextonotapieCar"/>
    <w:unhideWhenUsed/>
    <w:qFormat/>
    <w:rsid w:val="00026B50"/>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026B50"/>
    <w:rPr>
      <w:rFonts w:ascii="Verdana" w:eastAsia="Verdana" w:hAnsi="Verdana" w:cs="Verdana"/>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unhideWhenUsed/>
    <w:qFormat/>
    <w:rsid w:val="00026B50"/>
    <w:rPr>
      <w:vertAlign w:val="superscript"/>
    </w:rPr>
  </w:style>
  <w:style w:type="paragraph" w:styleId="Textoindependiente">
    <w:name w:val="Body Text"/>
    <w:basedOn w:val="Normal"/>
    <w:link w:val="TextoindependienteCar"/>
    <w:uiPriority w:val="1"/>
    <w:qFormat/>
    <w:rsid w:val="000F5B26"/>
    <w:rPr>
      <w:sz w:val="20"/>
      <w:szCs w:val="20"/>
    </w:rPr>
  </w:style>
  <w:style w:type="character" w:customStyle="1" w:styleId="TextoindependienteCar">
    <w:name w:val="Texto independiente Car"/>
    <w:basedOn w:val="Fuentedeprrafopredeter"/>
    <w:link w:val="Textoindependiente"/>
    <w:uiPriority w:val="1"/>
    <w:rsid w:val="000F5B26"/>
    <w:rPr>
      <w:rFonts w:ascii="Verdana" w:eastAsia="Verdana" w:hAnsi="Verdana" w:cs="Verdana"/>
      <w:sz w:val="20"/>
      <w:szCs w:val="20"/>
      <w:lang w:val="es-ES"/>
    </w:rPr>
  </w:style>
  <w:style w:type="character" w:styleId="Hipervnculo">
    <w:name w:val="Hyperlink"/>
    <w:basedOn w:val="Fuentedeprrafopredeter"/>
    <w:uiPriority w:val="99"/>
    <w:unhideWhenUsed/>
    <w:rsid w:val="00793454"/>
    <w:rPr>
      <w:color w:val="0563C1" w:themeColor="hyperlink"/>
      <w:u w:val="single"/>
    </w:rPr>
  </w:style>
  <w:style w:type="character" w:customStyle="1" w:styleId="Ttulo2Car">
    <w:name w:val="Título 2 Car"/>
    <w:basedOn w:val="Fuentedeprrafopredeter"/>
    <w:link w:val="Ttulo2"/>
    <w:uiPriority w:val="9"/>
    <w:rsid w:val="001F19ED"/>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rsid w:val="001F19ED"/>
    <w:rPr>
      <w:rFonts w:asciiTheme="majorHAnsi" w:eastAsiaTheme="majorEastAsia" w:hAnsiTheme="majorHAnsi" w:cstheme="majorBidi"/>
      <w:color w:val="1F4D78" w:themeColor="accent1" w:themeShade="7F"/>
      <w:sz w:val="24"/>
      <w:szCs w:val="24"/>
      <w:lang w:val="es-ES"/>
    </w:rPr>
  </w:style>
  <w:style w:type="paragraph" w:styleId="Lista2">
    <w:name w:val="List 2"/>
    <w:basedOn w:val="Normal"/>
    <w:uiPriority w:val="99"/>
    <w:unhideWhenUsed/>
    <w:rsid w:val="001F19ED"/>
    <w:pPr>
      <w:ind w:left="566" w:hanging="283"/>
      <w:contextualSpacing/>
    </w:pPr>
  </w:style>
  <w:style w:type="paragraph" w:styleId="Subttulo">
    <w:name w:val="Subtitle"/>
    <w:basedOn w:val="Normal"/>
    <w:next w:val="Normal"/>
    <w:link w:val="SubttuloCar"/>
    <w:uiPriority w:val="11"/>
    <w:qFormat/>
    <w:rsid w:val="001F19E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1F19ED"/>
    <w:rPr>
      <w:rFonts w:eastAsiaTheme="minorEastAsia"/>
      <w:color w:val="5A5A5A" w:themeColor="text1" w:themeTint="A5"/>
      <w:spacing w:val="15"/>
      <w:lang w:val="es-ES"/>
    </w:rPr>
  </w:style>
  <w:style w:type="character" w:styleId="Textodelmarcadordeposicin">
    <w:name w:val="Placeholder Text"/>
    <w:basedOn w:val="Fuentedeprrafopredeter"/>
    <w:uiPriority w:val="99"/>
    <w:semiHidden/>
    <w:rsid w:val="00D93E11"/>
    <w:rPr>
      <w:color w:val="808080"/>
    </w:rPr>
  </w:style>
  <w:style w:type="paragraph" w:styleId="Encabezado">
    <w:name w:val="header"/>
    <w:aliases w:val="encabezado"/>
    <w:basedOn w:val="Normal"/>
    <w:link w:val="EncabezadoCar"/>
    <w:uiPriority w:val="99"/>
    <w:unhideWhenUsed/>
    <w:rsid w:val="003D09D2"/>
    <w:pPr>
      <w:tabs>
        <w:tab w:val="center" w:pos="4419"/>
        <w:tab w:val="right" w:pos="8838"/>
      </w:tabs>
    </w:pPr>
  </w:style>
  <w:style w:type="character" w:customStyle="1" w:styleId="EncabezadoCar">
    <w:name w:val="Encabezado Car"/>
    <w:aliases w:val="encabezado Car"/>
    <w:basedOn w:val="Fuentedeprrafopredeter"/>
    <w:link w:val="Encabezado"/>
    <w:uiPriority w:val="99"/>
    <w:rsid w:val="003D09D2"/>
  </w:style>
  <w:style w:type="paragraph" w:styleId="Piedepgina">
    <w:name w:val="footer"/>
    <w:basedOn w:val="Normal"/>
    <w:link w:val="PiedepginaCar"/>
    <w:uiPriority w:val="99"/>
    <w:unhideWhenUsed/>
    <w:rsid w:val="003D09D2"/>
    <w:pPr>
      <w:tabs>
        <w:tab w:val="center" w:pos="4419"/>
        <w:tab w:val="right" w:pos="8838"/>
      </w:tabs>
    </w:pPr>
  </w:style>
  <w:style w:type="character" w:customStyle="1" w:styleId="PiedepginaCar">
    <w:name w:val="Pie de página Car"/>
    <w:basedOn w:val="Fuentedeprrafopredeter"/>
    <w:link w:val="Piedepgina"/>
    <w:uiPriority w:val="99"/>
    <w:rsid w:val="003D09D2"/>
  </w:style>
  <w:style w:type="paragraph" w:styleId="NormalWeb">
    <w:name w:val="Normal (Web)"/>
    <w:basedOn w:val="Normal"/>
    <w:uiPriority w:val="99"/>
    <w:unhideWhenUsed/>
    <w:rsid w:val="00E3622E"/>
    <w:pPr>
      <w:widowControl/>
      <w:autoSpaceDE/>
      <w:autoSpaceDN/>
    </w:pPr>
    <w:rPr>
      <w:rFonts w:ascii="Times New Roman" w:hAnsi="Times New Roman" w:cs="Times New Roman"/>
      <w:sz w:val="24"/>
      <w:szCs w:val="24"/>
      <w:lang w:eastAsia="es-CR"/>
    </w:rPr>
  </w:style>
  <w:style w:type="paragraph" w:styleId="TtuloTDC">
    <w:name w:val="TOC Heading"/>
    <w:basedOn w:val="Ttulo1"/>
    <w:next w:val="Normal"/>
    <w:uiPriority w:val="39"/>
    <w:unhideWhenUsed/>
    <w:qFormat/>
    <w:rsid w:val="00376DC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es-CR"/>
    </w:rPr>
  </w:style>
  <w:style w:type="paragraph" w:styleId="TDC1">
    <w:name w:val="toc 1"/>
    <w:basedOn w:val="Normal"/>
    <w:next w:val="Normal"/>
    <w:autoRedefine/>
    <w:uiPriority w:val="39"/>
    <w:unhideWhenUsed/>
    <w:rsid w:val="00373E12"/>
    <w:pPr>
      <w:tabs>
        <w:tab w:val="left" w:pos="440"/>
        <w:tab w:val="right" w:leader="dot" w:pos="8828"/>
      </w:tabs>
      <w:spacing w:before="120" w:after="120"/>
      <w:jc w:val="both"/>
    </w:pPr>
  </w:style>
  <w:style w:type="character" w:styleId="Refdecomentario">
    <w:name w:val="annotation reference"/>
    <w:basedOn w:val="Fuentedeprrafopredeter"/>
    <w:uiPriority w:val="99"/>
    <w:semiHidden/>
    <w:unhideWhenUsed/>
    <w:rsid w:val="00E61074"/>
    <w:rPr>
      <w:sz w:val="16"/>
      <w:szCs w:val="16"/>
    </w:rPr>
  </w:style>
  <w:style w:type="paragraph" w:styleId="Textocomentario">
    <w:name w:val="annotation text"/>
    <w:basedOn w:val="Normal"/>
    <w:link w:val="TextocomentarioCar"/>
    <w:uiPriority w:val="99"/>
    <w:unhideWhenUsed/>
    <w:rsid w:val="00E61074"/>
    <w:rPr>
      <w:sz w:val="20"/>
      <w:szCs w:val="20"/>
    </w:rPr>
  </w:style>
  <w:style w:type="character" w:customStyle="1" w:styleId="TextocomentarioCar">
    <w:name w:val="Texto comentario Car"/>
    <w:basedOn w:val="Fuentedeprrafopredeter"/>
    <w:link w:val="Textocomentario"/>
    <w:uiPriority w:val="99"/>
    <w:rsid w:val="00E61074"/>
    <w:rPr>
      <w:sz w:val="20"/>
      <w:szCs w:val="20"/>
    </w:rPr>
  </w:style>
  <w:style w:type="paragraph" w:styleId="Asuntodelcomentario">
    <w:name w:val="annotation subject"/>
    <w:basedOn w:val="Textocomentario"/>
    <w:next w:val="Textocomentario"/>
    <w:link w:val="AsuntodelcomentarioCar"/>
    <w:uiPriority w:val="99"/>
    <w:semiHidden/>
    <w:unhideWhenUsed/>
    <w:rsid w:val="00E61074"/>
    <w:rPr>
      <w:b/>
      <w:bCs/>
    </w:rPr>
  </w:style>
  <w:style w:type="character" w:customStyle="1" w:styleId="AsuntodelcomentarioCar">
    <w:name w:val="Asunto del comentario Car"/>
    <w:basedOn w:val="TextocomentarioCar"/>
    <w:link w:val="Asuntodelcomentario"/>
    <w:uiPriority w:val="99"/>
    <w:semiHidden/>
    <w:rsid w:val="00E61074"/>
    <w:rPr>
      <w:b/>
      <w:bCs/>
      <w:sz w:val="20"/>
      <w:szCs w:val="20"/>
    </w:rPr>
  </w:style>
  <w:style w:type="paragraph" w:styleId="Textodeglobo">
    <w:name w:val="Balloon Text"/>
    <w:basedOn w:val="Normal"/>
    <w:link w:val="TextodegloboCar"/>
    <w:uiPriority w:val="99"/>
    <w:semiHidden/>
    <w:unhideWhenUsed/>
    <w:rsid w:val="00E6107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1074"/>
    <w:rPr>
      <w:rFonts w:ascii="Segoe UI" w:hAnsi="Segoe UI" w:cs="Segoe UI"/>
      <w:sz w:val="18"/>
      <w:szCs w:val="18"/>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List Paragraph11 Car,Parrafos Car"/>
    <w:link w:val="Prrafodelista"/>
    <w:uiPriority w:val="34"/>
    <w:rsid w:val="00982058"/>
  </w:style>
  <w:style w:type="paragraph" w:styleId="Revisin">
    <w:name w:val="Revision"/>
    <w:hidden/>
    <w:uiPriority w:val="99"/>
    <w:semiHidden/>
    <w:rsid w:val="00C35EBF"/>
    <w:pPr>
      <w:spacing w:after="0" w:line="240" w:lineRule="auto"/>
    </w:pPr>
  </w:style>
  <w:style w:type="character" w:styleId="Nmerodelnea">
    <w:name w:val="line number"/>
    <w:basedOn w:val="Fuentedeprrafopredeter"/>
    <w:uiPriority w:val="99"/>
    <w:semiHidden/>
    <w:unhideWhenUsed/>
    <w:rsid w:val="009278E6"/>
  </w:style>
  <w:style w:type="character" w:styleId="Mencinsinresolver">
    <w:name w:val="Unresolved Mention"/>
    <w:basedOn w:val="Fuentedeprrafopredeter"/>
    <w:uiPriority w:val="99"/>
    <w:semiHidden/>
    <w:unhideWhenUsed/>
    <w:rsid w:val="00250B12"/>
    <w:rPr>
      <w:color w:val="605E5C"/>
      <w:shd w:val="clear" w:color="auto" w:fill="E1DFDD"/>
    </w:rPr>
  </w:style>
  <w:style w:type="paragraph" w:styleId="Textonotaalfinal">
    <w:name w:val="endnote text"/>
    <w:basedOn w:val="Normal"/>
    <w:link w:val="TextonotaalfinalCar"/>
    <w:uiPriority w:val="99"/>
    <w:semiHidden/>
    <w:unhideWhenUsed/>
    <w:rsid w:val="00FE4448"/>
    <w:rPr>
      <w:sz w:val="20"/>
      <w:szCs w:val="20"/>
    </w:rPr>
  </w:style>
  <w:style w:type="character" w:customStyle="1" w:styleId="TextonotaalfinalCar">
    <w:name w:val="Texto nota al final Car"/>
    <w:basedOn w:val="Fuentedeprrafopredeter"/>
    <w:link w:val="Textonotaalfinal"/>
    <w:uiPriority w:val="99"/>
    <w:semiHidden/>
    <w:rsid w:val="00FE4448"/>
    <w:rPr>
      <w:sz w:val="20"/>
      <w:szCs w:val="20"/>
    </w:rPr>
  </w:style>
  <w:style w:type="character" w:styleId="Refdenotaalfinal">
    <w:name w:val="endnote reference"/>
    <w:basedOn w:val="Fuentedeprrafopredeter"/>
    <w:uiPriority w:val="99"/>
    <w:semiHidden/>
    <w:unhideWhenUsed/>
    <w:rsid w:val="00FE4448"/>
    <w:rPr>
      <w:vertAlign w:val="superscript"/>
    </w:rPr>
  </w:style>
  <w:style w:type="table" w:styleId="Tablaconcuadrcula">
    <w:name w:val="Table Grid"/>
    <w:basedOn w:val="Tablanormal"/>
    <w:uiPriority w:val="39"/>
    <w:rsid w:val="00853A8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BA1B30"/>
    <w:pPr>
      <w:spacing w:after="100"/>
      <w:ind w:left="160"/>
    </w:pPr>
  </w:style>
  <w:style w:type="character" w:customStyle="1" w:styleId="Ttulo4Car">
    <w:name w:val="Título 4 Car"/>
    <w:basedOn w:val="Fuentedeprrafopredeter"/>
    <w:link w:val="Ttulo4"/>
    <w:uiPriority w:val="9"/>
    <w:semiHidden/>
    <w:rsid w:val="00A203D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73352">
      <w:bodyDiv w:val="1"/>
      <w:marLeft w:val="0"/>
      <w:marRight w:val="0"/>
      <w:marTop w:val="0"/>
      <w:marBottom w:val="0"/>
      <w:divBdr>
        <w:top w:val="none" w:sz="0" w:space="0" w:color="auto"/>
        <w:left w:val="none" w:sz="0" w:space="0" w:color="auto"/>
        <w:bottom w:val="none" w:sz="0" w:space="0" w:color="auto"/>
        <w:right w:val="none" w:sz="0" w:space="0" w:color="auto"/>
      </w:divBdr>
    </w:div>
    <w:div w:id="479808821">
      <w:bodyDiv w:val="1"/>
      <w:marLeft w:val="0"/>
      <w:marRight w:val="0"/>
      <w:marTop w:val="0"/>
      <w:marBottom w:val="0"/>
      <w:divBdr>
        <w:top w:val="none" w:sz="0" w:space="0" w:color="auto"/>
        <w:left w:val="none" w:sz="0" w:space="0" w:color="auto"/>
        <w:bottom w:val="none" w:sz="0" w:space="0" w:color="auto"/>
        <w:right w:val="none" w:sz="0" w:space="0" w:color="auto"/>
      </w:divBdr>
    </w:div>
    <w:div w:id="1062219470">
      <w:bodyDiv w:val="1"/>
      <w:marLeft w:val="0"/>
      <w:marRight w:val="0"/>
      <w:marTop w:val="0"/>
      <w:marBottom w:val="0"/>
      <w:divBdr>
        <w:top w:val="none" w:sz="0" w:space="0" w:color="auto"/>
        <w:left w:val="none" w:sz="0" w:space="0" w:color="auto"/>
        <w:bottom w:val="none" w:sz="0" w:space="0" w:color="auto"/>
        <w:right w:val="none" w:sz="0" w:space="0" w:color="auto"/>
      </w:divBdr>
    </w:div>
    <w:div w:id="1160148124">
      <w:bodyDiv w:val="1"/>
      <w:marLeft w:val="0"/>
      <w:marRight w:val="0"/>
      <w:marTop w:val="0"/>
      <w:marBottom w:val="0"/>
      <w:divBdr>
        <w:top w:val="none" w:sz="0" w:space="0" w:color="auto"/>
        <w:left w:val="none" w:sz="0" w:space="0" w:color="auto"/>
        <w:bottom w:val="none" w:sz="0" w:space="0" w:color="auto"/>
        <w:right w:val="none" w:sz="0" w:space="0" w:color="auto"/>
      </w:divBdr>
    </w:div>
    <w:div w:id="1440250641">
      <w:bodyDiv w:val="1"/>
      <w:marLeft w:val="0"/>
      <w:marRight w:val="0"/>
      <w:marTop w:val="0"/>
      <w:marBottom w:val="0"/>
      <w:divBdr>
        <w:top w:val="none" w:sz="0" w:space="0" w:color="auto"/>
        <w:left w:val="none" w:sz="0" w:space="0" w:color="auto"/>
        <w:bottom w:val="none" w:sz="0" w:space="0" w:color="auto"/>
        <w:right w:val="none" w:sz="0" w:space="0" w:color="auto"/>
      </w:divBdr>
    </w:div>
    <w:div w:id="1631126200">
      <w:bodyDiv w:val="1"/>
      <w:marLeft w:val="0"/>
      <w:marRight w:val="0"/>
      <w:marTop w:val="0"/>
      <w:marBottom w:val="0"/>
      <w:divBdr>
        <w:top w:val="none" w:sz="0" w:space="0" w:color="auto"/>
        <w:left w:val="none" w:sz="0" w:space="0" w:color="auto"/>
        <w:bottom w:val="none" w:sz="0" w:space="0" w:color="auto"/>
        <w:right w:val="none" w:sz="0" w:space="0" w:color="auto"/>
      </w:divBdr>
    </w:div>
    <w:div w:id="1749886455">
      <w:bodyDiv w:val="1"/>
      <w:marLeft w:val="0"/>
      <w:marRight w:val="0"/>
      <w:marTop w:val="0"/>
      <w:marBottom w:val="0"/>
      <w:divBdr>
        <w:top w:val="none" w:sz="0" w:space="0" w:color="auto"/>
        <w:left w:val="none" w:sz="0" w:space="0" w:color="auto"/>
        <w:bottom w:val="none" w:sz="0" w:space="0" w:color="auto"/>
        <w:right w:val="none" w:sz="0" w:space="0" w:color="auto"/>
      </w:divBdr>
    </w:div>
    <w:div w:id="1755930876">
      <w:bodyDiv w:val="1"/>
      <w:marLeft w:val="0"/>
      <w:marRight w:val="0"/>
      <w:marTop w:val="0"/>
      <w:marBottom w:val="0"/>
      <w:divBdr>
        <w:top w:val="none" w:sz="0" w:space="0" w:color="auto"/>
        <w:left w:val="none" w:sz="0" w:space="0" w:color="auto"/>
        <w:bottom w:val="none" w:sz="0" w:space="0" w:color="auto"/>
        <w:right w:val="none" w:sz="0" w:space="0" w:color="auto"/>
      </w:divBdr>
    </w:div>
    <w:div w:id="2038267237">
      <w:bodyDiv w:val="1"/>
      <w:marLeft w:val="0"/>
      <w:marRight w:val="0"/>
      <w:marTop w:val="0"/>
      <w:marBottom w:val="0"/>
      <w:divBdr>
        <w:top w:val="none" w:sz="0" w:space="0" w:color="auto"/>
        <w:left w:val="none" w:sz="0" w:space="0" w:color="auto"/>
        <w:bottom w:val="none" w:sz="0" w:space="0" w:color="auto"/>
        <w:right w:val="none" w:sz="0" w:space="0" w:color="auto"/>
      </w:divBdr>
    </w:div>
    <w:div w:id="213701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supervisiones/forneron_28_11_18.pdf" TargetMode="External"/><Relationship Id="rId2" Type="http://schemas.openxmlformats.org/officeDocument/2006/relationships/hyperlink" Target="http://www.corteidh.or.cr/docs/asuntos/torres_forneron_furlan_mohamed_fv_2015.pdf" TargetMode="External"/><Relationship Id="rId1" Type="http://schemas.openxmlformats.org/officeDocument/2006/relationships/hyperlink" Target="http://corteidh.or.cr/docs/casos/articulos/seriec_242_esp.pdf" TargetMode="External"/><Relationship Id="rId5" Type="http://schemas.openxmlformats.org/officeDocument/2006/relationships/hyperlink" Target="https://www.corteidh.or.cr/docs/comunicados/cp_78_2022.pdf" TargetMode="External"/><Relationship Id="rId4" Type="http://schemas.openxmlformats.org/officeDocument/2006/relationships/hyperlink" Target="https://www.corteidh.or.cr/docs/supervisiones/forner%C3%B3n_e_hija_07_10_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0C6AD-A5DD-4A64-B35A-13135D1D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3137</Words>
  <Characters>17259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2023-12-19T16:42:00Z</dcterms:created>
  <dcterms:modified xsi:type="dcterms:W3CDTF">2023-12-19T16:42:00Z</dcterms:modified>
</cp:coreProperties>
</file>