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9238D" w14:textId="596F5BDD" w:rsidR="00721EA7" w:rsidRPr="008E5B95" w:rsidRDefault="00721EA7" w:rsidP="00E97AA8"/>
    <w:p w14:paraId="4E122AAA" w14:textId="77777777" w:rsidR="00BA6210" w:rsidRPr="008E5B95" w:rsidRDefault="00BA6210" w:rsidP="00E97AA8"/>
    <w:p w14:paraId="2D7D028F" w14:textId="77777777" w:rsidR="00553094" w:rsidRPr="008E5B95" w:rsidRDefault="00553094" w:rsidP="00E97AA8">
      <w:bookmarkStart w:id="0" w:name="_Hlk96606749"/>
    </w:p>
    <w:p w14:paraId="2FD7FF04" w14:textId="015CAA30" w:rsidR="007E7781" w:rsidRPr="008E5B95" w:rsidRDefault="00016191" w:rsidP="00C41CF4">
      <w:pPr>
        <w:jc w:val="center"/>
        <w:rPr>
          <w:b/>
        </w:rPr>
      </w:pPr>
      <w:r w:rsidRPr="008E5B95">
        <w:rPr>
          <w:b/>
        </w:rPr>
        <w:t xml:space="preserve">RESOLUCIÓN </w:t>
      </w:r>
      <w:r w:rsidR="00FF1357">
        <w:rPr>
          <w:b/>
        </w:rPr>
        <w:t xml:space="preserve">DEL PRESIDENTE DE LA </w:t>
      </w:r>
    </w:p>
    <w:p w14:paraId="0C5F18D8" w14:textId="7DC5A841" w:rsidR="00FF6AD7" w:rsidRPr="008E5B95" w:rsidRDefault="00016191" w:rsidP="00C41CF4">
      <w:pPr>
        <w:jc w:val="center"/>
        <w:rPr>
          <w:b/>
        </w:rPr>
      </w:pPr>
      <w:r w:rsidRPr="008E5B95">
        <w:rPr>
          <w:b/>
        </w:rPr>
        <w:t>CORTE INTERAMERICANA DE DERECHOS HUMANOS</w:t>
      </w:r>
    </w:p>
    <w:p w14:paraId="653C319A" w14:textId="77777777" w:rsidR="00DF5305" w:rsidRPr="008E5B95" w:rsidRDefault="00DF5305" w:rsidP="00C41CF4">
      <w:pPr>
        <w:jc w:val="center"/>
        <w:rPr>
          <w:b/>
        </w:rPr>
      </w:pPr>
    </w:p>
    <w:p w14:paraId="1E1F28CE" w14:textId="7FE56A99" w:rsidR="00DF5305" w:rsidRPr="008E5B95" w:rsidRDefault="00016191" w:rsidP="00FF7896">
      <w:pPr>
        <w:jc w:val="center"/>
        <w:rPr>
          <w:b/>
        </w:rPr>
      </w:pPr>
      <w:r w:rsidRPr="00486FBD">
        <w:rPr>
          <w:b/>
        </w:rPr>
        <w:t>DE</w:t>
      </w:r>
      <w:r w:rsidR="00093B23" w:rsidRPr="00486FBD">
        <w:rPr>
          <w:b/>
        </w:rPr>
        <w:t xml:space="preserve"> </w:t>
      </w:r>
      <w:r w:rsidR="00930E7F">
        <w:rPr>
          <w:b/>
        </w:rPr>
        <w:t>5</w:t>
      </w:r>
      <w:r w:rsidR="00FF7896" w:rsidRPr="00486FBD">
        <w:rPr>
          <w:b/>
        </w:rPr>
        <w:t xml:space="preserve"> DE </w:t>
      </w:r>
      <w:r w:rsidR="00486164">
        <w:rPr>
          <w:b/>
        </w:rPr>
        <w:t>DICIEMBRE</w:t>
      </w:r>
      <w:r w:rsidR="00FF7896" w:rsidRPr="00486FBD">
        <w:rPr>
          <w:b/>
        </w:rPr>
        <w:t xml:space="preserve"> </w:t>
      </w:r>
      <w:r w:rsidR="00106103" w:rsidRPr="00486FBD">
        <w:rPr>
          <w:b/>
        </w:rPr>
        <w:t xml:space="preserve">DE </w:t>
      </w:r>
      <w:r w:rsidR="00CC4B93" w:rsidRPr="00486FBD">
        <w:rPr>
          <w:b/>
        </w:rPr>
        <w:t>202</w:t>
      </w:r>
      <w:r w:rsidR="00486164">
        <w:rPr>
          <w:b/>
        </w:rPr>
        <w:t>3</w:t>
      </w:r>
    </w:p>
    <w:p w14:paraId="3871CDDC" w14:textId="77777777" w:rsidR="0016379E" w:rsidRPr="008E5B95" w:rsidRDefault="0016379E" w:rsidP="00C41CF4">
      <w:pPr>
        <w:jc w:val="center"/>
        <w:rPr>
          <w:b/>
        </w:rPr>
      </w:pPr>
    </w:p>
    <w:p w14:paraId="541CAB36" w14:textId="75CEDFA9" w:rsidR="006709EC" w:rsidRPr="002002C0" w:rsidRDefault="00493BE3" w:rsidP="00C41CF4">
      <w:pPr>
        <w:jc w:val="center"/>
        <w:rPr>
          <w:b/>
          <w:i/>
          <w:iCs/>
          <w:caps/>
        </w:rPr>
      </w:pPr>
      <w:r w:rsidRPr="002002C0">
        <w:rPr>
          <w:b/>
          <w:i/>
          <w:iCs/>
          <w:caps/>
        </w:rPr>
        <w:t xml:space="preserve">CASO </w:t>
      </w:r>
      <w:r w:rsidR="00AE65E7" w:rsidRPr="002002C0">
        <w:rPr>
          <w:b/>
          <w:i/>
          <w:iCs/>
          <w:caps/>
        </w:rPr>
        <w:t>CAPRILES</w:t>
      </w:r>
      <w:r w:rsidR="00CB08EB" w:rsidRPr="002002C0">
        <w:rPr>
          <w:b/>
          <w:i/>
          <w:iCs/>
          <w:caps/>
        </w:rPr>
        <w:t xml:space="preserve"> VS. </w:t>
      </w:r>
      <w:r w:rsidR="00AE65E7" w:rsidRPr="002002C0">
        <w:rPr>
          <w:b/>
          <w:i/>
          <w:iCs/>
          <w:caps/>
        </w:rPr>
        <w:t>VENEZUELA</w:t>
      </w:r>
    </w:p>
    <w:p w14:paraId="4D2E5CEB" w14:textId="5419C505" w:rsidR="00E471D0" w:rsidRPr="00E471D0" w:rsidRDefault="00E471D0" w:rsidP="00C41CF4">
      <w:pPr>
        <w:jc w:val="center"/>
        <w:rPr>
          <w:b/>
        </w:rPr>
      </w:pPr>
    </w:p>
    <w:p w14:paraId="3A0BF325" w14:textId="368FA3A3" w:rsidR="008A6894" w:rsidRPr="008E5B95" w:rsidRDefault="008A6894" w:rsidP="00CF30C5">
      <w:pPr>
        <w:rPr>
          <w:b/>
        </w:rPr>
      </w:pPr>
    </w:p>
    <w:p w14:paraId="317E7E9B" w14:textId="77777777" w:rsidR="00016191" w:rsidRPr="008E5B95" w:rsidRDefault="00016191" w:rsidP="00E97AA8">
      <w:pPr>
        <w:rPr>
          <w:b/>
        </w:rPr>
      </w:pPr>
      <w:r w:rsidRPr="008E5B95">
        <w:rPr>
          <w:b/>
        </w:rPr>
        <w:t>VISTO:</w:t>
      </w:r>
    </w:p>
    <w:p w14:paraId="70F282D6" w14:textId="77777777" w:rsidR="00BF78B5" w:rsidRPr="008E5B95" w:rsidRDefault="00BF78B5" w:rsidP="00E97AA8"/>
    <w:p w14:paraId="00E8AC79" w14:textId="553E3A60" w:rsidR="006C2730" w:rsidRPr="0008586F" w:rsidRDefault="00016191" w:rsidP="007324C4">
      <w:pPr>
        <w:pStyle w:val="Sinespaciado"/>
        <w:ind w:left="0" w:firstLine="0"/>
        <w:rPr>
          <w:lang w:eastAsia="es-ES"/>
        </w:rPr>
      </w:pPr>
      <w:r w:rsidRPr="0008586F">
        <w:t>El escrito de sometimiento del caso y el Informe de Fondo de la Comisión Interamericana de Derechos Humanos (en adelante “la Comisión Interamericana” o “la Comisión”);</w:t>
      </w:r>
      <w:r w:rsidR="00105D77" w:rsidRPr="0008586F">
        <w:t xml:space="preserve"> </w:t>
      </w:r>
      <w:r w:rsidRPr="0008586F">
        <w:t xml:space="preserve">el escrito de </w:t>
      </w:r>
      <w:r w:rsidR="00DE39DA">
        <w:t xml:space="preserve">excepciones preliminares y </w:t>
      </w:r>
      <w:r w:rsidR="00930E7F">
        <w:t xml:space="preserve">de </w:t>
      </w:r>
      <w:r w:rsidR="00AE65E7">
        <w:t>contestación</w:t>
      </w:r>
      <w:r w:rsidR="00930E7F">
        <w:t xml:space="preserve"> al sometimiento del caso (en adelante “el escrito de contestación”) </w:t>
      </w:r>
      <w:r w:rsidR="00AE65E7">
        <w:t>de</w:t>
      </w:r>
      <w:r w:rsidR="00930E7F">
        <w:t xml:space="preserve"> la República Bolivariana de Venezuela (en adelante “Venezuela” o “el</w:t>
      </w:r>
      <w:r w:rsidR="00D65714">
        <w:t xml:space="preserve"> </w:t>
      </w:r>
      <w:r w:rsidR="00AE65E7">
        <w:t>Estado</w:t>
      </w:r>
      <w:r w:rsidR="00930E7F">
        <w:t>”)</w:t>
      </w:r>
      <w:r w:rsidR="00BB6DAC" w:rsidRPr="00752DF7">
        <w:rPr>
          <w:rStyle w:val="Refdenotaalpie"/>
          <w:sz w:val="20"/>
          <w:szCs w:val="20"/>
        </w:rPr>
        <w:footnoteReference w:id="2"/>
      </w:r>
      <w:r w:rsidR="00BC0D48">
        <w:t>, y la documentación anexa a esos escritos</w:t>
      </w:r>
      <w:r w:rsidR="00DE39DA">
        <w:t>; así como los escritos de observaciones a la excepci</w:t>
      </w:r>
      <w:r w:rsidR="00BC424C">
        <w:t>ón</w:t>
      </w:r>
      <w:r w:rsidR="00DE39DA">
        <w:t xml:space="preserve"> preliminar presentados por la Comisión y por el representante</w:t>
      </w:r>
      <w:r w:rsidR="00930E7F">
        <w:t xml:space="preserve"> de las presuntas víctimas</w:t>
      </w:r>
      <w:r w:rsidR="00930E7F" w:rsidRPr="00930E7F">
        <w:rPr>
          <w:sz w:val="16"/>
          <w:szCs w:val="16"/>
          <w:vertAlign w:val="superscript"/>
        </w:rPr>
        <w:footnoteReference w:id="3"/>
      </w:r>
      <w:r w:rsidR="00930E7F">
        <w:t xml:space="preserve"> (en adelante “el representante”)</w:t>
      </w:r>
      <w:r w:rsidR="00DE39DA">
        <w:t>.</w:t>
      </w:r>
    </w:p>
    <w:p w14:paraId="28421627" w14:textId="77777777" w:rsidR="00C37A99" w:rsidRDefault="00C37A99" w:rsidP="00C37A99">
      <w:pPr>
        <w:rPr>
          <w:lang w:eastAsia="es-ES"/>
        </w:rPr>
      </w:pPr>
    </w:p>
    <w:p w14:paraId="35BBC571" w14:textId="57AF4176" w:rsidR="00CB08EB" w:rsidRPr="00FF1357" w:rsidRDefault="00CB08EB" w:rsidP="00CB08EB">
      <w:pPr>
        <w:pStyle w:val="Sinespaciado"/>
        <w:ind w:left="0" w:firstLine="0"/>
        <w:rPr>
          <w:lang w:eastAsia="es-ES"/>
        </w:rPr>
      </w:pPr>
      <w:r>
        <w:rPr>
          <w:lang w:eastAsia="es-ES"/>
        </w:rPr>
        <w:t xml:space="preserve">La </w:t>
      </w:r>
      <w:r w:rsidR="00D84236">
        <w:rPr>
          <w:lang w:eastAsia="es-ES"/>
        </w:rPr>
        <w:t>n</w:t>
      </w:r>
      <w:r>
        <w:rPr>
          <w:lang w:eastAsia="es-ES"/>
        </w:rPr>
        <w:t xml:space="preserve">ota de la Secretaría </w:t>
      </w:r>
      <w:r w:rsidR="00D84236">
        <w:rPr>
          <w:lang w:eastAsia="es-ES"/>
        </w:rPr>
        <w:t xml:space="preserve">de la Corte </w:t>
      </w:r>
      <w:r>
        <w:rPr>
          <w:lang w:eastAsia="es-ES"/>
        </w:rPr>
        <w:t xml:space="preserve">de </w:t>
      </w:r>
      <w:r w:rsidR="00711E3E">
        <w:rPr>
          <w:lang w:eastAsia="es-ES"/>
        </w:rPr>
        <w:t>24</w:t>
      </w:r>
      <w:r>
        <w:rPr>
          <w:lang w:eastAsia="es-ES"/>
        </w:rPr>
        <w:t xml:space="preserve"> de </w:t>
      </w:r>
      <w:r w:rsidR="00711E3E">
        <w:rPr>
          <w:lang w:eastAsia="es-ES"/>
        </w:rPr>
        <w:t>marzo</w:t>
      </w:r>
      <w:r>
        <w:rPr>
          <w:lang w:eastAsia="es-ES"/>
        </w:rPr>
        <w:t xml:space="preserve"> de 202</w:t>
      </w:r>
      <w:r w:rsidR="00711E3E">
        <w:rPr>
          <w:lang w:eastAsia="es-ES"/>
        </w:rPr>
        <w:t>3</w:t>
      </w:r>
      <w:r w:rsidR="00F530E7">
        <w:rPr>
          <w:lang w:eastAsia="es-ES"/>
        </w:rPr>
        <w:t>, mediante la cual</w:t>
      </w:r>
      <w:r>
        <w:rPr>
          <w:lang w:eastAsia="es-ES"/>
        </w:rPr>
        <w:t xml:space="preserve"> se informó al </w:t>
      </w:r>
      <w:r w:rsidR="00711E3E">
        <w:rPr>
          <w:lang w:eastAsia="es-ES"/>
        </w:rPr>
        <w:t>representante</w:t>
      </w:r>
      <w:r>
        <w:rPr>
          <w:lang w:eastAsia="es-ES"/>
        </w:rPr>
        <w:t xml:space="preserve"> que </w:t>
      </w:r>
      <w:r w:rsidR="00711E3E">
        <w:rPr>
          <w:lang w:eastAsia="es-ES"/>
        </w:rPr>
        <w:t>su escrito de solicitudes, argumentos y pruebas fue presentado de forma extemporánea, por lo que</w:t>
      </w:r>
      <w:r w:rsidR="00DE39DA">
        <w:rPr>
          <w:lang w:eastAsia="es-ES"/>
        </w:rPr>
        <w:t xml:space="preserve">, siguiendo instrucciones del </w:t>
      </w:r>
      <w:proofErr w:type="gramStart"/>
      <w:r w:rsidR="00DE39DA">
        <w:rPr>
          <w:lang w:eastAsia="es-ES"/>
        </w:rPr>
        <w:t>Presidente</w:t>
      </w:r>
      <w:proofErr w:type="gramEnd"/>
      <w:r w:rsidR="00DE39DA">
        <w:rPr>
          <w:lang w:eastAsia="es-ES"/>
        </w:rPr>
        <w:t>,</w:t>
      </w:r>
      <w:r w:rsidR="00711E3E">
        <w:rPr>
          <w:lang w:eastAsia="es-ES"/>
        </w:rPr>
        <w:t xml:space="preserve"> </w:t>
      </w:r>
      <w:r w:rsidR="00DE39DA">
        <w:rPr>
          <w:lang w:eastAsia="es-ES"/>
        </w:rPr>
        <w:t>fue declarado</w:t>
      </w:r>
      <w:r w:rsidR="00711E3E">
        <w:rPr>
          <w:lang w:eastAsia="es-ES"/>
        </w:rPr>
        <w:t xml:space="preserve"> inadmisible</w:t>
      </w:r>
      <w:r w:rsidR="007324C4">
        <w:rPr>
          <w:lang w:eastAsia="es-ES"/>
        </w:rPr>
        <w:t>.</w:t>
      </w:r>
    </w:p>
    <w:p w14:paraId="239DB53D" w14:textId="77777777" w:rsidR="00840D63" w:rsidRDefault="00840D63" w:rsidP="00840D63">
      <w:pPr>
        <w:rPr>
          <w:lang w:eastAsia="es-ES"/>
        </w:rPr>
      </w:pPr>
    </w:p>
    <w:p w14:paraId="6D8A76A6" w14:textId="374E5100" w:rsidR="007324C4" w:rsidRDefault="00840D63" w:rsidP="007324C4">
      <w:pPr>
        <w:pStyle w:val="Sinespaciado"/>
        <w:ind w:left="0" w:firstLine="0"/>
        <w:rPr>
          <w:lang w:eastAsia="es-ES"/>
        </w:rPr>
      </w:pPr>
      <w:r w:rsidRPr="00121498">
        <w:t xml:space="preserve">Las listas definitivas de declarantes presentadas por </w:t>
      </w:r>
      <w:r w:rsidR="00623B55">
        <w:t xml:space="preserve">el </w:t>
      </w:r>
      <w:r w:rsidR="00711E3E">
        <w:t>Estado</w:t>
      </w:r>
      <w:r w:rsidRPr="00121498">
        <w:t xml:space="preserve"> y la Comisión</w:t>
      </w:r>
      <w:r w:rsidR="000C7727" w:rsidRPr="00121498">
        <w:t>.</w:t>
      </w:r>
      <w:r w:rsidR="00711E3E">
        <w:t xml:space="preserve"> El representante y el Estado no presentaron observaciones a las listas definitivas de declarantes y la Comisión expresó no tener observaciones.</w:t>
      </w:r>
    </w:p>
    <w:p w14:paraId="3763D475" w14:textId="3A8F2E49" w:rsidR="007324C4" w:rsidRDefault="007324C4" w:rsidP="001F0928">
      <w:pPr>
        <w:pStyle w:val="Sinespaciado"/>
        <w:numPr>
          <w:ilvl w:val="0"/>
          <w:numId w:val="0"/>
        </w:numPr>
      </w:pPr>
    </w:p>
    <w:p w14:paraId="3ACF6B32" w14:textId="77777777" w:rsidR="006B5876" w:rsidRPr="008E5B95" w:rsidRDefault="006B5876" w:rsidP="00C41CF4">
      <w:pPr>
        <w:pStyle w:val="Prrafodelista"/>
        <w:ind w:left="0"/>
        <w:rPr>
          <w:b/>
        </w:rPr>
      </w:pPr>
      <w:r w:rsidRPr="008E5B95">
        <w:rPr>
          <w:b/>
        </w:rPr>
        <w:t xml:space="preserve">CONSIDERANDO QUE: </w:t>
      </w:r>
    </w:p>
    <w:p w14:paraId="3AEA0501" w14:textId="77777777" w:rsidR="001C3BCD" w:rsidRPr="008E5B95" w:rsidRDefault="001C3BCD" w:rsidP="00E97AA8"/>
    <w:p w14:paraId="77287E56" w14:textId="60B5A302" w:rsidR="00C41CF4" w:rsidRPr="0009437C" w:rsidRDefault="00902AB2" w:rsidP="001B30D2">
      <w:pPr>
        <w:pStyle w:val="Sinespaciado"/>
        <w:numPr>
          <w:ilvl w:val="0"/>
          <w:numId w:val="9"/>
        </w:numPr>
        <w:ind w:left="0" w:firstLine="0"/>
        <w:rPr>
          <w:rFonts w:cs="Times New Roman"/>
        </w:rPr>
      </w:pPr>
      <w:r w:rsidRPr="008E5B95">
        <w:t>El ofrecimiento y la admisión de la prueba, así como la citación de presuntas víctimas, testigos y peritos, se encuentran regulados en los artículos 35.1.f, 40.2.c, 41.1.c, 46,</w:t>
      </w:r>
      <w:r w:rsidR="00B400D6" w:rsidRPr="008E5B95">
        <w:t xml:space="preserve"> 47</w:t>
      </w:r>
      <w:r w:rsidR="00D85549" w:rsidRPr="008E5B95">
        <w:t>,</w:t>
      </w:r>
      <w:r w:rsidR="00840D63">
        <w:t xml:space="preserve"> 48, 49,</w:t>
      </w:r>
      <w:r w:rsidRPr="008E5B95">
        <w:t xml:space="preserve"> 50 y 57 del Reglamento de la Corte Interamericana de Derechos Humanos (en adelante “la Corte” o “el Tribunal”).</w:t>
      </w:r>
    </w:p>
    <w:p w14:paraId="054C8E04" w14:textId="77777777" w:rsidR="00C41CF4" w:rsidRPr="008E5B95" w:rsidRDefault="00C41CF4" w:rsidP="00C41CF4">
      <w:pPr>
        <w:pStyle w:val="Sinespaciado"/>
        <w:numPr>
          <w:ilvl w:val="0"/>
          <w:numId w:val="0"/>
        </w:numPr>
        <w:rPr>
          <w:rFonts w:cs="Times New Roman"/>
        </w:rPr>
      </w:pPr>
    </w:p>
    <w:p w14:paraId="32E45983" w14:textId="15E917A0" w:rsidR="001244D3" w:rsidRPr="00623B55" w:rsidRDefault="00FF1C4B" w:rsidP="00623B55">
      <w:pPr>
        <w:pStyle w:val="Sinespaciado"/>
        <w:ind w:left="0" w:firstLine="0"/>
        <w:rPr>
          <w:rFonts w:cs="Times New Roman"/>
        </w:rPr>
      </w:pPr>
      <w:bookmarkStart w:id="1" w:name="_Hlk108085564"/>
      <w:r>
        <w:t>L</w:t>
      </w:r>
      <w:r w:rsidR="008C143E">
        <w:t xml:space="preserve">a Comisión </w:t>
      </w:r>
      <w:r w:rsidR="007645C7">
        <w:t>ofreció</w:t>
      </w:r>
      <w:r w:rsidR="00840D63">
        <w:t xml:space="preserve"> como prueba</w:t>
      </w:r>
      <w:r w:rsidR="007645C7">
        <w:t xml:space="preserve"> la declaración de </w:t>
      </w:r>
      <w:r w:rsidR="00682CBD">
        <w:t>un</w:t>
      </w:r>
      <w:r w:rsidR="007645C7">
        <w:t xml:space="preserve"> perito</w:t>
      </w:r>
      <w:r w:rsidR="004F5C9C" w:rsidRPr="004F5C9C">
        <w:rPr>
          <w:rStyle w:val="Refdenotaalpie"/>
          <w:sz w:val="20"/>
          <w:szCs w:val="20"/>
        </w:rPr>
        <w:footnoteReference w:id="4"/>
      </w:r>
      <w:r w:rsidR="000F741B">
        <w:t>, y solicitó que la misma fuera recibida en audiencia</w:t>
      </w:r>
      <w:r w:rsidR="008C143E">
        <w:t xml:space="preserve">; </w:t>
      </w:r>
      <w:r w:rsidR="00623B55">
        <w:t xml:space="preserve">el </w:t>
      </w:r>
      <w:r w:rsidR="009F3868">
        <w:t>Estado</w:t>
      </w:r>
      <w:r w:rsidR="00623B55">
        <w:t xml:space="preserve"> </w:t>
      </w:r>
      <w:r w:rsidR="001B5CE0">
        <w:t>ofreció</w:t>
      </w:r>
      <w:r w:rsidR="00493BE3" w:rsidRPr="008D132F">
        <w:t xml:space="preserve"> </w:t>
      </w:r>
      <w:bookmarkEnd w:id="1"/>
      <w:r w:rsidR="00616F88" w:rsidRPr="008D132F">
        <w:t xml:space="preserve">la declaración </w:t>
      </w:r>
      <w:r w:rsidR="00AC46A0" w:rsidRPr="008D132F">
        <w:t>de</w:t>
      </w:r>
      <w:r w:rsidR="00C8722B">
        <w:t xml:space="preserve"> </w:t>
      </w:r>
      <w:r w:rsidR="009F3868">
        <w:t>cuatro testigos</w:t>
      </w:r>
      <w:r w:rsidR="00C8722B" w:rsidRPr="00752DF7">
        <w:rPr>
          <w:rStyle w:val="Refdenotaalpie"/>
          <w:sz w:val="20"/>
          <w:szCs w:val="20"/>
        </w:rPr>
        <w:footnoteReference w:id="5"/>
      </w:r>
      <w:r w:rsidR="002717D8">
        <w:t>,</w:t>
      </w:r>
      <w:r w:rsidR="00AC46A0" w:rsidRPr="002717D8">
        <w:t xml:space="preserve"> </w:t>
      </w:r>
      <w:r w:rsidR="009F3868">
        <w:t>y dos peritos</w:t>
      </w:r>
      <w:r w:rsidR="007C538F" w:rsidRPr="004F5C9C">
        <w:rPr>
          <w:rStyle w:val="Refdenotaalpie"/>
          <w:sz w:val="20"/>
          <w:szCs w:val="20"/>
        </w:rPr>
        <w:footnoteReference w:id="6"/>
      </w:r>
      <w:r w:rsidR="00616F88" w:rsidRPr="008D132F">
        <w:t>.</w:t>
      </w:r>
      <w:r w:rsidR="00B50BDB">
        <w:t xml:space="preserve"> </w:t>
      </w:r>
      <w:r w:rsidR="00C67E09" w:rsidRPr="00623B55">
        <w:rPr>
          <w:lang w:val="es-ES"/>
        </w:rPr>
        <w:t>La Comisión, en su</w:t>
      </w:r>
      <w:r w:rsidR="00623B55" w:rsidRPr="00623B55">
        <w:rPr>
          <w:lang w:val="es-ES"/>
        </w:rPr>
        <w:t>s</w:t>
      </w:r>
      <w:r w:rsidR="00C67E09" w:rsidRPr="00623B55">
        <w:rPr>
          <w:lang w:val="es-ES"/>
        </w:rPr>
        <w:t xml:space="preserve"> lista</w:t>
      </w:r>
      <w:r w:rsidR="00623B55" w:rsidRPr="00623B55">
        <w:rPr>
          <w:lang w:val="es-ES"/>
        </w:rPr>
        <w:t>s</w:t>
      </w:r>
      <w:r w:rsidR="00C67E09" w:rsidRPr="00623B55">
        <w:rPr>
          <w:lang w:val="es-ES"/>
        </w:rPr>
        <w:t xml:space="preserve"> definitiva</w:t>
      </w:r>
      <w:r w:rsidR="00623B55" w:rsidRPr="00623B55">
        <w:rPr>
          <w:lang w:val="es-ES"/>
        </w:rPr>
        <w:t>s</w:t>
      </w:r>
      <w:r w:rsidR="00C67E09" w:rsidRPr="00623B55">
        <w:rPr>
          <w:lang w:val="es-ES"/>
        </w:rPr>
        <w:t>, reiter</w:t>
      </w:r>
      <w:r w:rsidR="004149BA">
        <w:rPr>
          <w:lang w:val="es-ES"/>
        </w:rPr>
        <w:t>ó</w:t>
      </w:r>
      <w:r w:rsidR="00C67E09" w:rsidRPr="00623B55">
        <w:rPr>
          <w:lang w:val="es-ES"/>
        </w:rPr>
        <w:t xml:space="preserve"> el ofrecimiento de prueba </w:t>
      </w:r>
      <w:r w:rsidR="006D75FE">
        <w:rPr>
          <w:lang w:val="es-ES"/>
        </w:rPr>
        <w:t xml:space="preserve">realizado </w:t>
      </w:r>
      <w:r w:rsidR="00C67E09" w:rsidRPr="00623B55">
        <w:rPr>
          <w:lang w:val="es-ES"/>
        </w:rPr>
        <w:t>mediante el sometimiento</w:t>
      </w:r>
      <w:r w:rsidR="004149BA">
        <w:rPr>
          <w:lang w:val="es-ES"/>
        </w:rPr>
        <w:t>, y solicitó que fuera recibida en audiencia; y</w:t>
      </w:r>
      <w:r w:rsidR="00623B55" w:rsidRPr="00623B55">
        <w:rPr>
          <w:lang w:val="es-ES"/>
        </w:rPr>
        <w:t xml:space="preserve"> </w:t>
      </w:r>
      <w:r w:rsidR="004149BA">
        <w:rPr>
          <w:lang w:val="es-ES"/>
        </w:rPr>
        <w:t>e</w:t>
      </w:r>
      <w:r w:rsidR="00623B55" w:rsidRPr="00623B55">
        <w:rPr>
          <w:lang w:val="es-ES"/>
        </w:rPr>
        <w:t xml:space="preserve">l </w:t>
      </w:r>
      <w:r w:rsidR="004149BA">
        <w:rPr>
          <w:lang w:val="es-ES"/>
        </w:rPr>
        <w:t xml:space="preserve">Estado </w:t>
      </w:r>
      <w:r w:rsidR="00DE39DA">
        <w:rPr>
          <w:lang w:val="es-ES"/>
        </w:rPr>
        <w:t>confirmó</w:t>
      </w:r>
      <w:r w:rsidR="004149BA">
        <w:rPr>
          <w:lang w:val="es-ES"/>
        </w:rPr>
        <w:t xml:space="preserve"> a sus testigos y peritos ofrecidos en su escrito de contestación</w:t>
      </w:r>
      <w:r w:rsidR="00623B55" w:rsidRPr="00623B55">
        <w:rPr>
          <w:lang w:val="es-ES"/>
        </w:rPr>
        <w:t>,</w:t>
      </w:r>
      <w:r w:rsidR="004149BA">
        <w:rPr>
          <w:lang w:val="es-ES"/>
        </w:rPr>
        <w:t xml:space="preserve"> y expresó que </w:t>
      </w:r>
      <w:r w:rsidR="00DE39DA">
        <w:rPr>
          <w:lang w:val="es-ES"/>
        </w:rPr>
        <w:t xml:space="preserve">“considera innecesario el </w:t>
      </w:r>
      <w:r w:rsidR="00DE39DA">
        <w:rPr>
          <w:lang w:val="es-ES"/>
        </w:rPr>
        <w:lastRenderedPageBreak/>
        <w:t>desarrollo</w:t>
      </w:r>
      <w:r w:rsidR="004149BA">
        <w:rPr>
          <w:lang w:val="es-ES"/>
        </w:rPr>
        <w:t xml:space="preserve"> de una audiencia pública</w:t>
      </w:r>
      <w:r w:rsidR="00DE39DA">
        <w:rPr>
          <w:lang w:val="es-ES"/>
        </w:rPr>
        <w:t>”</w:t>
      </w:r>
      <w:r w:rsidR="00C67E09" w:rsidRPr="00623B55">
        <w:rPr>
          <w:lang w:val="es-ES"/>
        </w:rPr>
        <w:t>. Adicionalmente, la Comisión</w:t>
      </w:r>
      <w:r w:rsidR="00623B55" w:rsidRPr="00623B55">
        <w:rPr>
          <w:lang w:val="es-ES"/>
        </w:rPr>
        <w:t xml:space="preserve"> manifestó</w:t>
      </w:r>
      <w:r w:rsidR="00C67E09" w:rsidRPr="00623B55">
        <w:rPr>
          <w:lang w:val="es-ES"/>
        </w:rPr>
        <w:t xml:space="preserve"> no tener observaciones a las listas definitivas </w:t>
      </w:r>
      <w:r w:rsidR="00682CBD" w:rsidRPr="00623B55">
        <w:rPr>
          <w:lang w:val="es-ES"/>
        </w:rPr>
        <w:t>presentadas</w:t>
      </w:r>
      <w:r w:rsidR="00623B55" w:rsidRPr="00623B55">
        <w:rPr>
          <w:lang w:val="es-ES"/>
        </w:rPr>
        <w:t>,</w:t>
      </w:r>
      <w:r w:rsidR="004149BA">
        <w:rPr>
          <w:lang w:val="es-ES"/>
        </w:rPr>
        <w:t xml:space="preserve"> pero solicitó formular preguntas a la perita Intina Reina López Pérez, ofrecida por el Estado</w:t>
      </w:r>
      <w:r w:rsidR="00B523F4">
        <w:rPr>
          <w:lang w:val="es-ES"/>
        </w:rPr>
        <w:t>. Ni el representante ni el Estado presentaron observaciones a las listas definitivas de declarantes.</w:t>
      </w:r>
    </w:p>
    <w:p w14:paraId="1BD6364C" w14:textId="3E0B6973" w:rsidR="007752BC" w:rsidRPr="00764564" w:rsidRDefault="007752BC" w:rsidP="00617636">
      <w:pPr>
        <w:pStyle w:val="Sinespaciado"/>
        <w:numPr>
          <w:ilvl w:val="0"/>
          <w:numId w:val="0"/>
        </w:numPr>
        <w:rPr>
          <w:rFonts w:eastAsia="Times New Roman" w:cs="Verdana"/>
          <w:lang w:val="es-CO"/>
        </w:rPr>
      </w:pPr>
    </w:p>
    <w:bookmarkEnd w:id="0"/>
    <w:p w14:paraId="2773AE7B" w14:textId="6FD1A287" w:rsidR="00AE412F" w:rsidRDefault="4CA6750B" w:rsidP="00AE412F">
      <w:pPr>
        <w:pStyle w:val="Sinespaciado"/>
        <w:ind w:left="0" w:firstLine="0"/>
        <w:rPr>
          <w:rFonts w:cs="Times New Roman"/>
        </w:rPr>
      </w:pPr>
      <w:r w:rsidRPr="4CA6750B">
        <w:rPr>
          <w:rFonts w:cs="Times New Roman"/>
        </w:rPr>
        <w:t xml:space="preserve">El </w:t>
      </w:r>
      <w:proofErr w:type="gramStart"/>
      <w:r w:rsidRPr="4CA6750B">
        <w:rPr>
          <w:rFonts w:cs="Times New Roman"/>
        </w:rPr>
        <w:t>Presidente</w:t>
      </w:r>
      <w:proofErr w:type="gramEnd"/>
      <w:r w:rsidRPr="4CA6750B">
        <w:rPr>
          <w:rFonts w:cs="Times New Roman"/>
        </w:rPr>
        <w:t xml:space="preserve"> de la Corte (en adelante “el Presidente” o “esta Presidencia”)</w:t>
      </w:r>
      <w:r w:rsidR="00D13D01">
        <w:rPr>
          <w:rFonts w:cs="Times New Roman"/>
        </w:rPr>
        <w:t>, en consulta con el Pleno del Tribunal,</w:t>
      </w:r>
      <w:r w:rsidRPr="4CA6750B">
        <w:rPr>
          <w:rFonts w:cs="Times New Roman"/>
        </w:rPr>
        <w:t xml:space="preserve"> ha decidido que es necesario convocar a una audiencia pública</w:t>
      </w:r>
      <w:r w:rsidR="00A066C8">
        <w:rPr>
          <w:rFonts w:cs="Times New Roman"/>
        </w:rPr>
        <w:t xml:space="preserve"> </w:t>
      </w:r>
      <w:r w:rsidRPr="4CA6750B">
        <w:rPr>
          <w:rFonts w:cs="Times New Roman"/>
        </w:rPr>
        <w:t>durante la cual se recibirán las declaraciones que sean admitidas para tales efectos, así como los alegatos y observaciones finales orales de las partes y la Comisión Interamericana, respectivamente.</w:t>
      </w:r>
      <w:r w:rsidR="007259EB">
        <w:rPr>
          <w:rFonts w:cs="Times New Roman"/>
        </w:rPr>
        <w:t xml:space="preserve"> </w:t>
      </w:r>
    </w:p>
    <w:p w14:paraId="1BF969EB" w14:textId="77777777" w:rsidR="00AE412F" w:rsidRDefault="00AE412F" w:rsidP="0043522A"/>
    <w:p w14:paraId="38C72DB6" w14:textId="1F8A525C" w:rsidR="00692CBA" w:rsidRPr="00FE1EFE" w:rsidRDefault="4CA6750B" w:rsidP="00AE412F">
      <w:pPr>
        <w:pStyle w:val="Sinespaciado"/>
        <w:ind w:left="0" w:firstLine="0"/>
        <w:rPr>
          <w:rFonts w:cs="Times New Roman"/>
        </w:rPr>
      </w:pPr>
      <w:r w:rsidRPr="00FE1EFE">
        <w:t xml:space="preserve">Esta Presidencia considera procedente recabar </w:t>
      </w:r>
      <w:r w:rsidR="00C077AB" w:rsidRPr="00FE1EFE">
        <w:t>las declaraciones</w:t>
      </w:r>
      <w:r w:rsidRPr="00FE1EFE">
        <w:t xml:space="preserve"> </w:t>
      </w:r>
      <w:r w:rsidR="0025577D" w:rsidRPr="00FE1EFE">
        <w:t xml:space="preserve">propuestas por el </w:t>
      </w:r>
      <w:r w:rsidR="0025577D">
        <w:t>Estado</w:t>
      </w:r>
      <w:r w:rsidR="0025577D" w:rsidRPr="00FE1EFE">
        <w:t xml:space="preserve"> </w:t>
      </w:r>
      <w:r w:rsidRPr="00FE1EFE">
        <w:t xml:space="preserve">de </w:t>
      </w:r>
      <w:proofErr w:type="spellStart"/>
      <w:r w:rsidR="00FE1EFE" w:rsidRPr="00FE1EFE">
        <w:t>Eglee</w:t>
      </w:r>
      <w:proofErr w:type="spellEnd"/>
      <w:r w:rsidR="00FE1EFE" w:rsidRPr="00FE1EFE">
        <w:t xml:space="preserve"> Sofía Toro Navas, Omar Roa Veliz, Carlos Alberto </w:t>
      </w:r>
      <w:r w:rsidR="00B523F4">
        <w:t>Á</w:t>
      </w:r>
      <w:r w:rsidR="00FE1EFE" w:rsidRPr="00FE1EFE">
        <w:t>lvarez, Pedro Contreras</w:t>
      </w:r>
      <w:r w:rsidRPr="00FE1EFE">
        <w:t>,</w:t>
      </w:r>
      <w:r w:rsidR="00FE1EFE" w:rsidRPr="00FE1EFE">
        <w:t xml:space="preserve"> Federico Fuenmayor e Intina Reina López Pérez,</w:t>
      </w:r>
      <w:r w:rsidRPr="00FE1EFE">
        <w:t xml:space="preserve"> la</w:t>
      </w:r>
      <w:r w:rsidR="00C077AB" w:rsidRPr="00FE1EFE">
        <w:t>s</w:t>
      </w:r>
      <w:r w:rsidRPr="00FE1EFE">
        <w:t xml:space="preserve"> cual</w:t>
      </w:r>
      <w:r w:rsidR="00C077AB" w:rsidRPr="00FE1EFE">
        <w:t>es</w:t>
      </w:r>
      <w:r w:rsidRPr="00FE1EFE">
        <w:t xml:space="preserve"> no fue</w:t>
      </w:r>
      <w:r w:rsidR="00C077AB" w:rsidRPr="00FE1EFE">
        <w:t>ron</w:t>
      </w:r>
      <w:r w:rsidRPr="00FE1EFE">
        <w:t xml:space="preserve"> objetada</w:t>
      </w:r>
      <w:r w:rsidR="00C077AB" w:rsidRPr="00FE1EFE">
        <w:t>s</w:t>
      </w:r>
      <w:r w:rsidRPr="00FE1EFE">
        <w:t>,</w:t>
      </w:r>
      <w:r w:rsidRPr="00FE1EFE">
        <w:rPr>
          <w:rStyle w:val="Refdenotaalpie"/>
          <w:sz w:val="20"/>
          <w:szCs w:val="20"/>
        </w:rPr>
        <w:t xml:space="preserve"> </w:t>
      </w:r>
      <w:r w:rsidRPr="00FE1EFE">
        <w:t xml:space="preserve">a efecto de que el Tribunal aprecie su valor en la debida oportunidad procesal, dentro del contexto del acervo probatorio existente, y según las reglas de la sana crítica. Por consiguiente, el </w:t>
      </w:r>
      <w:proofErr w:type="gramStart"/>
      <w:r w:rsidRPr="00FE1EFE">
        <w:t>Presidente</w:t>
      </w:r>
      <w:proofErr w:type="gramEnd"/>
      <w:r w:rsidRPr="00FE1EFE">
        <w:t xml:space="preserve"> admite la</w:t>
      </w:r>
      <w:r w:rsidR="00C077AB" w:rsidRPr="00FE1EFE">
        <w:t>s</w:t>
      </w:r>
      <w:r w:rsidRPr="00FE1EFE">
        <w:t xml:space="preserve"> declaraci</w:t>
      </w:r>
      <w:r w:rsidR="00C077AB" w:rsidRPr="00FE1EFE">
        <w:t xml:space="preserve">ones </w:t>
      </w:r>
      <w:r w:rsidRPr="00FE1EFE">
        <w:t>antes señalada</w:t>
      </w:r>
      <w:r w:rsidR="00C077AB" w:rsidRPr="00FE1EFE">
        <w:t>s</w:t>
      </w:r>
      <w:r w:rsidRPr="00FE1EFE">
        <w:t>, según el objeto y modalidad determinados en la parte resolutiva de la presente Resolución (</w:t>
      </w:r>
      <w:r w:rsidRPr="00FE1EFE">
        <w:rPr>
          <w:i/>
        </w:rPr>
        <w:t>infra</w:t>
      </w:r>
      <w:r w:rsidRPr="00FE1EFE">
        <w:t xml:space="preserve"> punto resolutivo</w:t>
      </w:r>
      <w:r w:rsidR="006D75FE" w:rsidRPr="00FE1EFE">
        <w:t xml:space="preserve"> </w:t>
      </w:r>
      <w:r w:rsidR="00B523F4">
        <w:t>3</w:t>
      </w:r>
      <w:r w:rsidRPr="00FE1EFE">
        <w:t xml:space="preserve">). </w:t>
      </w:r>
    </w:p>
    <w:p w14:paraId="41641CB0" w14:textId="1F434E95" w:rsidR="00AE412F" w:rsidRPr="00AE412F" w:rsidRDefault="00AE412F" w:rsidP="00337763">
      <w:pPr>
        <w:pStyle w:val="Sinespaciado"/>
        <w:numPr>
          <w:ilvl w:val="0"/>
          <w:numId w:val="0"/>
        </w:numPr>
        <w:rPr>
          <w:rFonts w:cs="Times New Roman"/>
        </w:rPr>
      </w:pPr>
    </w:p>
    <w:p w14:paraId="451AD494" w14:textId="4F196313" w:rsidR="00CE1D05" w:rsidRPr="00C077AB" w:rsidRDefault="4CA6750B" w:rsidP="00C077AB">
      <w:pPr>
        <w:pStyle w:val="Sinespaciado"/>
        <w:ind w:left="0" w:firstLine="0"/>
        <w:rPr>
          <w:lang w:val="es-ES"/>
        </w:rPr>
      </w:pPr>
      <w:r w:rsidRPr="4CA6750B">
        <w:rPr>
          <w:rFonts w:eastAsia="Times New Roman" w:cs="Verdana"/>
          <w:lang w:val="es-CO"/>
        </w:rPr>
        <w:t>Tomando en consideración lo anterior, a</w:t>
      </w:r>
      <w:r w:rsidRPr="4CA6750B">
        <w:rPr>
          <w:lang w:val="es-CO"/>
        </w:rPr>
        <w:t xml:space="preserve"> continuación, el </w:t>
      </w:r>
      <w:proofErr w:type="gramStart"/>
      <w:r w:rsidRPr="4CA6750B">
        <w:rPr>
          <w:lang w:val="es-CO"/>
        </w:rPr>
        <w:t>Presidente</w:t>
      </w:r>
      <w:proofErr w:type="gramEnd"/>
      <w:r w:rsidRPr="4CA6750B">
        <w:rPr>
          <w:lang w:val="es-CO"/>
        </w:rPr>
        <w:t xml:space="preserve"> examinará en forma particular</w:t>
      </w:r>
      <w:r w:rsidR="00C077AB">
        <w:rPr>
          <w:lang w:val="es-CO"/>
        </w:rPr>
        <w:t xml:space="preserve"> </w:t>
      </w:r>
      <w:r w:rsidR="00FC64A0">
        <w:rPr>
          <w:lang w:val="es-CO"/>
        </w:rPr>
        <w:t xml:space="preserve">a) </w:t>
      </w:r>
      <w:r w:rsidR="00C71F4B" w:rsidRPr="4CA6750B">
        <w:rPr>
          <w:lang w:val="es-CO"/>
        </w:rPr>
        <w:t>la admisibilidad de la declaraci</w:t>
      </w:r>
      <w:r w:rsidR="00C077AB">
        <w:rPr>
          <w:lang w:val="es-CO"/>
        </w:rPr>
        <w:t>ón</w:t>
      </w:r>
      <w:r w:rsidR="006D75FE">
        <w:rPr>
          <w:lang w:val="es-CO"/>
        </w:rPr>
        <w:t xml:space="preserve"> pericial</w:t>
      </w:r>
      <w:r w:rsidR="00C71F4B" w:rsidRPr="4CA6750B">
        <w:rPr>
          <w:lang w:val="es-CO"/>
        </w:rPr>
        <w:t xml:space="preserve"> ofrecida por la Comisión</w:t>
      </w:r>
      <w:r w:rsidR="005248F2">
        <w:rPr>
          <w:lang w:val="es-CO"/>
        </w:rPr>
        <w:t xml:space="preserve"> y </w:t>
      </w:r>
      <w:r w:rsidR="000142EB">
        <w:rPr>
          <w:lang w:val="es-CO"/>
        </w:rPr>
        <w:t>la</w:t>
      </w:r>
      <w:r w:rsidR="005248F2">
        <w:rPr>
          <w:lang w:val="es-CO"/>
        </w:rPr>
        <w:t xml:space="preserve"> solicitud </w:t>
      </w:r>
      <w:r w:rsidR="000142EB">
        <w:rPr>
          <w:lang w:val="es-CO"/>
        </w:rPr>
        <w:t>de formular preguntas a una</w:t>
      </w:r>
      <w:r w:rsidR="005248F2">
        <w:rPr>
          <w:lang w:val="es-CO"/>
        </w:rPr>
        <w:t xml:space="preserve"> perita ofrecida por el Estado</w:t>
      </w:r>
      <w:r w:rsidR="00FC64A0">
        <w:rPr>
          <w:lang w:val="es-CO"/>
        </w:rPr>
        <w:t xml:space="preserve">, y b) </w:t>
      </w:r>
      <w:r w:rsidR="00D00A82">
        <w:rPr>
          <w:lang w:val="es-CO"/>
        </w:rPr>
        <w:t>el requerimiento de prueba de oficio</w:t>
      </w:r>
      <w:r w:rsidRPr="4CA6750B">
        <w:rPr>
          <w:lang w:val="es-CO"/>
        </w:rPr>
        <w:t>.</w:t>
      </w:r>
    </w:p>
    <w:p w14:paraId="3D02E783" w14:textId="77777777" w:rsidR="00C71F4B" w:rsidRPr="00687EFE" w:rsidRDefault="00C71F4B" w:rsidP="00C71F4B">
      <w:pPr>
        <w:pStyle w:val="Sinespaciado"/>
        <w:numPr>
          <w:ilvl w:val="0"/>
          <w:numId w:val="0"/>
        </w:numPr>
        <w:rPr>
          <w:rFonts w:cs="Verdana"/>
          <w:lang w:bidi="en-US"/>
        </w:rPr>
      </w:pPr>
    </w:p>
    <w:p w14:paraId="2BF365AC" w14:textId="2F8DF265" w:rsidR="00C71F4B" w:rsidRPr="002923A5" w:rsidRDefault="00C71F4B" w:rsidP="002923A5">
      <w:pPr>
        <w:pStyle w:val="Prrafodelista"/>
        <w:numPr>
          <w:ilvl w:val="0"/>
          <w:numId w:val="30"/>
        </w:numPr>
        <w:tabs>
          <w:tab w:val="left" w:pos="567"/>
        </w:tabs>
        <w:spacing w:line="240" w:lineRule="auto"/>
        <w:ind w:left="0" w:right="11" w:firstLine="0"/>
        <w:jc w:val="both"/>
        <w:rPr>
          <w:b/>
          <w:i/>
          <w:lang w:val="es-CO"/>
        </w:rPr>
      </w:pPr>
      <w:r w:rsidRPr="002923A5">
        <w:rPr>
          <w:b/>
          <w:i/>
          <w:lang w:val="es-CO"/>
        </w:rPr>
        <w:t xml:space="preserve">Admisibilidad de </w:t>
      </w:r>
      <w:r w:rsidR="00C077AB" w:rsidRPr="002923A5">
        <w:rPr>
          <w:b/>
          <w:i/>
          <w:lang w:val="es-CO"/>
        </w:rPr>
        <w:t>la declaración pericial</w:t>
      </w:r>
      <w:r w:rsidRPr="002923A5">
        <w:rPr>
          <w:b/>
          <w:i/>
          <w:lang w:val="es-CO"/>
        </w:rPr>
        <w:t xml:space="preserve"> ofrecida por la Comisión</w:t>
      </w:r>
      <w:r w:rsidR="00FE1EFE">
        <w:rPr>
          <w:b/>
          <w:i/>
          <w:lang w:val="es-CO"/>
        </w:rPr>
        <w:t xml:space="preserve"> y la solicitud de formular preguntas a una perita ofrecida por el Estado</w:t>
      </w:r>
    </w:p>
    <w:p w14:paraId="33903A65" w14:textId="77777777" w:rsidR="00C71F4B" w:rsidRPr="00000D42" w:rsidRDefault="00C71F4B" w:rsidP="00C71F4B">
      <w:pPr>
        <w:pStyle w:val="Prrafodelista"/>
        <w:ind w:left="0" w:right="11"/>
        <w:jc w:val="both"/>
        <w:rPr>
          <w:lang w:val="es-CO"/>
        </w:rPr>
      </w:pPr>
    </w:p>
    <w:p w14:paraId="3F1D1666" w14:textId="75D3F668" w:rsidR="00C71F4B" w:rsidRPr="00981AE5" w:rsidRDefault="00C71F4B" w:rsidP="00C71F4B">
      <w:pPr>
        <w:pStyle w:val="Sinespaciado"/>
        <w:ind w:left="0" w:firstLine="0"/>
        <w:rPr>
          <w:rFonts w:asciiTheme="minorHAnsi" w:eastAsiaTheme="minorEastAsia" w:hAnsiTheme="minorHAnsi"/>
          <w:sz w:val="16"/>
          <w:szCs w:val="16"/>
          <w:lang w:val="es-CO"/>
        </w:rPr>
      </w:pPr>
      <w:r w:rsidRPr="00000D42">
        <w:rPr>
          <w:lang w:val="es-CO"/>
        </w:rPr>
        <w:t xml:space="preserve">La </w:t>
      </w:r>
      <w:r w:rsidRPr="4CA6750B">
        <w:rPr>
          <w:b/>
          <w:i/>
          <w:lang w:val="es-CO"/>
        </w:rPr>
        <w:t>Comisión</w:t>
      </w:r>
      <w:r w:rsidRPr="00000D42">
        <w:rPr>
          <w:lang w:val="es-CO"/>
        </w:rPr>
        <w:t xml:space="preserve"> ofreció </w:t>
      </w:r>
      <w:r w:rsidR="00C077AB">
        <w:rPr>
          <w:lang w:val="es-CO"/>
        </w:rPr>
        <w:t xml:space="preserve">el peritaje de </w:t>
      </w:r>
      <w:r w:rsidR="00D669F0">
        <w:rPr>
          <w:lang w:val="es-CO"/>
        </w:rPr>
        <w:t>Pedro Salazar Ugarte</w:t>
      </w:r>
      <w:r w:rsidRPr="00000D42">
        <w:rPr>
          <w:rStyle w:val="Refdenotaalpie"/>
          <w:sz w:val="20"/>
          <w:szCs w:val="20"/>
        </w:rPr>
        <w:footnoteReference w:id="7"/>
      </w:r>
      <w:r w:rsidRPr="77C40E70">
        <w:rPr>
          <w:lang w:val="es-CO"/>
        </w:rPr>
        <w:t>,</w:t>
      </w:r>
      <w:r w:rsidRPr="00000D42">
        <w:rPr>
          <w:lang w:val="es-CO"/>
        </w:rPr>
        <w:t xml:space="preserve"> argumentando que </w:t>
      </w:r>
      <w:r w:rsidR="00D669F0">
        <w:rPr>
          <w:lang w:val="es-CO"/>
        </w:rPr>
        <w:t>se refiere a temas de orden público interamericano, pues permit</w:t>
      </w:r>
      <w:r w:rsidR="005248F2">
        <w:rPr>
          <w:lang w:val="es-CO"/>
        </w:rPr>
        <w:t>irá</w:t>
      </w:r>
      <w:r w:rsidR="00D669F0">
        <w:rPr>
          <w:lang w:val="es-CO"/>
        </w:rPr>
        <w:t xml:space="preserve"> a la Corte contar con elementos de información </w:t>
      </w:r>
      <w:r w:rsidR="00B523F4">
        <w:rPr>
          <w:lang w:val="es-CO"/>
        </w:rPr>
        <w:t>respecto de</w:t>
      </w:r>
      <w:r w:rsidR="00D669F0">
        <w:rPr>
          <w:lang w:val="es-CO"/>
        </w:rPr>
        <w:t xml:space="preserve"> los estándares sobre derechos políticos aplicables en contiendas electorales</w:t>
      </w:r>
      <w:r w:rsidRPr="00000D42">
        <w:rPr>
          <w:lang w:val="es-CO"/>
        </w:rPr>
        <w:t xml:space="preserve">. </w:t>
      </w:r>
      <w:r w:rsidRPr="00981AE5">
        <w:rPr>
          <w:lang w:val="es-CO"/>
        </w:rPr>
        <w:t xml:space="preserve">El </w:t>
      </w:r>
      <w:r w:rsidRPr="4CA6750B">
        <w:rPr>
          <w:b/>
          <w:i/>
          <w:lang w:val="es-CO"/>
        </w:rPr>
        <w:t>Estado</w:t>
      </w:r>
      <w:r w:rsidRPr="00981AE5">
        <w:rPr>
          <w:lang w:val="es-CO"/>
        </w:rPr>
        <w:t xml:space="preserve"> </w:t>
      </w:r>
      <w:r w:rsidR="00C077AB">
        <w:rPr>
          <w:lang w:val="es-CO"/>
        </w:rPr>
        <w:t xml:space="preserve">y </w:t>
      </w:r>
      <w:r w:rsidR="0023730C">
        <w:rPr>
          <w:lang w:val="es-CO"/>
        </w:rPr>
        <w:t>el</w:t>
      </w:r>
      <w:r>
        <w:rPr>
          <w:lang w:val="es-CO"/>
        </w:rPr>
        <w:t xml:space="preserve"> </w:t>
      </w:r>
      <w:r w:rsidRPr="4CA6750B">
        <w:rPr>
          <w:b/>
          <w:i/>
          <w:lang w:val="es-CO"/>
        </w:rPr>
        <w:t>representante</w:t>
      </w:r>
      <w:r>
        <w:rPr>
          <w:lang w:val="es-CO"/>
        </w:rPr>
        <w:t xml:space="preserve"> no se pronunciaron sobre el particular.</w:t>
      </w:r>
    </w:p>
    <w:p w14:paraId="59F11B7F" w14:textId="77777777" w:rsidR="00C71F4B" w:rsidRDefault="00C71F4B" w:rsidP="002923A5">
      <w:pPr>
        <w:pStyle w:val="Sinespaciado"/>
        <w:numPr>
          <w:ilvl w:val="0"/>
          <w:numId w:val="0"/>
        </w:numPr>
        <w:tabs>
          <w:tab w:val="clear" w:pos="567"/>
          <w:tab w:val="left" w:pos="426"/>
        </w:tabs>
        <w:rPr>
          <w:rFonts w:eastAsiaTheme="minorEastAsia"/>
          <w:lang w:val="es-CO"/>
        </w:rPr>
      </w:pPr>
    </w:p>
    <w:p w14:paraId="11B8CC2E" w14:textId="06496F85" w:rsidR="00C71F4B" w:rsidRDefault="00C71F4B" w:rsidP="00C71F4B">
      <w:pPr>
        <w:pStyle w:val="Sinespaciado"/>
        <w:ind w:left="0" w:firstLine="0"/>
        <w:rPr>
          <w:rFonts w:eastAsiaTheme="minorEastAsia"/>
          <w:lang w:val="es-CO"/>
        </w:rPr>
      </w:pPr>
      <w:r>
        <w:rPr>
          <w:lang w:val="es-CO"/>
        </w:rPr>
        <w:t xml:space="preserve">El </w:t>
      </w:r>
      <w:proofErr w:type="gramStart"/>
      <w:r w:rsidRPr="4CA6750B">
        <w:rPr>
          <w:b/>
          <w:i/>
          <w:lang w:val="es-CO"/>
        </w:rPr>
        <w:t>Presidente</w:t>
      </w:r>
      <w:proofErr w:type="gramEnd"/>
      <w:r w:rsidRPr="00C40501">
        <w:t xml:space="preserve"> procederá a analizar la admisibilidad del peritaje ofrecido por la Comisión, </w:t>
      </w:r>
      <w:r w:rsidRPr="234D9C67">
        <w:rPr>
          <w:lang w:val="es-ES"/>
        </w:rPr>
        <w:t>con fundamento en el artículo 35.1.f del Reglamento de la Corte</w:t>
      </w:r>
      <w:r w:rsidRPr="234D9C67">
        <w:rPr>
          <w:vertAlign w:val="superscript"/>
          <w:lang w:val="es-ES"/>
        </w:rPr>
        <w:footnoteReference w:id="8"/>
      </w:r>
      <w:r w:rsidRPr="234D9C67">
        <w:rPr>
          <w:lang w:val="es-ES"/>
        </w:rPr>
        <w:t>, en donde se supedita el eventual ofrecimiento de peritos cuando se afecte de manera relevante el orden público interamericano de los derechos humanos, lo cual corresponde a la Comisión sustentar</w:t>
      </w:r>
      <w:r w:rsidRPr="234D9C67">
        <w:rPr>
          <w:vertAlign w:val="superscript"/>
          <w:lang w:val="es-ES"/>
        </w:rPr>
        <w:footnoteReference w:id="9"/>
      </w:r>
      <w:r w:rsidRPr="00C40501">
        <w:t>.</w:t>
      </w:r>
    </w:p>
    <w:p w14:paraId="797DA98B" w14:textId="77777777" w:rsidR="00C71F4B" w:rsidRPr="005707C2" w:rsidRDefault="00C71F4B" w:rsidP="005707C2">
      <w:pPr>
        <w:rPr>
          <w:rFonts w:cs="Arial"/>
        </w:rPr>
      </w:pPr>
    </w:p>
    <w:p w14:paraId="64DE3979" w14:textId="6F1FF95D" w:rsidR="00C71F4B" w:rsidRPr="00981AE5" w:rsidRDefault="00C71F4B" w:rsidP="00C71F4B">
      <w:pPr>
        <w:pStyle w:val="Sinespaciado"/>
        <w:ind w:left="0" w:firstLine="0"/>
        <w:rPr>
          <w:rFonts w:eastAsiaTheme="minorEastAsia"/>
          <w:lang w:val="es-CO"/>
        </w:rPr>
      </w:pPr>
      <w:r w:rsidRPr="4CA6750B">
        <w:rPr>
          <w:rFonts w:cs="Arial"/>
        </w:rPr>
        <w:t>Según la Comisión, este caso involucra cuestiones de orden público interamericano, pues</w:t>
      </w:r>
      <w:r w:rsidR="00691FD1">
        <w:rPr>
          <w:rFonts w:cs="Arial"/>
        </w:rPr>
        <w:t xml:space="preserve"> permitirá</w:t>
      </w:r>
      <w:r w:rsidR="005248F2">
        <w:rPr>
          <w:rFonts w:cs="Arial"/>
        </w:rPr>
        <w:t xml:space="preserve"> a la Corte</w:t>
      </w:r>
      <w:r w:rsidRPr="4CA6750B">
        <w:rPr>
          <w:rFonts w:cs="Arial"/>
        </w:rPr>
        <w:t>:</w:t>
      </w:r>
    </w:p>
    <w:p w14:paraId="3C4FBA16" w14:textId="77777777" w:rsidR="00C71F4B" w:rsidRPr="00981AE5" w:rsidRDefault="00C71F4B" w:rsidP="00C71F4B">
      <w:pPr>
        <w:pStyle w:val="Sinespaciado"/>
        <w:numPr>
          <w:ilvl w:val="0"/>
          <w:numId w:val="0"/>
        </w:numPr>
        <w:rPr>
          <w:rFonts w:eastAsiaTheme="minorEastAsia"/>
          <w:lang w:val="es-CO"/>
        </w:rPr>
      </w:pPr>
    </w:p>
    <w:p w14:paraId="5A45F99C" w14:textId="478F4533" w:rsidR="002923A5" w:rsidRPr="00B10B72" w:rsidRDefault="00D669F0" w:rsidP="00D669F0">
      <w:pPr>
        <w:autoSpaceDE w:val="0"/>
        <w:autoSpaceDN w:val="0"/>
        <w:adjustRightInd w:val="0"/>
        <w:spacing w:line="240" w:lineRule="auto"/>
        <w:ind w:left="720" w:right="899"/>
        <w:jc w:val="both"/>
        <w:rPr>
          <w:rFonts w:eastAsiaTheme="minorEastAsia"/>
          <w:sz w:val="18"/>
          <w:szCs w:val="18"/>
          <w:lang w:val="es-CO"/>
        </w:rPr>
      </w:pPr>
      <w:r w:rsidRPr="00B10B72">
        <w:rPr>
          <w:rFonts w:cs="Cambria"/>
          <w:sz w:val="18"/>
          <w:szCs w:val="18"/>
          <w:lang w:val="es-ES"/>
        </w:rPr>
        <w:t>[…] continuar desarrollando su jurisprudencia en materia de derechos políticos. En particular, respecto a los estándares aplicables en el marco de contiendas electorales para garantizar el acceso, en condiciones de igualdad, a las funciones públicas en el contexto de procesos electorales y al pluralismo en el ejercicio de los derechos políticos. Asimismo, el caso permitirá continuar profundizando los estándares relativos a los recursos necesarios para garantizar de manera efectiva la imparcialidad de las autoridades encargadas del control electoral de las elecciones.</w:t>
      </w:r>
    </w:p>
    <w:p w14:paraId="2CE3D5A3" w14:textId="77777777" w:rsidR="002923A5" w:rsidRDefault="002923A5" w:rsidP="00C71F4B">
      <w:pPr>
        <w:pStyle w:val="Sinespaciado"/>
        <w:numPr>
          <w:ilvl w:val="0"/>
          <w:numId w:val="0"/>
        </w:numPr>
        <w:rPr>
          <w:rFonts w:eastAsiaTheme="minorEastAsia"/>
          <w:lang w:val="es-CO"/>
        </w:rPr>
      </w:pPr>
    </w:p>
    <w:p w14:paraId="1E936092" w14:textId="36490778" w:rsidR="00B10B72" w:rsidRDefault="002923A5" w:rsidP="00B10B72">
      <w:pPr>
        <w:pStyle w:val="Sinespaciado"/>
        <w:ind w:left="0" w:firstLine="0"/>
        <w:rPr>
          <w:rFonts w:cs="Arial"/>
          <w:lang w:val="es-CO"/>
        </w:rPr>
      </w:pPr>
      <w:r>
        <w:t xml:space="preserve">Al respecto, el </w:t>
      </w:r>
      <w:proofErr w:type="gramStart"/>
      <w:r>
        <w:t>Presidente</w:t>
      </w:r>
      <w:proofErr w:type="gramEnd"/>
      <w:r>
        <w:t xml:space="preserve"> observa, en primer lugar, </w:t>
      </w:r>
      <w:r w:rsidRPr="00563F21">
        <w:t xml:space="preserve">que ni el Estado ni </w:t>
      </w:r>
      <w:r>
        <w:t>el representante</w:t>
      </w:r>
      <w:r w:rsidRPr="00563F21">
        <w:t xml:space="preserve"> presentaron observaciones sobre dicho ofrecimiento.</w:t>
      </w:r>
      <w:r w:rsidRPr="00EE32F1">
        <w:t xml:space="preserve"> </w:t>
      </w:r>
      <w:r>
        <w:t xml:space="preserve">Dicho lo anterior, </w:t>
      </w:r>
      <w:r w:rsidR="00572980">
        <w:rPr>
          <w:lang w:val="es-CO"/>
        </w:rPr>
        <w:t>constata</w:t>
      </w:r>
      <w:r w:rsidRPr="002923A5">
        <w:rPr>
          <w:lang w:val="es-CO"/>
        </w:rPr>
        <w:t xml:space="preserve"> que el peritaje propuesto por la Comisión </w:t>
      </w:r>
      <w:r w:rsidR="00572980">
        <w:rPr>
          <w:lang w:val="es-CO"/>
        </w:rPr>
        <w:t xml:space="preserve">aborda el contenido de </w:t>
      </w:r>
      <w:r w:rsidRPr="002923A5">
        <w:rPr>
          <w:lang w:val="es-CO"/>
        </w:rPr>
        <w:t xml:space="preserve">las obligaciones de los Estados en materia </w:t>
      </w:r>
      <w:r>
        <w:rPr>
          <w:lang w:val="es-CO"/>
        </w:rPr>
        <w:t xml:space="preserve">del derecho a la participación política en condiciones de igualdad, </w:t>
      </w:r>
      <w:r w:rsidR="0025577D">
        <w:rPr>
          <w:lang w:val="es-CO"/>
        </w:rPr>
        <w:t xml:space="preserve">así como </w:t>
      </w:r>
      <w:r w:rsidR="0025577D" w:rsidRPr="0025577D">
        <w:rPr>
          <w:lang w:val="es-CO"/>
        </w:rPr>
        <w:t>las</w:t>
      </w:r>
      <w:r w:rsidR="0025577D">
        <w:rPr>
          <w:lang w:val="es-CO"/>
        </w:rPr>
        <w:t xml:space="preserve"> garantías que conciernen a las </w:t>
      </w:r>
      <w:r w:rsidR="0025577D" w:rsidRPr="0025577D">
        <w:rPr>
          <w:lang w:val="es-CO"/>
        </w:rPr>
        <w:t>autoridades encargadas del control electoral</w:t>
      </w:r>
      <w:r w:rsidRPr="002923A5">
        <w:rPr>
          <w:lang w:val="es-CO"/>
        </w:rPr>
        <w:t xml:space="preserve">. El </w:t>
      </w:r>
      <w:proofErr w:type="gramStart"/>
      <w:r w:rsidRPr="002923A5">
        <w:rPr>
          <w:lang w:val="es-CO"/>
        </w:rPr>
        <w:t>Presidente</w:t>
      </w:r>
      <w:proofErr w:type="gramEnd"/>
      <w:r w:rsidRPr="002923A5">
        <w:rPr>
          <w:lang w:val="es-CO"/>
        </w:rPr>
        <w:t xml:space="preserve"> advierte que estas cuestiones son relevantes no solo para el caso particular, sino que involucran un supuesto que puede tener impacto sobre situaciones en otros Estados, por lo que son de orden público interamericano. En consecuencia, estima pertinente admitir el dictamen pericial</w:t>
      </w:r>
      <w:r w:rsidRPr="002923A5">
        <w:rPr>
          <w:rFonts w:cs="Arial"/>
          <w:lang w:val="es-CO"/>
        </w:rPr>
        <w:t xml:space="preserve"> ofrecido por la Comisión, según el objeto y modalidad determinados en la parte resolutiva de la presente Resolución.</w:t>
      </w:r>
    </w:p>
    <w:p w14:paraId="09D40B65" w14:textId="77777777" w:rsidR="00B10B72" w:rsidRDefault="00B10B72" w:rsidP="00B10B72">
      <w:pPr>
        <w:pStyle w:val="Sinespaciado"/>
        <w:numPr>
          <w:ilvl w:val="0"/>
          <w:numId w:val="0"/>
        </w:numPr>
        <w:rPr>
          <w:rFonts w:cs="Arial"/>
          <w:lang w:val="es-CO"/>
        </w:rPr>
      </w:pPr>
    </w:p>
    <w:p w14:paraId="66AD40BB" w14:textId="62AC8745" w:rsidR="00B10B72" w:rsidRPr="00B10B72" w:rsidRDefault="00D669F0" w:rsidP="00B10B72">
      <w:pPr>
        <w:pStyle w:val="Sinespaciado"/>
        <w:ind w:left="0" w:firstLine="0"/>
        <w:rPr>
          <w:rFonts w:cs="Arial"/>
          <w:lang w:val="es-CO"/>
        </w:rPr>
      </w:pPr>
      <w:r w:rsidRPr="00B10B72">
        <w:rPr>
          <w:rFonts w:cs="Verdana"/>
          <w:color w:val="000000" w:themeColor="text1"/>
        </w:rPr>
        <w:t xml:space="preserve">Por otro lado, la </w:t>
      </w:r>
      <w:r w:rsidRPr="00B10B72">
        <w:rPr>
          <w:rFonts w:cs="Verdana"/>
          <w:b/>
          <w:i/>
          <w:color w:val="000000" w:themeColor="text1"/>
        </w:rPr>
        <w:t xml:space="preserve">Comisión </w:t>
      </w:r>
      <w:r w:rsidRPr="00F86637">
        <w:rPr>
          <w:rFonts w:cs="Verdana"/>
          <w:color w:val="000000" w:themeColor="text1"/>
        </w:rPr>
        <w:t xml:space="preserve">solicitó se le conceda la oportunidad de formular preguntas a la perita </w:t>
      </w:r>
      <w:r w:rsidR="00B10B72" w:rsidRPr="00923BD4">
        <w:t>Intina Reina López Pérez</w:t>
      </w:r>
      <w:r w:rsidR="00B10B72" w:rsidRPr="002002C0">
        <w:rPr>
          <w:rStyle w:val="Refdenotaalpie"/>
          <w:sz w:val="20"/>
          <w:szCs w:val="20"/>
        </w:rPr>
        <w:footnoteReference w:id="10"/>
      </w:r>
      <w:r w:rsidRPr="00F86637">
        <w:rPr>
          <w:rFonts w:cs="Verdana"/>
          <w:color w:val="000000" w:themeColor="text1"/>
        </w:rPr>
        <w:t xml:space="preserve">. La Comisión fundamentó su petición en el hecho de que su declaración se relaciona </w:t>
      </w:r>
      <w:r w:rsidR="00B10B72" w:rsidRPr="00F86637">
        <w:t>tanto con el</w:t>
      </w:r>
      <w:r w:rsidR="00B10B72" w:rsidRPr="00B10B72">
        <w:t xml:space="preserve"> orden público interamericano como con parte de la materia sobre la cual versa el peritaje</w:t>
      </w:r>
      <w:r w:rsidR="0035018A">
        <w:t xml:space="preserve"> </w:t>
      </w:r>
      <w:r w:rsidR="00B10B72" w:rsidRPr="00B10B72">
        <w:t>ofrecido por la Comisión. Al respecto</w:t>
      </w:r>
      <w:r w:rsidR="00923BD4">
        <w:t>,</w:t>
      </w:r>
      <w:r w:rsidR="00B10B72" w:rsidRPr="00B10B72">
        <w:t xml:space="preserve"> señaló que el Estado ofreció el peritaje</w:t>
      </w:r>
      <w:r w:rsidR="0035018A">
        <w:t xml:space="preserve"> de la señora López Pérez</w:t>
      </w:r>
      <w:r w:rsidR="00B10B72" w:rsidRPr="00B10B72">
        <w:t xml:space="preserve"> para que declare “sobre la procedencia y trámite del recurso contencioso electoral, conforme a la legislación venezolana”, lo </w:t>
      </w:r>
      <w:proofErr w:type="gramStart"/>
      <w:r w:rsidR="00B10B72" w:rsidRPr="00B10B72">
        <w:t>cual  se</w:t>
      </w:r>
      <w:proofErr w:type="gramEnd"/>
      <w:r w:rsidR="00B10B72" w:rsidRPr="00B10B72">
        <w:t xml:space="preserve"> relaciona con el objeto del peritaje del señor Salazar Ugalde.</w:t>
      </w:r>
    </w:p>
    <w:p w14:paraId="50B25D1C" w14:textId="77777777" w:rsidR="00B10B72" w:rsidRPr="008E5B95" w:rsidRDefault="00B10B72" w:rsidP="00D669F0">
      <w:pPr>
        <w:pStyle w:val="Sinespaciado"/>
        <w:numPr>
          <w:ilvl w:val="0"/>
          <w:numId w:val="0"/>
        </w:numPr>
        <w:rPr>
          <w:rFonts w:cs="Verdana"/>
          <w:color w:val="000000"/>
        </w:rPr>
      </w:pPr>
    </w:p>
    <w:p w14:paraId="0ECD6C63" w14:textId="27F14441" w:rsidR="00D669F0" w:rsidRPr="00B10B72" w:rsidRDefault="00D669F0" w:rsidP="00B10B72">
      <w:pPr>
        <w:pStyle w:val="Sinespaciado"/>
        <w:numPr>
          <w:ilvl w:val="0"/>
          <w:numId w:val="1"/>
        </w:numPr>
        <w:ind w:left="0" w:firstLine="0"/>
        <w:rPr>
          <w:rFonts w:cs="Verdana"/>
          <w:color w:val="000000"/>
        </w:rPr>
      </w:pPr>
      <w:r>
        <w:rPr>
          <w:rFonts w:cs="Calibri"/>
        </w:rPr>
        <w:t xml:space="preserve">Al respecto, </w:t>
      </w:r>
      <w:r>
        <w:t xml:space="preserve">el </w:t>
      </w:r>
      <w:proofErr w:type="gramStart"/>
      <w:r w:rsidRPr="23C3A98D">
        <w:rPr>
          <w:b/>
          <w:i/>
        </w:rPr>
        <w:t>Presidente</w:t>
      </w:r>
      <w:proofErr w:type="gramEnd"/>
      <w:r w:rsidRPr="008E5B95">
        <w:t xml:space="preserve"> recuerda </w:t>
      </w:r>
      <w:r>
        <w:t xml:space="preserve">que </w:t>
      </w:r>
      <w:r w:rsidRPr="008E5B95">
        <w:t>la facultad</w:t>
      </w:r>
      <w:r>
        <w:t xml:space="preserve"> de la Comisión</w:t>
      </w:r>
      <w:r w:rsidRPr="008E5B95">
        <w:t xml:space="preserve"> para interrogar a los </w:t>
      </w:r>
      <w:r w:rsidRPr="00485BA7">
        <w:rPr>
          <w:rFonts w:cs="Verdana"/>
          <w:color w:val="000000"/>
        </w:rPr>
        <w:t>declarantes</w:t>
      </w:r>
      <w:r w:rsidRPr="008E5B95">
        <w:t xml:space="preserve"> ofrecidos por las partes</w:t>
      </w:r>
      <w:r>
        <w:rPr>
          <w:rStyle w:val="Refdenotaalpie"/>
        </w:rPr>
        <w:t xml:space="preserve"> </w:t>
      </w:r>
      <w:r>
        <w:rPr>
          <w:rFonts w:cs="Verdana"/>
          <w:color w:val="000000"/>
        </w:rPr>
        <w:t>se encuentra reconocida en</w:t>
      </w:r>
      <w:r w:rsidRPr="00485BA7">
        <w:rPr>
          <w:rFonts w:cs="Verdana"/>
          <w:color w:val="000000"/>
        </w:rPr>
        <w:t xml:space="preserve"> los artículos 50.5 y 52.3 del Reglamento</w:t>
      </w:r>
      <w:r>
        <w:rPr>
          <w:rStyle w:val="Refdenotaalpie"/>
          <w:rFonts w:cs="Verdana"/>
          <w:color w:val="000000"/>
        </w:rPr>
        <w:footnoteReference w:id="11"/>
      </w:r>
      <w:r>
        <w:rPr>
          <w:rFonts w:cs="Verdana"/>
          <w:color w:val="000000"/>
        </w:rPr>
        <w:t>. De estas normas se desprende</w:t>
      </w:r>
      <w:r w:rsidRPr="00485BA7">
        <w:rPr>
          <w:rFonts w:cs="Verdana"/>
          <w:color w:val="000000"/>
        </w:rPr>
        <w:t xml:space="preserve"> que corresponde a la Comisión fundamentar en cada caso cuál es el vínculo tanto con el orden público interamericano como con la materia sobre la que verse un peritaje, para que pueda evaluarse la solicitud oportunamente y, si corresponde, autorizar la posibilidad de que la Comisión haga su interrogatorio.</w:t>
      </w:r>
      <w:r>
        <w:rPr>
          <w:rFonts w:cs="Verdana"/>
          <w:color w:val="000000"/>
        </w:rPr>
        <w:t xml:space="preserve"> </w:t>
      </w:r>
      <w:r w:rsidRPr="00B10B72">
        <w:rPr>
          <w:rFonts w:cs="Verdana"/>
          <w:color w:val="000000" w:themeColor="text1"/>
        </w:rPr>
        <w:t xml:space="preserve">En el presente caso, </w:t>
      </w:r>
      <w:r>
        <w:t xml:space="preserve">el Presidente considera que, efectivamente, el dictamen pericial de </w:t>
      </w:r>
      <w:r w:rsidR="00B10B72" w:rsidRPr="00B10B72">
        <w:rPr>
          <w:rFonts w:cs="Verdana"/>
          <w:color w:val="000000" w:themeColor="text1"/>
        </w:rPr>
        <w:t>Intina Reina López Pérez</w:t>
      </w:r>
      <w:r>
        <w:t xml:space="preserve"> se encuentra relacionado con el objeto del peritaje de </w:t>
      </w:r>
      <w:r w:rsidR="00B10B72">
        <w:t>Pedro Salazar</w:t>
      </w:r>
      <w:r>
        <w:t xml:space="preserve">, propuesto por la </w:t>
      </w:r>
      <w:r>
        <w:lastRenderedPageBreak/>
        <w:t xml:space="preserve">Comisión, pues ambos se refieren </w:t>
      </w:r>
      <w:r w:rsidR="00B10B72">
        <w:t>al alcance de los recursos judiciales existentes para la garantía de los derechos políticos</w:t>
      </w:r>
      <w:r>
        <w:t>, motivo por el cual considera procedente, conforme a los artículos 50.5 y 52.3 del Reglamento, conceder oportunidad a la Comisión para formular preguntas a</w:t>
      </w:r>
      <w:r w:rsidR="00923BD4">
        <w:t xml:space="preserve"> </w:t>
      </w:r>
      <w:r>
        <w:t>l</w:t>
      </w:r>
      <w:r w:rsidR="00923BD4">
        <w:t>a</w:t>
      </w:r>
      <w:r>
        <w:t xml:space="preserve"> mencionad</w:t>
      </w:r>
      <w:r w:rsidR="00923BD4">
        <w:t>a perita</w:t>
      </w:r>
      <w:r>
        <w:t>.</w:t>
      </w:r>
    </w:p>
    <w:p w14:paraId="6697106D" w14:textId="77777777" w:rsidR="00D669F0" w:rsidRDefault="00D669F0" w:rsidP="00FC64A0">
      <w:pPr>
        <w:pStyle w:val="Prrafodelista"/>
        <w:spacing w:line="240" w:lineRule="auto"/>
        <w:ind w:left="0"/>
        <w:rPr>
          <w:rFonts w:cs="Arial"/>
        </w:rPr>
      </w:pPr>
    </w:p>
    <w:p w14:paraId="11ADFAB7" w14:textId="6D906A1D" w:rsidR="00FC64A0" w:rsidRDefault="00FC64A0" w:rsidP="00FC64A0">
      <w:pPr>
        <w:pStyle w:val="Estilo1"/>
        <w:numPr>
          <w:ilvl w:val="0"/>
          <w:numId w:val="30"/>
        </w:numPr>
        <w:spacing w:after="0"/>
        <w:rPr>
          <w:sz w:val="20"/>
          <w:szCs w:val="20"/>
          <w:lang w:val="es-419"/>
        </w:rPr>
      </w:pPr>
      <w:r>
        <w:rPr>
          <w:sz w:val="20"/>
          <w:szCs w:val="20"/>
          <w:lang w:val="es-419"/>
        </w:rPr>
        <w:t>Requerimiento de prueba de oficio</w:t>
      </w:r>
    </w:p>
    <w:p w14:paraId="5A780A75" w14:textId="77777777" w:rsidR="00FC64A0" w:rsidRPr="00895E40" w:rsidRDefault="00FC64A0" w:rsidP="00FC64A0">
      <w:pPr>
        <w:spacing w:line="240" w:lineRule="auto"/>
        <w:rPr>
          <w:rStyle w:val="markedcontent"/>
          <w:rFonts w:cs="Arial"/>
        </w:rPr>
      </w:pPr>
    </w:p>
    <w:p w14:paraId="583C5760" w14:textId="75789FE1" w:rsidR="00FC64A0" w:rsidRPr="00D530E3" w:rsidRDefault="00FC64A0" w:rsidP="00FC64A0">
      <w:pPr>
        <w:pStyle w:val="Sinespaciado"/>
        <w:widowControl/>
        <w:numPr>
          <w:ilvl w:val="0"/>
          <w:numId w:val="1"/>
        </w:numPr>
        <w:ind w:left="0" w:firstLine="0"/>
        <w:rPr>
          <w:rFonts w:cs="Verdana"/>
        </w:rPr>
      </w:pPr>
      <w:r>
        <w:t xml:space="preserve">El </w:t>
      </w:r>
      <w:r w:rsidRPr="00D530E3">
        <w:rPr>
          <w:rFonts w:cs="Verdana"/>
        </w:rPr>
        <w:t>artículo 58</w:t>
      </w:r>
      <w:r>
        <w:rPr>
          <w:rFonts w:cs="Verdana"/>
        </w:rPr>
        <w:t>.a</w:t>
      </w:r>
      <w:r w:rsidRPr="00D530E3">
        <w:rPr>
          <w:rFonts w:cs="Verdana"/>
        </w:rPr>
        <w:t xml:space="preserve"> del Reglamento</w:t>
      </w:r>
      <w:r>
        <w:rPr>
          <w:rFonts w:cs="Verdana"/>
        </w:rPr>
        <w:t xml:space="preserve"> establece que</w:t>
      </w:r>
      <w:r w:rsidR="001410C9">
        <w:rPr>
          <w:rFonts w:cs="Verdana"/>
        </w:rPr>
        <w:t>,</w:t>
      </w:r>
      <w:r w:rsidRPr="00D530E3">
        <w:rPr>
          <w:rFonts w:cs="Verdana"/>
        </w:rPr>
        <w:t xml:space="preserve"> en cualquier estado de la causa</w:t>
      </w:r>
      <w:r w:rsidR="001410C9">
        <w:rPr>
          <w:rFonts w:cs="Verdana"/>
        </w:rPr>
        <w:t>,</w:t>
      </w:r>
      <w:r w:rsidRPr="00D530E3">
        <w:rPr>
          <w:rFonts w:cs="Verdana"/>
        </w:rPr>
        <w:t xml:space="preserve"> la Corte podrá “procurar de oficio toda prueba que considere útil y necesaria. En particular, podrá oír en calidad de presunta víctima, testigo, perito o por otro título, a cualquier persona cuya declaración, testimonio, u opinión estime pertinente”. En el presente caso</w:t>
      </w:r>
      <w:r w:rsidR="00486164">
        <w:rPr>
          <w:rFonts w:cs="Verdana"/>
        </w:rPr>
        <w:t>,</w:t>
      </w:r>
      <w:r>
        <w:rPr>
          <w:rFonts w:cs="Verdana"/>
        </w:rPr>
        <w:t xml:space="preserve"> el </w:t>
      </w:r>
      <w:proofErr w:type="gramStart"/>
      <w:r w:rsidRPr="00FC64A0">
        <w:rPr>
          <w:rFonts w:cs="Verdana"/>
          <w:b/>
          <w:bCs w:val="0"/>
          <w:i/>
          <w:iCs w:val="0"/>
        </w:rPr>
        <w:t>Presidente</w:t>
      </w:r>
      <w:proofErr w:type="gramEnd"/>
      <w:r>
        <w:rPr>
          <w:rFonts w:cs="Verdana"/>
        </w:rPr>
        <w:t xml:space="preserve"> considera</w:t>
      </w:r>
      <w:r w:rsidRPr="00D530E3">
        <w:rPr>
          <w:rFonts w:cs="Verdana"/>
        </w:rPr>
        <w:t xml:space="preserve"> pertinente y necesario </w:t>
      </w:r>
      <w:r>
        <w:rPr>
          <w:rFonts w:cs="Verdana"/>
        </w:rPr>
        <w:t>recabar</w:t>
      </w:r>
      <w:r w:rsidRPr="00D530E3">
        <w:rPr>
          <w:rFonts w:cs="Verdana"/>
        </w:rPr>
        <w:t xml:space="preserve"> de oficio la declaraci</w:t>
      </w:r>
      <w:r>
        <w:rPr>
          <w:rFonts w:cs="Verdana"/>
        </w:rPr>
        <w:t>ón</w:t>
      </w:r>
      <w:r w:rsidRPr="00D530E3">
        <w:rPr>
          <w:rFonts w:cs="Verdana"/>
        </w:rPr>
        <w:t xml:space="preserve"> de la presunta víctima </w:t>
      </w:r>
      <w:r>
        <w:rPr>
          <w:rFonts w:cs="Verdana"/>
        </w:rPr>
        <w:t>del caso</w:t>
      </w:r>
      <w:r w:rsidRPr="00D530E3">
        <w:rPr>
          <w:rFonts w:cs="Verdana"/>
        </w:rPr>
        <w:t xml:space="preserve">. En efecto, esta Corte ha subrayado la utilidad de las declaraciones de las presuntas víctimas, en la medida en que pueden proporcionar </w:t>
      </w:r>
      <w:proofErr w:type="gramStart"/>
      <w:r w:rsidRPr="00D530E3">
        <w:rPr>
          <w:rFonts w:cs="Verdana"/>
        </w:rPr>
        <w:t>mayor información</w:t>
      </w:r>
      <w:proofErr w:type="gramEnd"/>
      <w:r w:rsidRPr="00D530E3">
        <w:rPr>
          <w:rFonts w:cs="Verdana"/>
        </w:rPr>
        <w:t xml:space="preserve"> sobre las alegadas violaciones y sus consecuencias</w:t>
      </w:r>
      <w:r>
        <w:rPr>
          <w:rStyle w:val="Refdenotaalpie"/>
          <w:rFonts w:cs="Verdana"/>
          <w:sz w:val="20"/>
          <w:szCs w:val="20"/>
        </w:rPr>
        <w:footnoteReference w:id="12"/>
      </w:r>
      <w:r w:rsidRPr="00D530E3">
        <w:rPr>
          <w:rFonts w:cs="Verdana"/>
        </w:rPr>
        <w:t>. Además, el Tribunal ha resaltado que las presuntas víctimas pueden ilustrar a la Corte respecto de las medidas de reparación que, eventualmente, podría adoptar</w:t>
      </w:r>
      <w:r>
        <w:rPr>
          <w:rStyle w:val="Refdenotaalpie"/>
          <w:rFonts w:cs="Verdana"/>
          <w:sz w:val="20"/>
          <w:szCs w:val="20"/>
        </w:rPr>
        <w:footnoteReference w:id="13"/>
      </w:r>
      <w:r w:rsidRPr="00D530E3">
        <w:rPr>
          <w:rFonts w:cs="Verdana"/>
        </w:rPr>
        <w:t>. De esta forma, se procederá a recabar la declaraci</w:t>
      </w:r>
      <w:r>
        <w:rPr>
          <w:rFonts w:cs="Verdana"/>
        </w:rPr>
        <w:t>ón</w:t>
      </w:r>
      <w:r w:rsidRPr="00D530E3">
        <w:rPr>
          <w:rFonts w:cs="Verdana"/>
        </w:rPr>
        <w:t xml:space="preserve"> de </w:t>
      </w:r>
      <w:r>
        <w:rPr>
          <w:rFonts w:cs="Verdana"/>
        </w:rPr>
        <w:t xml:space="preserve">Henrique Capriles </w:t>
      </w:r>
      <w:r w:rsidRPr="00D530E3">
        <w:rPr>
          <w:rFonts w:cs="Verdana"/>
        </w:rPr>
        <w:t>en audiencia pública, según el objeto delimitado en la parte resolutiva (</w:t>
      </w:r>
      <w:r w:rsidRPr="00D530E3">
        <w:rPr>
          <w:rFonts w:cs="Verdana"/>
          <w:i/>
        </w:rPr>
        <w:t>infra</w:t>
      </w:r>
      <w:r w:rsidRPr="00D530E3">
        <w:rPr>
          <w:rFonts w:cs="Verdana"/>
        </w:rPr>
        <w:t xml:space="preserve"> punto resolutivo </w:t>
      </w:r>
      <w:r w:rsidRPr="005E7C49">
        <w:rPr>
          <w:rFonts w:cs="Verdana"/>
        </w:rPr>
        <w:t>1</w:t>
      </w:r>
      <w:r w:rsidRPr="00D530E3">
        <w:rPr>
          <w:rFonts w:cs="Verdana"/>
        </w:rPr>
        <w:t>).</w:t>
      </w:r>
    </w:p>
    <w:p w14:paraId="36024F6E" w14:textId="24D3C548" w:rsidR="00FC64A0" w:rsidRDefault="001410C9" w:rsidP="007752BC">
      <w:pPr>
        <w:pStyle w:val="Prrafodelista"/>
        <w:ind w:left="0"/>
        <w:rPr>
          <w:rFonts w:cs="Arial"/>
        </w:rPr>
      </w:pPr>
      <w:r>
        <w:rPr>
          <w:rFonts w:cs="Arial"/>
        </w:rPr>
        <w:t xml:space="preserve"> </w:t>
      </w:r>
    </w:p>
    <w:p w14:paraId="07FAEB70" w14:textId="77777777" w:rsidR="00802BD5" w:rsidRPr="008E5B95" w:rsidRDefault="00802BD5" w:rsidP="005643E0">
      <w:pPr>
        <w:spacing w:line="240" w:lineRule="auto"/>
        <w:rPr>
          <w:b/>
        </w:rPr>
      </w:pPr>
      <w:r w:rsidRPr="008E5B95">
        <w:rPr>
          <w:b/>
        </w:rPr>
        <w:t>POR TANTO:</w:t>
      </w:r>
    </w:p>
    <w:p w14:paraId="254F06D7" w14:textId="77777777" w:rsidR="00721EA7" w:rsidRPr="008E5B95" w:rsidRDefault="00721EA7" w:rsidP="005643E0">
      <w:pPr>
        <w:spacing w:line="240" w:lineRule="auto"/>
        <w:rPr>
          <w:b/>
        </w:rPr>
      </w:pPr>
    </w:p>
    <w:p w14:paraId="308CCB15" w14:textId="4245F80E" w:rsidR="00802BD5" w:rsidRPr="008E5B95" w:rsidRDefault="00FF1357" w:rsidP="00CB3A5B">
      <w:pPr>
        <w:spacing w:line="240" w:lineRule="auto"/>
        <w:jc w:val="both"/>
        <w:rPr>
          <w:b/>
        </w:rPr>
      </w:pPr>
      <w:r>
        <w:rPr>
          <w:b/>
        </w:rPr>
        <w:t xml:space="preserve">EL PRESIDENTE </w:t>
      </w:r>
      <w:r w:rsidR="00802BD5" w:rsidRPr="008E5B95">
        <w:rPr>
          <w:b/>
        </w:rPr>
        <w:t xml:space="preserve">DE LA CORTE INTERAMERICANA DE DERECHOS HUMANOS, </w:t>
      </w:r>
    </w:p>
    <w:p w14:paraId="11A90F4C" w14:textId="77777777" w:rsidR="00ED2EB4" w:rsidRPr="008E5B95" w:rsidRDefault="00ED2EB4" w:rsidP="005643E0">
      <w:pPr>
        <w:spacing w:line="240" w:lineRule="auto"/>
      </w:pPr>
    </w:p>
    <w:p w14:paraId="537DE6EC" w14:textId="5DD1EAF4" w:rsidR="00802BD5" w:rsidRPr="008E5B95" w:rsidRDefault="00802BD5" w:rsidP="00B9306E">
      <w:pPr>
        <w:spacing w:line="240" w:lineRule="auto"/>
        <w:jc w:val="both"/>
      </w:pPr>
      <w:r w:rsidRPr="008E5B95">
        <w:t xml:space="preserve">de conformidad con los artículos </w:t>
      </w:r>
      <w:r w:rsidR="00E949E1" w:rsidRPr="008E5B95">
        <w:t xml:space="preserve">24.1 </w:t>
      </w:r>
      <w:r w:rsidR="009430D0" w:rsidRPr="008E5B95">
        <w:t xml:space="preserve">y 25.2 </w:t>
      </w:r>
      <w:r w:rsidRPr="008E5B95">
        <w:t xml:space="preserve">del Estatuto de la Corte y con los artículos </w:t>
      </w:r>
      <w:r w:rsidR="009430D0" w:rsidRPr="008E5B95">
        <w:t xml:space="preserve">4, 15, 26.1, 31.2, 35.1, 40.2, 41.1, </w:t>
      </w:r>
      <w:r w:rsidR="00E949E1" w:rsidRPr="008E5B95">
        <w:t>45, 46, 50</w:t>
      </w:r>
      <w:r w:rsidR="00AF1B9E" w:rsidRPr="008E5B95">
        <w:t xml:space="preserve"> a 56 y 60</w:t>
      </w:r>
      <w:r w:rsidR="00E949E1" w:rsidRPr="008E5B95">
        <w:t xml:space="preserve"> </w:t>
      </w:r>
      <w:r w:rsidRPr="008E5B95">
        <w:t>del Reglamento</w:t>
      </w:r>
      <w:r w:rsidR="009430D0" w:rsidRPr="008E5B95">
        <w:t xml:space="preserve"> de la Corte</w:t>
      </w:r>
      <w:r w:rsidRPr="008E5B95">
        <w:t xml:space="preserve">, </w:t>
      </w:r>
    </w:p>
    <w:p w14:paraId="63C63FA5" w14:textId="6BE3C0DF" w:rsidR="00721EA7" w:rsidRPr="008E5B95" w:rsidRDefault="00721EA7" w:rsidP="005643E0">
      <w:pPr>
        <w:spacing w:line="240" w:lineRule="auto"/>
      </w:pPr>
    </w:p>
    <w:p w14:paraId="75193694" w14:textId="1A834DCE" w:rsidR="00802BD5" w:rsidRPr="008E5B95" w:rsidRDefault="00802BD5" w:rsidP="005643E0">
      <w:pPr>
        <w:spacing w:line="240" w:lineRule="auto"/>
        <w:rPr>
          <w:b/>
        </w:rPr>
      </w:pPr>
      <w:r w:rsidRPr="008E5B95">
        <w:rPr>
          <w:b/>
        </w:rPr>
        <w:t>RESUELVE:</w:t>
      </w:r>
    </w:p>
    <w:p w14:paraId="3A4C931B" w14:textId="77777777" w:rsidR="00CF1C87" w:rsidRPr="008E5B95" w:rsidRDefault="00CF1C87" w:rsidP="005643E0">
      <w:pPr>
        <w:spacing w:line="240" w:lineRule="auto"/>
      </w:pPr>
    </w:p>
    <w:p w14:paraId="3EC4065F" w14:textId="08ACF5A6" w:rsidR="00E471D0" w:rsidRPr="00386050" w:rsidRDefault="00E471D0" w:rsidP="00E471D0">
      <w:pPr>
        <w:pStyle w:val="Prrafodelista"/>
        <w:numPr>
          <w:ilvl w:val="0"/>
          <w:numId w:val="4"/>
        </w:numPr>
        <w:tabs>
          <w:tab w:val="left" w:pos="567"/>
        </w:tabs>
        <w:spacing w:line="240" w:lineRule="auto"/>
        <w:ind w:left="0" w:firstLine="0"/>
        <w:jc w:val="both"/>
      </w:pPr>
      <w:bookmarkStart w:id="3" w:name="_Ref445286350"/>
      <w:r w:rsidRPr="00386050">
        <w:t xml:space="preserve">Convocar al Estado de </w:t>
      </w:r>
      <w:r w:rsidR="002328E5">
        <w:t>Venezuela</w:t>
      </w:r>
      <w:r w:rsidRPr="00386050">
        <w:t xml:space="preserve">, </w:t>
      </w:r>
      <w:r w:rsidR="00623B55" w:rsidRPr="00386050">
        <w:t>al representante</w:t>
      </w:r>
      <w:r w:rsidRPr="00386050">
        <w:t xml:space="preserve"> y a la Comisión Interamericana de Derechos Humanos a una audiencia pública </w:t>
      </w:r>
      <w:r w:rsidR="00AA3242">
        <w:t xml:space="preserve">de forma presencial </w:t>
      </w:r>
      <w:r w:rsidRPr="00386050">
        <w:t>que se celebrará</w:t>
      </w:r>
      <w:r w:rsidR="007259EB" w:rsidRPr="00386050">
        <w:t xml:space="preserve"> </w:t>
      </w:r>
      <w:r w:rsidR="0023730C" w:rsidRPr="00386050">
        <w:t>el día</w:t>
      </w:r>
      <w:r w:rsidRPr="00386050">
        <w:t xml:space="preserve"> </w:t>
      </w:r>
      <w:r w:rsidR="00486164">
        <w:t>6</w:t>
      </w:r>
      <w:r w:rsidRPr="00386050">
        <w:t xml:space="preserve"> de </w:t>
      </w:r>
      <w:r w:rsidR="002328E5">
        <w:t>febrero</w:t>
      </w:r>
      <w:r w:rsidRPr="00386050">
        <w:t xml:space="preserve"> </w:t>
      </w:r>
      <w:r w:rsidR="00CB3A5B" w:rsidRPr="00386050">
        <w:t xml:space="preserve">de </w:t>
      </w:r>
      <w:r w:rsidRPr="00386050">
        <w:t>202</w:t>
      </w:r>
      <w:r w:rsidR="00E124F5">
        <w:t>4</w:t>
      </w:r>
      <w:r w:rsidR="00185498" w:rsidRPr="00386050">
        <w:t>,</w:t>
      </w:r>
      <w:r w:rsidRPr="00386050">
        <w:t xml:space="preserve"> a partir de las </w:t>
      </w:r>
      <w:r w:rsidR="00486164">
        <w:t>14</w:t>
      </w:r>
      <w:r w:rsidR="0023730C" w:rsidRPr="00386050">
        <w:t>:</w:t>
      </w:r>
      <w:r w:rsidR="00486164">
        <w:t>30</w:t>
      </w:r>
      <w:r w:rsidRPr="00386050">
        <w:t xml:space="preserve"> horas, durante el </w:t>
      </w:r>
      <w:r w:rsidR="00AA3242">
        <w:t>164</w:t>
      </w:r>
      <w:r w:rsidRPr="00386050">
        <w:t xml:space="preserve">° Período Ordinario de Sesiones que se llevará a cabo en </w:t>
      </w:r>
      <w:r w:rsidR="0023730C" w:rsidRPr="00386050">
        <w:t>San José, Costa Rica</w:t>
      </w:r>
      <w:r w:rsidRPr="00386050">
        <w:t>, para recibir sus alegatos y observaciones finales orales, respectivamente, sobre</w:t>
      </w:r>
      <w:r w:rsidR="0021414A" w:rsidRPr="00386050">
        <w:t xml:space="preserve"> </w:t>
      </w:r>
      <w:r w:rsidR="00BC424C">
        <w:t>la excepción preliminar, y eventuales</w:t>
      </w:r>
      <w:r w:rsidR="00BC424C" w:rsidRPr="00386050">
        <w:t xml:space="preserve"> </w:t>
      </w:r>
      <w:r w:rsidRPr="00386050">
        <w:t>fondo</w:t>
      </w:r>
      <w:r w:rsidR="00BC424C">
        <w:t xml:space="preserve">, </w:t>
      </w:r>
      <w:r w:rsidRPr="00386050">
        <w:t>reparaciones y costas, así como la</w:t>
      </w:r>
      <w:r w:rsidR="000F369B" w:rsidRPr="00386050">
        <w:t xml:space="preserve"> declaraci</w:t>
      </w:r>
      <w:r w:rsidR="00F95460" w:rsidRPr="00386050">
        <w:t>ón</w:t>
      </w:r>
      <w:r w:rsidR="000F369B" w:rsidRPr="00386050">
        <w:t xml:space="preserve"> de la</w:t>
      </w:r>
      <w:r w:rsidR="00AA3242">
        <w:t xml:space="preserve">s </w:t>
      </w:r>
      <w:r w:rsidR="000F369B" w:rsidRPr="00386050">
        <w:t>siguiente</w:t>
      </w:r>
      <w:r w:rsidR="00AA3242">
        <w:t>s</w:t>
      </w:r>
      <w:r w:rsidR="000F369B" w:rsidRPr="00386050">
        <w:t xml:space="preserve"> </w:t>
      </w:r>
      <w:r w:rsidRPr="00386050">
        <w:t>persona</w:t>
      </w:r>
      <w:r w:rsidR="00AA3242">
        <w:t>s</w:t>
      </w:r>
      <w:r w:rsidRPr="00386050">
        <w:t>:</w:t>
      </w:r>
    </w:p>
    <w:p w14:paraId="6E7F62E0" w14:textId="440A1A45" w:rsidR="0053557B" w:rsidRDefault="0053557B" w:rsidP="00A74249">
      <w:pPr>
        <w:pStyle w:val="Prrafodelista"/>
        <w:tabs>
          <w:tab w:val="left" w:pos="567"/>
        </w:tabs>
        <w:spacing w:line="240" w:lineRule="auto"/>
        <w:ind w:left="0"/>
        <w:jc w:val="both"/>
      </w:pPr>
    </w:p>
    <w:p w14:paraId="7FE7FF6D" w14:textId="686971D5" w:rsidR="008A14DD" w:rsidRPr="002D0FC6" w:rsidRDefault="00AA3242" w:rsidP="00194D24">
      <w:pPr>
        <w:pStyle w:val="Prrafodelista"/>
        <w:numPr>
          <w:ilvl w:val="0"/>
          <w:numId w:val="5"/>
        </w:numPr>
        <w:spacing w:line="240" w:lineRule="auto"/>
        <w:jc w:val="both"/>
        <w:rPr>
          <w:b/>
        </w:rPr>
      </w:pPr>
      <w:bookmarkStart w:id="4" w:name="_Ref477386390"/>
      <w:r>
        <w:rPr>
          <w:b/>
        </w:rPr>
        <w:t>Presunta víctima</w:t>
      </w:r>
    </w:p>
    <w:p w14:paraId="0799DA58" w14:textId="313F05C2" w:rsidR="000F369B" w:rsidRPr="006C278A" w:rsidRDefault="000F369B" w:rsidP="00FB3D29">
      <w:pPr>
        <w:spacing w:line="240" w:lineRule="auto"/>
        <w:jc w:val="both"/>
        <w:rPr>
          <w:bCs/>
          <w:highlight w:val="yellow"/>
        </w:rPr>
      </w:pPr>
    </w:p>
    <w:p w14:paraId="15194D4B" w14:textId="11CB387C" w:rsidR="00506B1B" w:rsidRPr="00FC64A0" w:rsidRDefault="00FC64A0" w:rsidP="0023730C">
      <w:pPr>
        <w:pStyle w:val="Prrafodelista"/>
        <w:numPr>
          <w:ilvl w:val="0"/>
          <w:numId w:val="6"/>
        </w:numPr>
        <w:tabs>
          <w:tab w:val="left" w:pos="900"/>
        </w:tabs>
        <w:spacing w:line="240" w:lineRule="auto"/>
        <w:jc w:val="both"/>
        <w:rPr>
          <w:rFonts w:cs="Times New Roman"/>
          <w:lang w:val="es-ES_tradnl"/>
        </w:rPr>
      </w:pPr>
      <w:r>
        <w:rPr>
          <w:i/>
          <w:iCs/>
        </w:rPr>
        <w:t>Henrique Capriles</w:t>
      </w:r>
      <w:r w:rsidR="00506B1B" w:rsidRPr="00FC64A0">
        <w:t xml:space="preserve">, quien declarará </w:t>
      </w:r>
      <w:r w:rsidR="00691FD1" w:rsidRPr="00FC64A0">
        <w:t xml:space="preserve">sobre: (i) </w:t>
      </w:r>
      <w:r w:rsidR="0023730C" w:rsidRPr="00FC64A0">
        <w:rPr>
          <w:rFonts w:cs="Garamond"/>
          <w:lang w:val="es-ES"/>
        </w:rPr>
        <w:t>el desarrollo de la campaña electoral de 201</w:t>
      </w:r>
      <w:r w:rsidR="005E7C49">
        <w:rPr>
          <w:rFonts w:cs="Garamond"/>
          <w:lang w:val="es-ES"/>
        </w:rPr>
        <w:t>3</w:t>
      </w:r>
      <w:r w:rsidR="00E66DF5" w:rsidRPr="00FC64A0">
        <w:rPr>
          <w:rFonts w:cs="Garamond"/>
          <w:lang w:val="es-ES"/>
        </w:rPr>
        <w:t xml:space="preserve"> en la que participó como candidato presidencial</w:t>
      </w:r>
      <w:r w:rsidR="00691FD1" w:rsidRPr="00FC64A0">
        <w:rPr>
          <w:rFonts w:cs="Garamond"/>
          <w:lang w:val="es-ES"/>
        </w:rPr>
        <w:t>; (</w:t>
      </w:r>
      <w:proofErr w:type="spellStart"/>
      <w:r w:rsidR="00691FD1" w:rsidRPr="00FC64A0">
        <w:rPr>
          <w:rFonts w:cs="Garamond"/>
          <w:lang w:val="es-ES"/>
        </w:rPr>
        <w:t>ii</w:t>
      </w:r>
      <w:proofErr w:type="spellEnd"/>
      <w:r w:rsidR="00691FD1" w:rsidRPr="00FC64A0">
        <w:rPr>
          <w:rFonts w:cs="Garamond"/>
          <w:lang w:val="es-ES"/>
        </w:rPr>
        <w:t>)</w:t>
      </w:r>
      <w:r w:rsidR="0023730C" w:rsidRPr="00FC64A0">
        <w:rPr>
          <w:rFonts w:cs="Garamond"/>
          <w:lang w:val="es-ES"/>
        </w:rPr>
        <w:t xml:space="preserve"> </w:t>
      </w:r>
      <w:r w:rsidR="00572980" w:rsidRPr="00FC64A0">
        <w:rPr>
          <w:rFonts w:cs="Garamond"/>
          <w:lang w:val="es-ES"/>
        </w:rPr>
        <w:t xml:space="preserve">los efectos que </w:t>
      </w:r>
      <w:r w:rsidR="005E7C49">
        <w:rPr>
          <w:rFonts w:cs="Garamond"/>
          <w:lang w:val="es-ES"/>
        </w:rPr>
        <w:t>el sistema regulatorio y la actuación del órgano electoral</w:t>
      </w:r>
      <w:r w:rsidR="00F11E45">
        <w:rPr>
          <w:rFonts w:cs="Garamond"/>
          <w:lang w:val="es-ES"/>
        </w:rPr>
        <w:t xml:space="preserve"> tuvieron en el ejercicio de sus derechos políticos</w:t>
      </w:r>
      <w:r w:rsidR="005E7C49">
        <w:rPr>
          <w:rFonts w:cs="Garamond"/>
          <w:lang w:val="es-ES"/>
        </w:rPr>
        <w:t xml:space="preserve"> durante</w:t>
      </w:r>
      <w:r w:rsidR="001B5CE0" w:rsidRPr="00FC64A0">
        <w:rPr>
          <w:rFonts w:cs="Garamond"/>
          <w:lang w:val="es-ES"/>
        </w:rPr>
        <w:t xml:space="preserve"> el</w:t>
      </w:r>
      <w:r w:rsidR="0023730C" w:rsidRPr="00FC64A0">
        <w:rPr>
          <w:rFonts w:cs="Garamond"/>
          <w:lang w:val="es-ES"/>
        </w:rPr>
        <w:t xml:space="preserve"> proceso electoral</w:t>
      </w:r>
      <w:r w:rsidR="00691FD1" w:rsidRPr="00FC64A0">
        <w:rPr>
          <w:rFonts w:cs="Garamond"/>
          <w:lang w:val="es-ES"/>
        </w:rPr>
        <w:t>; (iii)</w:t>
      </w:r>
      <w:r w:rsidR="00572980" w:rsidRPr="00FC64A0">
        <w:rPr>
          <w:rFonts w:cs="Garamond"/>
          <w:lang w:val="es-ES"/>
        </w:rPr>
        <w:t xml:space="preserve"> </w:t>
      </w:r>
      <w:r w:rsidR="0023730C" w:rsidRPr="00FC64A0">
        <w:rPr>
          <w:rFonts w:cs="Garamond"/>
          <w:lang w:val="es-ES"/>
        </w:rPr>
        <w:t xml:space="preserve">la </w:t>
      </w:r>
      <w:r w:rsidR="00F11E45">
        <w:rPr>
          <w:rFonts w:cs="Garamond"/>
          <w:lang w:val="es-ES"/>
        </w:rPr>
        <w:t>respuesta del Consejo Nacional Electoral y el Tribunal Supremo</w:t>
      </w:r>
      <w:r w:rsidR="00572980" w:rsidRPr="00FC64A0">
        <w:rPr>
          <w:rFonts w:cs="Garamond"/>
          <w:lang w:val="es-ES"/>
        </w:rPr>
        <w:t xml:space="preserve"> </w:t>
      </w:r>
      <w:r w:rsidR="00F11E45">
        <w:rPr>
          <w:rFonts w:cs="Garamond"/>
          <w:lang w:val="es-ES"/>
        </w:rPr>
        <w:t xml:space="preserve">de Justicia ante los recursos presentados, </w:t>
      </w:r>
      <w:r w:rsidR="0023730C" w:rsidRPr="00FC64A0">
        <w:rPr>
          <w:rFonts w:cs="Garamond"/>
          <w:lang w:val="es-ES"/>
        </w:rPr>
        <w:t xml:space="preserve">y </w:t>
      </w:r>
      <w:r w:rsidR="00F11E45">
        <w:rPr>
          <w:rFonts w:cs="Garamond"/>
          <w:lang w:val="es-ES"/>
        </w:rPr>
        <w:t>las consecuencias de estas en el ejercicio de sus derechos políticos y acceso a la justicia</w:t>
      </w:r>
      <w:r w:rsidR="00691FD1" w:rsidRPr="00FC64A0">
        <w:rPr>
          <w:rFonts w:cs="Garamond"/>
          <w:lang w:val="es-ES"/>
        </w:rPr>
        <w:t>, y (</w:t>
      </w:r>
      <w:proofErr w:type="spellStart"/>
      <w:r w:rsidR="00691FD1" w:rsidRPr="00FC64A0">
        <w:rPr>
          <w:rFonts w:cs="Garamond"/>
          <w:lang w:val="es-ES"/>
        </w:rPr>
        <w:t>iv</w:t>
      </w:r>
      <w:proofErr w:type="spellEnd"/>
      <w:r w:rsidR="00691FD1" w:rsidRPr="00FC64A0">
        <w:rPr>
          <w:rFonts w:cs="Garamond"/>
          <w:lang w:val="es-ES"/>
        </w:rPr>
        <w:t>)</w:t>
      </w:r>
      <w:r w:rsidR="0023730C" w:rsidRPr="00FC64A0">
        <w:rPr>
          <w:rFonts w:cs="Garamond"/>
          <w:lang w:val="es-ES"/>
        </w:rPr>
        <w:t xml:space="preserve"> los</w:t>
      </w:r>
      <w:r w:rsidR="00F11E45">
        <w:rPr>
          <w:rFonts w:cs="Garamond"/>
          <w:lang w:val="es-ES"/>
        </w:rPr>
        <w:t xml:space="preserve"> posibles</w:t>
      </w:r>
      <w:r w:rsidR="0023730C" w:rsidRPr="00FC64A0">
        <w:rPr>
          <w:rFonts w:cs="Garamond"/>
          <w:lang w:val="es-ES"/>
        </w:rPr>
        <w:t xml:space="preserve"> daños que le </w:t>
      </w:r>
      <w:r w:rsidR="00572980" w:rsidRPr="00FC64A0">
        <w:rPr>
          <w:rFonts w:cs="Garamond"/>
          <w:lang w:val="es-ES"/>
        </w:rPr>
        <w:t>fueron</w:t>
      </w:r>
      <w:r w:rsidR="0023730C" w:rsidRPr="00FC64A0">
        <w:rPr>
          <w:rFonts w:cs="Garamond"/>
          <w:lang w:val="es-ES"/>
        </w:rPr>
        <w:t xml:space="preserve"> causado</w:t>
      </w:r>
      <w:r w:rsidR="00572980" w:rsidRPr="00FC64A0">
        <w:rPr>
          <w:rFonts w:cs="Garamond"/>
          <w:lang w:val="es-ES"/>
        </w:rPr>
        <w:t>s</w:t>
      </w:r>
      <w:r w:rsidR="00486164">
        <w:rPr>
          <w:rFonts w:cs="Garamond"/>
          <w:lang w:val="es-ES"/>
        </w:rPr>
        <w:t xml:space="preserve"> a su vida personal y profesional</w:t>
      </w:r>
      <w:r w:rsidR="0023730C" w:rsidRPr="00FC64A0">
        <w:rPr>
          <w:rFonts w:cs="Garamond"/>
          <w:lang w:val="es-ES"/>
        </w:rPr>
        <w:t>.</w:t>
      </w:r>
      <w:r w:rsidR="00506B1B" w:rsidRPr="00FC64A0">
        <w:t xml:space="preserve"> </w:t>
      </w:r>
    </w:p>
    <w:p w14:paraId="04F56850" w14:textId="77777777" w:rsidR="00AA3242" w:rsidRDefault="00AA3242" w:rsidP="00AA3242">
      <w:pPr>
        <w:pStyle w:val="Prrafodelista"/>
        <w:tabs>
          <w:tab w:val="left" w:pos="567"/>
        </w:tabs>
        <w:spacing w:line="240" w:lineRule="auto"/>
        <w:ind w:left="0"/>
        <w:jc w:val="both"/>
      </w:pPr>
    </w:p>
    <w:p w14:paraId="55AF679A" w14:textId="7E64E379" w:rsidR="00AA3242" w:rsidRPr="002D0FC6" w:rsidRDefault="00AA3242" w:rsidP="00AA3242">
      <w:pPr>
        <w:pStyle w:val="Prrafodelista"/>
        <w:numPr>
          <w:ilvl w:val="0"/>
          <w:numId w:val="5"/>
        </w:numPr>
        <w:spacing w:line="240" w:lineRule="auto"/>
        <w:jc w:val="both"/>
        <w:rPr>
          <w:b/>
        </w:rPr>
      </w:pPr>
      <w:r>
        <w:rPr>
          <w:b/>
        </w:rPr>
        <w:t>Perito</w:t>
      </w:r>
    </w:p>
    <w:p w14:paraId="45267508" w14:textId="77777777" w:rsidR="00AA3242" w:rsidRPr="006C278A" w:rsidRDefault="00AA3242" w:rsidP="00AA3242">
      <w:pPr>
        <w:spacing w:line="240" w:lineRule="auto"/>
        <w:jc w:val="both"/>
        <w:rPr>
          <w:bCs/>
          <w:highlight w:val="yellow"/>
        </w:rPr>
      </w:pPr>
    </w:p>
    <w:p w14:paraId="6F6497EF" w14:textId="349F46AC" w:rsidR="00AA3242" w:rsidRPr="00AA3242" w:rsidRDefault="00AA3242" w:rsidP="00AA3242">
      <w:pPr>
        <w:pStyle w:val="Prrafodelista"/>
        <w:spacing w:line="240" w:lineRule="auto"/>
        <w:jc w:val="both"/>
        <w:rPr>
          <w:i/>
        </w:rPr>
      </w:pPr>
      <w:r w:rsidRPr="00AA3242">
        <w:rPr>
          <w:i/>
        </w:rPr>
        <w:t>(</w:t>
      </w:r>
      <w:r>
        <w:rPr>
          <w:i/>
        </w:rPr>
        <w:t>Propuesto por la Comisión</w:t>
      </w:r>
      <w:r w:rsidRPr="00AA3242">
        <w:rPr>
          <w:i/>
        </w:rPr>
        <w:t xml:space="preserve">) </w:t>
      </w:r>
    </w:p>
    <w:p w14:paraId="01259879" w14:textId="77777777" w:rsidR="00AA3242" w:rsidRPr="00AA3242" w:rsidRDefault="00AA3242" w:rsidP="00AA3242">
      <w:pPr>
        <w:spacing w:line="240" w:lineRule="auto"/>
        <w:jc w:val="both"/>
        <w:rPr>
          <w:bCs/>
        </w:rPr>
      </w:pPr>
    </w:p>
    <w:p w14:paraId="1A571C1F" w14:textId="296C7066" w:rsidR="00AA3242" w:rsidRPr="00AA3242" w:rsidRDefault="00AA3242" w:rsidP="00AA3242">
      <w:pPr>
        <w:pStyle w:val="Prrafodelista"/>
        <w:numPr>
          <w:ilvl w:val="0"/>
          <w:numId w:val="6"/>
        </w:numPr>
        <w:tabs>
          <w:tab w:val="left" w:pos="900"/>
        </w:tabs>
        <w:spacing w:line="240" w:lineRule="auto"/>
        <w:jc w:val="both"/>
        <w:rPr>
          <w:rFonts w:cs="Times New Roman"/>
          <w:lang w:val="es-ES_tradnl"/>
        </w:rPr>
      </w:pPr>
      <w:r w:rsidRPr="00AA3242">
        <w:rPr>
          <w:i/>
          <w:iCs/>
        </w:rPr>
        <w:t>Pedro Salazar Ugarte</w:t>
      </w:r>
      <w:r w:rsidRPr="00AA3242">
        <w:t xml:space="preserve">, </w:t>
      </w:r>
      <w:r w:rsidR="00EC76E7">
        <w:t>abogado</w:t>
      </w:r>
      <w:r w:rsidR="00E124F5" w:rsidRPr="00EC76E7">
        <w:t xml:space="preserve">, </w:t>
      </w:r>
      <w:r w:rsidRPr="00EC76E7">
        <w:t>q</w:t>
      </w:r>
      <w:r w:rsidRPr="00AA3242">
        <w:t xml:space="preserve">uien declarará sobre: las obligaciones internacionales de los Estados en materia de derechos políticos. En particular, respecto a los estándares aplicables en el marco de contiendas electorales para garantizar el acceso, en condiciones de igualdad, a las funciones públicas en el contexto de procesos electorales y el pluralismo en el ejercicio de los derechos políticos. Asimismo, el perito se referirá a los recursos que deben brindar los Estados frente a violaciones a los derechos políticos, particularmente respecto de garantizar de manera efectiva la imparcialidad de las autoridades que participan del control electoral de las elecciones. El perito podrá referirse a otros sistemas internacionales de protección de derechos humanos y al derecho comparado. Para ejemplificar el desarrollo de su peritaje, el perito podrá referirse a los hechos del caso. </w:t>
      </w:r>
    </w:p>
    <w:p w14:paraId="68B47E5E" w14:textId="77777777" w:rsidR="00AA3242" w:rsidRDefault="00AA3242" w:rsidP="00BB589F">
      <w:pPr>
        <w:tabs>
          <w:tab w:val="left" w:pos="900"/>
        </w:tabs>
        <w:spacing w:line="240" w:lineRule="auto"/>
        <w:jc w:val="both"/>
        <w:rPr>
          <w:lang w:val="es-ES_tradnl"/>
        </w:rPr>
      </w:pPr>
    </w:p>
    <w:p w14:paraId="67A364F4" w14:textId="5F6A7065" w:rsidR="00D00A82" w:rsidRPr="00D00A82" w:rsidRDefault="00D00A82" w:rsidP="00D00A82">
      <w:pPr>
        <w:pStyle w:val="Prrafodelista"/>
        <w:numPr>
          <w:ilvl w:val="0"/>
          <w:numId w:val="4"/>
        </w:numPr>
        <w:tabs>
          <w:tab w:val="left" w:pos="900"/>
        </w:tabs>
        <w:spacing w:line="240" w:lineRule="auto"/>
        <w:ind w:left="0" w:firstLine="0"/>
        <w:jc w:val="both"/>
        <w:rPr>
          <w:lang w:val="es-ES_tradnl"/>
        </w:rPr>
      </w:pPr>
      <w:r>
        <w:t>Requerir a la persona convocada para rendir declaración pericial durante la audiencia pública que aporte una versión escrita de su respectivo peritaje a más tardar el 29 de enero de 2024.</w:t>
      </w:r>
    </w:p>
    <w:p w14:paraId="6570435B" w14:textId="77777777" w:rsidR="00D00A82" w:rsidRPr="00BB589F" w:rsidRDefault="00D00A82" w:rsidP="00BB589F">
      <w:pPr>
        <w:tabs>
          <w:tab w:val="left" w:pos="900"/>
        </w:tabs>
        <w:spacing w:line="240" w:lineRule="auto"/>
        <w:jc w:val="both"/>
        <w:rPr>
          <w:lang w:val="es-ES_tradnl"/>
        </w:rPr>
      </w:pPr>
    </w:p>
    <w:p w14:paraId="4647F924" w14:textId="2FE82A55" w:rsidR="00CF2AEE" w:rsidRPr="00770230" w:rsidRDefault="0053557B" w:rsidP="001977CD">
      <w:pPr>
        <w:pStyle w:val="Prrafodelista"/>
        <w:numPr>
          <w:ilvl w:val="0"/>
          <w:numId w:val="4"/>
        </w:numPr>
        <w:tabs>
          <w:tab w:val="left" w:pos="567"/>
        </w:tabs>
        <w:spacing w:line="240" w:lineRule="auto"/>
        <w:ind w:left="0" w:firstLine="0"/>
        <w:jc w:val="both"/>
      </w:pPr>
      <w:bookmarkStart w:id="5" w:name="_Ref532315339"/>
      <w:r w:rsidRPr="00770230">
        <w:t>Requerir, de conformidad con el principio de economía procesal y de la facultad que le otorga el artículo 50.1 del Reglamento de la Corte, que la</w:t>
      </w:r>
      <w:r w:rsidR="00770230">
        <w:t>s</w:t>
      </w:r>
      <w:r w:rsidRPr="00770230">
        <w:t xml:space="preserve"> siguiente</w:t>
      </w:r>
      <w:r w:rsidR="00770230">
        <w:t>s</w:t>
      </w:r>
      <w:r w:rsidRPr="00770230">
        <w:t xml:space="preserve"> persona</w:t>
      </w:r>
      <w:r w:rsidR="00770230">
        <w:t>s</w:t>
      </w:r>
      <w:r w:rsidRPr="00770230">
        <w:t xml:space="preserve"> preste</w:t>
      </w:r>
      <w:r w:rsidR="00770230">
        <w:t>n</w:t>
      </w:r>
      <w:r w:rsidRPr="00770230">
        <w:t xml:space="preserve"> su declaración ante fedatario público:</w:t>
      </w:r>
      <w:bookmarkEnd w:id="3"/>
      <w:bookmarkEnd w:id="4"/>
      <w:bookmarkEnd w:id="5"/>
    </w:p>
    <w:p w14:paraId="0A959714" w14:textId="0CC563C8" w:rsidR="0083088A" w:rsidRPr="00962BB9" w:rsidRDefault="0083088A" w:rsidP="000F3445">
      <w:pPr>
        <w:tabs>
          <w:tab w:val="left" w:pos="900"/>
        </w:tabs>
        <w:spacing w:line="240" w:lineRule="auto"/>
        <w:jc w:val="both"/>
        <w:rPr>
          <w:highlight w:val="yellow"/>
        </w:rPr>
      </w:pPr>
    </w:p>
    <w:p w14:paraId="4C7924E9" w14:textId="4AC6A7F9" w:rsidR="00E66DF5" w:rsidRPr="006C7614" w:rsidRDefault="00E66DF5" w:rsidP="00E66DF5">
      <w:pPr>
        <w:pStyle w:val="Prrafodelista"/>
        <w:numPr>
          <w:ilvl w:val="0"/>
          <w:numId w:val="31"/>
        </w:numPr>
        <w:spacing w:line="240" w:lineRule="auto"/>
        <w:jc w:val="both"/>
        <w:rPr>
          <w:b/>
        </w:rPr>
      </w:pPr>
      <w:r>
        <w:rPr>
          <w:b/>
        </w:rPr>
        <w:t>Testigo</w:t>
      </w:r>
      <w:r w:rsidR="00AA3242">
        <w:rPr>
          <w:b/>
        </w:rPr>
        <w:t>s</w:t>
      </w:r>
    </w:p>
    <w:p w14:paraId="5E89DEC7" w14:textId="77777777" w:rsidR="00E66DF5" w:rsidRPr="006C278A" w:rsidRDefault="00E66DF5" w:rsidP="00E66DF5">
      <w:pPr>
        <w:spacing w:line="240" w:lineRule="auto"/>
        <w:ind w:left="360"/>
        <w:jc w:val="both"/>
        <w:rPr>
          <w:bCs/>
          <w:highlight w:val="yellow"/>
        </w:rPr>
      </w:pPr>
    </w:p>
    <w:p w14:paraId="6A3453DA" w14:textId="44CA4D05" w:rsidR="00E66DF5" w:rsidRPr="00506B1B" w:rsidRDefault="00E66DF5" w:rsidP="00E66DF5">
      <w:pPr>
        <w:pStyle w:val="Prrafodelista"/>
        <w:spacing w:line="240" w:lineRule="auto"/>
        <w:jc w:val="both"/>
        <w:rPr>
          <w:i/>
        </w:rPr>
      </w:pPr>
      <w:r w:rsidRPr="00506B1B">
        <w:rPr>
          <w:i/>
        </w:rPr>
        <w:t>(</w:t>
      </w:r>
      <w:r>
        <w:rPr>
          <w:i/>
        </w:rPr>
        <w:t>Propuesto</w:t>
      </w:r>
      <w:r w:rsidR="00AA3242">
        <w:rPr>
          <w:i/>
        </w:rPr>
        <w:t>s</w:t>
      </w:r>
      <w:r>
        <w:rPr>
          <w:i/>
        </w:rPr>
        <w:t xml:space="preserve"> por el </w:t>
      </w:r>
      <w:r w:rsidR="00AA3242">
        <w:rPr>
          <w:i/>
        </w:rPr>
        <w:t>Estado</w:t>
      </w:r>
      <w:r w:rsidRPr="00506B1B">
        <w:rPr>
          <w:i/>
        </w:rPr>
        <w:t xml:space="preserve">) </w:t>
      </w:r>
    </w:p>
    <w:p w14:paraId="276BD2CB" w14:textId="77777777" w:rsidR="00AA3242" w:rsidRPr="00AA3242" w:rsidRDefault="00AA3242" w:rsidP="00AA3242">
      <w:pPr>
        <w:tabs>
          <w:tab w:val="left" w:pos="900"/>
        </w:tabs>
        <w:autoSpaceDE w:val="0"/>
        <w:autoSpaceDN w:val="0"/>
        <w:adjustRightInd w:val="0"/>
        <w:spacing w:line="240" w:lineRule="auto"/>
        <w:jc w:val="both"/>
        <w:rPr>
          <w:rFonts w:cs="Times New Roman"/>
          <w:lang w:val="es-ES_tradnl"/>
        </w:rPr>
      </w:pPr>
    </w:p>
    <w:p w14:paraId="034F77BE" w14:textId="6B1D1075" w:rsidR="00AA3242" w:rsidRPr="00AA3242" w:rsidRDefault="00AA3242" w:rsidP="00187969">
      <w:pPr>
        <w:pStyle w:val="Prrafodelista"/>
        <w:numPr>
          <w:ilvl w:val="0"/>
          <w:numId w:val="32"/>
        </w:numPr>
        <w:tabs>
          <w:tab w:val="left" w:pos="900"/>
        </w:tabs>
        <w:autoSpaceDE w:val="0"/>
        <w:autoSpaceDN w:val="0"/>
        <w:adjustRightInd w:val="0"/>
        <w:spacing w:line="240" w:lineRule="auto"/>
        <w:jc w:val="both"/>
        <w:rPr>
          <w:rFonts w:cs="Arial-BoldMT"/>
          <w:lang w:val="es-ES"/>
        </w:rPr>
      </w:pPr>
      <w:proofErr w:type="spellStart"/>
      <w:r w:rsidRPr="00AA3242">
        <w:rPr>
          <w:rFonts w:cs="Arial-BoldMT"/>
          <w:i/>
          <w:iCs/>
          <w:lang w:val="es-ES"/>
        </w:rPr>
        <w:t>Eglee</w:t>
      </w:r>
      <w:proofErr w:type="spellEnd"/>
      <w:r w:rsidRPr="00AA3242">
        <w:rPr>
          <w:rFonts w:cs="Arial-BoldMT"/>
          <w:i/>
          <w:iCs/>
          <w:lang w:val="es-ES"/>
        </w:rPr>
        <w:t xml:space="preserve"> Sofia Toro Navas</w:t>
      </w:r>
      <w:r w:rsidRPr="00AA3242">
        <w:rPr>
          <w:rFonts w:cs="Arial-BoldMT"/>
          <w:lang w:val="es-ES"/>
        </w:rPr>
        <w:t>,</w:t>
      </w:r>
      <w:r w:rsidRPr="00AA3242">
        <w:rPr>
          <w:rFonts w:cs="ArialMT"/>
          <w:lang w:val="es-ES"/>
        </w:rPr>
        <w:t xml:space="preserve"> electora en el proceso electoral de abril de 2013, quien declarará sobre el desarrollo del proceso electoral, incluyendo lo relacionado con la campaña electoral. </w:t>
      </w:r>
    </w:p>
    <w:p w14:paraId="7908CC6A" w14:textId="77777777" w:rsidR="00AA3242" w:rsidRPr="00AA3242" w:rsidRDefault="00AA3242" w:rsidP="00AA3242">
      <w:pPr>
        <w:tabs>
          <w:tab w:val="left" w:pos="900"/>
        </w:tabs>
        <w:autoSpaceDE w:val="0"/>
        <w:autoSpaceDN w:val="0"/>
        <w:adjustRightInd w:val="0"/>
        <w:spacing w:line="240" w:lineRule="auto"/>
        <w:jc w:val="both"/>
        <w:rPr>
          <w:rFonts w:cs="Arial-BoldMT"/>
          <w:lang w:val="es-ES"/>
        </w:rPr>
      </w:pPr>
    </w:p>
    <w:p w14:paraId="1A69C868" w14:textId="59B5FB1D" w:rsidR="00AA3242" w:rsidRPr="00AA3242" w:rsidRDefault="00AA3242" w:rsidP="00AA3242">
      <w:pPr>
        <w:pStyle w:val="Prrafodelista"/>
        <w:numPr>
          <w:ilvl w:val="0"/>
          <w:numId w:val="32"/>
        </w:numPr>
        <w:tabs>
          <w:tab w:val="left" w:pos="900"/>
        </w:tabs>
        <w:autoSpaceDE w:val="0"/>
        <w:autoSpaceDN w:val="0"/>
        <w:adjustRightInd w:val="0"/>
        <w:spacing w:line="240" w:lineRule="auto"/>
        <w:jc w:val="both"/>
        <w:rPr>
          <w:rFonts w:cs="ArialMT"/>
          <w:lang w:val="es-ES"/>
        </w:rPr>
      </w:pPr>
      <w:r w:rsidRPr="00AA3242">
        <w:rPr>
          <w:rFonts w:cs="Arial-BoldMT"/>
          <w:i/>
          <w:iCs/>
          <w:lang w:val="es-ES"/>
        </w:rPr>
        <w:t>Omar Roa Veliz</w:t>
      </w:r>
      <w:r>
        <w:rPr>
          <w:rFonts w:cs="Arial-BoldMT"/>
          <w:i/>
          <w:iCs/>
          <w:lang w:val="es-ES"/>
        </w:rPr>
        <w:t xml:space="preserve">, </w:t>
      </w:r>
      <w:r w:rsidRPr="00723BA4">
        <w:rPr>
          <w:rFonts w:cs="Arial-BoldMT"/>
          <w:lang w:val="es-ES"/>
        </w:rPr>
        <w:t>e</w:t>
      </w:r>
      <w:r w:rsidRPr="00AA3242">
        <w:rPr>
          <w:rFonts w:cs="ArialMT"/>
          <w:lang w:val="es-ES"/>
        </w:rPr>
        <w:t xml:space="preserve">x funcionario del Consejo Nacional Electoral para el año 2013, </w:t>
      </w:r>
      <w:r w:rsidR="00723BA4">
        <w:rPr>
          <w:rFonts w:cs="ArialMT"/>
          <w:lang w:val="es-ES"/>
        </w:rPr>
        <w:t>quien declarará sobre</w:t>
      </w:r>
      <w:r w:rsidRPr="00AA3242">
        <w:rPr>
          <w:rFonts w:cs="ArialMT"/>
          <w:lang w:val="es-ES"/>
        </w:rPr>
        <w:t xml:space="preserve"> las medidas adoptadas para la celebración de esas elecciones y la atención de las solicitudes presentadas por el señor Capriles </w:t>
      </w:r>
      <w:proofErr w:type="spellStart"/>
      <w:r w:rsidRPr="00AA3242">
        <w:rPr>
          <w:rFonts w:cs="ArialMT"/>
          <w:lang w:val="es-ES"/>
        </w:rPr>
        <w:t>Radonski</w:t>
      </w:r>
      <w:proofErr w:type="spellEnd"/>
      <w:r w:rsidRPr="00AA3242">
        <w:rPr>
          <w:rFonts w:cs="ArialMT"/>
          <w:lang w:val="es-ES"/>
        </w:rPr>
        <w:t>.</w:t>
      </w:r>
    </w:p>
    <w:p w14:paraId="673A0662" w14:textId="77777777" w:rsidR="00AA3242" w:rsidRPr="00AA3242" w:rsidRDefault="00AA3242" w:rsidP="00AA3242">
      <w:pPr>
        <w:pStyle w:val="Prrafodelista"/>
        <w:rPr>
          <w:rFonts w:cs="Arial-BoldMT"/>
          <w:lang w:val="es-ES"/>
        </w:rPr>
      </w:pPr>
    </w:p>
    <w:p w14:paraId="316E8842" w14:textId="2D0A0BB0" w:rsidR="00AA3242" w:rsidRPr="00AA3242" w:rsidRDefault="00AA3242" w:rsidP="00AA3242">
      <w:pPr>
        <w:pStyle w:val="Prrafodelista"/>
        <w:numPr>
          <w:ilvl w:val="0"/>
          <w:numId w:val="32"/>
        </w:numPr>
        <w:tabs>
          <w:tab w:val="left" w:pos="900"/>
        </w:tabs>
        <w:autoSpaceDE w:val="0"/>
        <w:autoSpaceDN w:val="0"/>
        <w:adjustRightInd w:val="0"/>
        <w:spacing w:line="240" w:lineRule="auto"/>
        <w:jc w:val="both"/>
        <w:rPr>
          <w:rFonts w:cs="ArialMT"/>
          <w:lang w:val="es-ES"/>
        </w:rPr>
      </w:pPr>
      <w:r w:rsidRPr="00AA3242">
        <w:rPr>
          <w:rFonts w:cs="Arial-BoldMT"/>
          <w:i/>
          <w:iCs/>
          <w:lang w:val="es-ES"/>
        </w:rPr>
        <w:t>Carlos Alberto Álvarez</w:t>
      </w:r>
      <w:r w:rsidR="00723BA4">
        <w:rPr>
          <w:rFonts w:cs="Arial-BoldMT"/>
          <w:lang w:val="es-ES"/>
        </w:rPr>
        <w:t xml:space="preserve">, </w:t>
      </w:r>
      <w:r w:rsidRPr="00AA3242">
        <w:rPr>
          <w:rFonts w:cs="ArialMT"/>
          <w:lang w:val="es-ES"/>
        </w:rPr>
        <w:t xml:space="preserve">integrante de la Misión de Observación Electoral de UNASUR para las elecciones del año 2013, </w:t>
      </w:r>
      <w:r w:rsidR="00723BA4">
        <w:rPr>
          <w:rFonts w:cs="ArialMT"/>
          <w:lang w:val="es-ES"/>
        </w:rPr>
        <w:t>quien declarará</w:t>
      </w:r>
      <w:r w:rsidRPr="00AA3242">
        <w:rPr>
          <w:rFonts w:cs="ArialMT"/>
          <w:lang w:val="es-ES"/>
        </w:rPr>
        <w:t xml:space="preserve"> sobre el desarrollo del proceso electoral, incluyendo </w:t>
      </w:r>
      <w:r w:rsidR="00723BA4">
        <w:rPr>
          <w:rFonts w:cs="ArialMT"/>
          <w:lang w:val="es-ES"/>
        </w:rPr>
        <w:t>aspectos relacionados</w:t>
      </w:r>
      <w:r w:rsidRPr="00AA3242">
        <w:rPr>
          <w:rFonts w:cs="ArialMT"/>
          <w:lang w:val="es-ES"/>
        </w:rPr>
        <w:t xml:space="preserve"> con la campaña electoral y los recursos posteriores. </w:t>
      </w:r>
    </w:p>
    <w:p w14:paraId="786E1B19" w14:textId="77777777" w:rsidR="00AA3242" w:rsidRPr="00AA3242" w:rsidRDefault="00AA3242" w:rsidP="00AA3242">
      <w:pPr>
        <w:pStyle w:val="Prrafodelista"/>
        <w:rPr>
          <w:rFonts w:cs="Arial-BoldMT"/>
          <w:lang w:val="es-ES"/>
        </w:rPr>
      </w:pPr>
    </w:p>
    <w:p w14:paraId="306DE765" w14:textId="1ED7B4B6" w:rsidR="00AA3242" w:rsidRPr="00AA3242" w:rsidRDefault="00AA3242" w:rsidP="001B2E2A">
      <w:pPr>
        <w:pStyle w:val="Prrafodelista"/>
        <w:numPr>
          <w:ilvl w:val="0"/>
          <w:numId w:val="32"/>
        </w:numPr>
        <w:tabs>
          <w:tab w:val="left" w:pos="900"/>
        </w:tabs>
        <w:autoSpaceDE w:val="0"/>
        <w:autoSpaceDN w:val="0"/>
        <w:adjustRightInd w:val="0"/>
        <w:spacing w:line="240" w:lineRule="auto"/>
        <w:jc w:val="both"/>
        <w:rPr>
          <w:rFonts w:cs="Times New Roman"/>
          <w:lang w:val="es-ES_tradnl"/>
        </w:rPr>
      </w:pPr>
      <w:r w:rsidRPr="00AA3242">
        <w:rPr>
          <w:rFonts w:cs="Arial-BoldMT"/>
          <w:i/>
          <w:iCs/>
          <w:lang w:val="es-ES"/>
        </w:rPr>
        <w:t>Pedro Contreras</w:t>
      </w:r>
      <w:r w:rsidR="00723BA4">
        <w:rPr>
          <w:rFonts w:cs="Arial-BoldMT"/>
          <w:lang w:val="es-ES"/>
        </w:rPr>
        <w:t>,</w:t>
      </w:r>
      <w:r w:rsidRPr="00AA3242">
        <w:rPr>
          <w:rFonts w:cs="Arial-BoldMT"/>
          <w:lang w:val="es-ES"/>
        </w:rPr>
        <w:t xml:space="preserve"> </w:t>
      </w:r>
      <w:r w:rsidRPr="00AA3242">
        <w:rPr>
          <w:rFonts w:cs="ArialMT"/>
          <w:lang w:val="es-ES"/>
        </w:rPr>
        <w:t xml:space="preserve">integrante de la organización Proyecto Social y participante como Observador Nacional de las elecciones del año 2013, </w:t>
      </w:r>
      <w:r w:rsidR="00723BA4">
        <w:rPr>
          <w:rFonts w:cs="ArialMT"/>
          <w:lang w:val="es-ES"/>
        </w:rPr>
        <w:t>quien declarará</w:t>
      </w:r>
      <w:r w:rsidRPr="00AA3242">
        <w:rPr>
          <w:rFonts w:cs="ArialMT"/>
          <w:lang w:val="es-ES"/>
        </w:rPr>
        <w:t xml:space="preserve"> sobre el desarrollo del proceso electoral, incluyendo lo relacionado con la campaña electoral y los recursos posteriores</w:t>
      </w:r>
      <w:r w:rsidR="00723BA4">
        <w:rPr>
          <w:rFonts w:cs="ArialMT"/>
          <w:lang w:val="es-ES"/>
        </w:rPr>
        <w:t>.</w:t>
      </w:r>
    </w:p>
    <w:p w14:paraId="5F3E9AED" w14:textId="77777777" w:rsidR="00E66DF5" w:rsidRPr="00243451" w:rsidRDefault="00E66DF5" w:rsidP="00486164">
      <w:pPr>
        <w:spacing w:line="240" w:lineRule="auto"/>
        <w:jc w:val="both"/>
        <w:rPr>
          <w:bCs/>
          <w:highlight w:val="yellow"/>
          <w:lang w:val="es-ES_tradnl"/>
        </w:rPr>
      </w:pPr>
    </w:p>
    <w:p w14:paraId="7FCA63F0" w14:textId="3DDB6D9B" w:rsidR="00E66DF5" w:rsidRPr="006C7614" w:rsidRDefault="00E66DF5" w:rsidP="00E66DF5">
      <w:pPr>
        <w:pStyle w:val="Prrafodelista"/>
        <w:numPr>
          <w:ilvl w:val="0"/>
          <w:numId w:val="31"/>
        </w:numPr>
        <w:spacing w:line="240" w:lineRule="auto"/>
        <w:jc w:val="both"/>
        <w:rPr>
          <w:b/>
        </w:rPr>
      </w:pPr>
      <w:r w:rsidRPr="006C7614">
        <w:rPr>
          <w:b/>
        </w:rPr>
        <w:t>Perito</w:t>
      </w:r>
      <w:r w:rsidR="00F95460">
        <w:rPr>
          <w:b/>
        </w:rPr>
        <w:t>s</w:t>
      </w:r>
      <w:r w:rsidRPr="006C7614">
        <w:rPr>
          <w:b/>
        </w:rPr>
        <w:t xml:space="preserve"> </w:t>
      </w:r>
    </w:p>
    <w:p w14:paraId="1268F955" w14:textId="77777777" w:rsidR="00E66DF5" w:rsidRPr="00486164" w:rsidRDefault="00E66DF5" w:rsidP="00486164">
      <w:pPr>
        <w:spacing w:line="240" w:lineRule="auto"/>
        <w:jc w:val="both"/>
        <w:rPr>
          <w:bCs/>
        </w:rPr>
      </w:pPr>
    </w:p>
    <w:p w14:paraId="6031F131" w14:textId="1258C804" w:rsidR="00E66DF5" w:rsidRPr="006C7614" w:rsidRDefault="00E66DF5" w:rsidP="00E66DF5">
      <w:pPr>
        <w:pStyle w:val="Prrafodelista"/>
        <w:spacing w:line="240" w:lineRule="auto"/>
        <w:jc w:val="both"/>
        <w:rPr>
          <w:i/>
        </w:rPr>
      </w:pPr>
      <w:r w:rsidRPr="006C7614">
        <w:rPr>
          <w:i/>
        </w:rPr>
        <w:t>(Propuesto</w:t>
      </w:r>
      <w:r w:rsidR="00AA3242">
        <w:rPr>
          <w:i/>
        </w:rPr>
        <w:t>s</w:t>
      </w:r>
      <w:r w:rsidRPr="006C7614">
        <w:rPr>
          <w:i/>
        </w:rPr>
        <w:t xml:space="preserve"> por </w:t>
      </w:r>
      <w:r>
        <w:rPr>
          <w:i/>
        </w:rPr>
        <w:t>el</w:t>
      </w:r>
      <w:r w:rsidRPr="006C7614">
        <w:rPr>
          <w:i/>
        </w:rPr>
        <w:t xml:space="preserve"> </w:t>
      </w:r>
      <w:r w:rsidR="00AA3242">
        <w:rPr>
          <w:i/>
        </w:rPr>
        <w:t>Estado</w:t>
      </w:r>
      <w:r w:rsidRPr="006C7614">
        <w:rPr>
          <w:i/>
        </w:rPr>
        <w:t xml:space="preserve">) </w:t>
      </w:r>
    </w:p>
    <w:p w14:paraId="76FED14B" w14:textId="77777777" w:rsidR="00E66DF5" w:rsidRPr="00D64742" w:rsidRDefault="00E66DF5" w:rsidP="00D64742">
      <w:pPr>
        <w:spacing w:line="240" w:lineRule="auto"/>
        <w:jc w:val="both"/>
        <w:rPr>
          <w:iCs/>
        </w:rPr>
      </w:pPr>
    </w:p>
    <w:p w14:paraId="07475D05" w14:textId="667BE612" w:rsidR="00D64742" w:rsidRPr="00D64742" w:rsidRDefault="00AA3242" w:rsidP="00862E17">
      <w:pPr>
        <w:pStyle w:val="Prrafodelista"/>
        <w:numPr>
          <w:ilvl w:val="0"/>
          <w:numId w:val="32"/>
        </w:numPr>
        <w:tabs>
          <w:tab w:val="left" w:pos="900"/>
        </w:tabs>
        <w:autoSpaceDE w:val="0"/>
        <w:autoSpaceDN w:val="0"/>
        <w:adjustRightInd w:val="0"/>
        <w:spacing w:line="240" w:lineRule="auto"/>
        <w:jc w:val="both"/>
        <w:rPr>
          <w:rFonts w:cs="Arial-BoldMT"/>
          <w:lang w:val="es-ES"/>
        </w:rPr>
      </w:pPr>
      <w:r w:rsidRPr="00D64742">
        <w:rPr>
          <w:rFonts w:cs="Arial-BoldMT"/>
          <w:i/>
          <w:iCs/>
          <w:lang w:val="es-ES"/>
        </w:rPr>
        <w:lastRenderedPageBreak/>
        <w:t>Federico Fuenmayor</w:t>
      </w:r>
      <w:r w:rsidR="00D64742" w:rsidRPr="00D64742">
        <w:rPr>
          <w:rFonts w:cs="Arial-BoldMT"/>
          <w:lang w:val="es-ES"/>
        </w:rPr>
        <w:t>, abogado, quien declarará</w:t>
      </w:r>
      <w:r w:rsidRPr="00D64742">
        <w:rPr>
          <w:rFonts w:cs="ArialMT"/>
          <w:lang w:val="es-ES"/>
        </w:rPr>
        <w:t xml:space="preserve"> sobre la</w:t>
      </w:r>
      <w:r w:rsidR="00D64742" w:rsidRPr="00D64742">
        <w:rPr>
          <w:rFonts w:cs="ArialMT"/>
          <w:lang w:val="es-ES"/>
        </w:rPr>
        <w:t xml:space="preserve"> </w:t>
      </w:r>
      <w:r w:rsidRPr="00D64742">
        <w:rPr>
          <w:rFonts w:cs="ArialMT"/>
          <w:lang w:val="es-ES"/>
        </w:rPr>
        <w:t>regulación de los procesos electorales en la República Bolivariana de</w:t>
      </w:r>
      <w:r w:rsidR="00D64742" w:rsidRPr="00D64742">
        <w:rPr>
          <w:rFonts w:cs="ArialMT"/>
          <w:lang w:val="es-ES"/>
        </w:rPr>
        <w:t xml:space="preserve"> </w:t>
      </w:r>
      <w:r w:rsidRPr="00D64742">
        <w:rPr>
          <w:rFonts w:cs="ArialMT"/>
          <w:lang w:val="es-ES"/>
        </w:rPr>
        <w:t>Venezuela, los mecanismos de auditoría y los procedimientos existentes para</w:t>
      </w:r>
      <w:r w:rsidR="00D64742" w:rsidRPr="00D64742">
        <w:rPr>
          <w:rFonts w:cs="ArialMT"/>
          <w:lang w:val="es-ES"/>
        </w:rPr>
        <w:t xml:space="preserve"> </w:t>
      </w:r>
      <w:r w:rsidRPr="00D64742">
        <w:rPr>
          <w:rFonts w:cs="ArialMT"/>
          <w:lang w:val="es-ES"/>
        </w:rPr>
        <w:t xml:space="preserve">objetarlos. El perito podrá referirse al caso concreto. </w:t>
      </w:r>
    </w:p>
    <w:p w14:paraId="4AA435A2" w14:textId="77777777" w:rsidR="00D64742" w:rsidRPr="00D64742" w:rsidRDefault="00D64742" w:rsidP="00D64742">
      <w:pPr>
        <w:tabs>
          <w:tab w:val="left" w:pos="900"/>
        </w:tabs>
        <w:autoSpaceDE w:val="0"/>
        <w:autoSpaceDN w:val="0"/>
        <w:adjustRightInd w:val="0"/>
        <w:spacing w:line="240" w:lineRule="auto"/>
        <w:jc w:val="both"/>
        <w:rPr>
          <w:rFonts w:cs="Arial-BoldMT"/>
          <w:lang w:val="es-ES"/>
        </w:rPr>
      </w:pPr>
    </w:p>
    <w:p w14:paraId="5BC3D41A" w14:textId="2ED9C188" w:rsidR="00F95460" w:rsidRPr="00D64742" w:rsidRDefault="00AA3242" w:rsidP="00D64742">
      <w:pPr>
        <w:pStyle w:val="Prrafodelista"/>
        <w:numPr>
          <w:ilvl w:val="0"/>
          <w:numId w:val="32"/>
        </w:numPr>
        <w:tabs>
          <w:tab w:val="left" w:pos="900"/>
        </w:tabs>
        <w:autoSpaceDE w:val="0"/>
        <w:autoSpaceDN w:val="0"/>
        <w:adjustRightInd w:val="0"/>
        <w:spacing w:line="240" w:lineRule="auto"/>
        <w:jc w:val="both"/>
        <w:rPr>
          <w:rFonts w:cs="ArialMT"/>
          <w:lang w:val="es-ES"/>
        </w:rPr>
      </w:pPr>
      <w:r w:rsidRPr="00D64742">
        <w:rPr>
          <w:rFonts w:cs="Arial-BoldMT"/>
          <w:i/>
          <w:iCs/>
          <w:lang w:val="es-ES"/>
        </w:rPr>
        <w:t>Intina Reina López Pérez</w:t>
      </w:r>
      <w:r w:rsidR="00D64742">
        <w:rPr>
          <w:rFonts w:cs="Arial-BoldMT"/>
          <w:lang w:val="es-ES"/>
        </w:rPr>
        <w:t>, abogada, quien</w:t>
      </w:r>
      <w:r w:rsidRPr="00D64742">
        <w:rPr>
          <w:rFonts w:cs="ArialMT"/>
          <w:lang w:val="es-ES"/>
        </w:rPr>
        <w:t xml:space="preserve"> </w:t>
      </w:r>
      <w:r w:rsidR="00D64742">
        <w:rPr>
          <w:rFonts w:cs="ArialMT"/>
          <w:lang w:val="es-ES"/>
        </w:rPr>
        <w:t>declarará</w:t>
      </w:r>
      <w:r w:rsidRPr="00D64742">
        <w:rPr>
          <w:rFonts w:cs="ArialMT"/>
          <w:lang w:val="es-ES"/>
        </w:rPr>
        <w:t xml:space="preserve"> sobre la</w:t>
      </w:r>
      <w:r w:rsidR="00D64742" w:rsidRPr="00D64742">
        <w:rPr>
          <w:rFonts w:cs="ArialMT"/>
          <w:lang w:val="es-ES"/>
        </w:rPr>
        <w:t xml:space="preserve"> </w:t>
      </w:r>
      <w:r w:rsidRPr="00D64742">
        <w:rPr>
          <w:rFonts w:cs="ArialMT"/>
          <w:lang w:val="es-ES"/>
        </w:rPr>
        <w:t>procedencia y trámite del recurso contencioso electoral, conforme a la</w:t>
      </w:r>
      <w:r w:rsidR="00D64742" w:rsidRPr="00D64742">
        <w:rPr>
          <w:rFonts w:cs="ArialMT"/>
          <w:lang w:val="es-ES"/>
        </w:rPr>
        <w:t xml:space="preserve"> </w:t>
      </w:r>
      <w:r w:rsidRPr="00D64742">
        <w:rPr>
          <w:rFonts w:cs="ArialMT"/>
          <w:lang w:val="es-ES"/>
        </w:rPr>
        <w:t xml:space="preserve">legislación venezolana. </w:t>
      </w:r>
      <w:r w:rsidR="00D64742">
        <w:rPr>
          <w:rFonts w:cs="ArialMT"/>
          <w:lang w:val="es-ES"/>
        </w:rPr>
        <w:t>La perita</w:t>
      </w:r>
      <w:r w:rsidRPr="00D64742">
        <w:rPr>
          <w:rFonts w:cs="ArialMT"/>
          <w:lang w:val="es-ES"/>
        </w:rPr>
        <w:t xml:space="preserve"> podrá referirse al caso concreto. </w:t>
      </w:r>
    </w:p>
    <w:p w14:paraId="3C30B223" w14:textId="77777777" w:rsidR="00F95460" w:rsidRPr="001C2372" w:rsidRDefault="00F95460" w:rsidP="00032B2E">
      <w:pPr>
        <w:spacing w:line="240" w:lineRule="auto"/>
        <w:jc w:val="both"/>
        <w:rPr>
          <w:lang w:val="es-ES"/>
        </w:rPr>
      </w:pPr>
    </w:p>
    <w:p w14:paraId="6D3362CE" w14:textId="1A6A1EC1" w:rsidR="005E7C49" w:rsidRPr="00D00A82" w:rsidRDefault="005C0F81" w:rsidP="00D00A82">
      <w:pPr>
        <w:pStyle w:val="Prrafodelista"/>
        <w:numPr>
          <w:ilvl w:val="0"/>
          <w:numId w:val="4"/>
        </w:numPr>
        <w:tabs>
          <w:tab w:val="left" w:pos="567"/>
        </w:tabs>
        <w:autoSpaceDE w:val="0"/>
        <w:autoSpaceDN w:val="0"/>
        <w:adjustRightInd w:val="0"/>
        <w:spacing w:line="240" w:lineRule="auto"/>
        <w:ind w:left="0" w:firstLine="0"/>
        <w:jc w:val="both"/>
        <w:rPr>
          <w:rFonts w:cs="Verdana"/>
          <w:color w:val="000000"/>
        </w:rPr>
      </w:pPr>
      <w:r w:rsidRPr="00D33870">
        <w:t xml:space="preserve">Requerir </w:t>
      </w:r>
      <w:r w:rsidR="00666842">
        <w:t>a</w:t>
      </w:r>
      <w:r w:rsidR="00BB589F">
        <w:t xml:space="preserve">l </w:t>
      </w:r>
      <w:r w:rsidR="00D64742">
        <w:t>Estado</w:t>
      </w:r>
      <w:r w:rsidR="00BB589F">
        <w:t xml:space="preserve"> </w:t>
      </w:r>
      <w:r w:rsidR="00666842">
        <w:t>y a la Comisión</w:t>
      </w:r>
      <w:r w:rsidR="00434153">
        <w:t xml:space="preserve"> </w:t>
      </w:r>
      <w:r w:rsidRPr="00D33870">
        <w:t xml:space="preserve">que notifiquen la presente Resolución a los declarantes propuestos por ellos, de conformidad </w:t>
      </w:r>
      <w:r w:rsidRPr="00F15BAB">
        <w:t>con lo dispuesto en los artículos 50.2 y 50.4 del Reglamento</w:t>
      </w:r>
      <w:r w:rsidR="00D00A82">
        <w:t>, y r</w:t>
      </w:r>
      <w:r w:rsidR="005E7C49" w:rsidRPr="00D00A82">
        <w:t xml:space="preserve">equerir al representante que notifique la presente Resolución a la presunta víctima, de conformidad con lo dispuesto en el artículo 58.b del Reglamento. </w:t>
      </w:r>
    </w:p>
    <w:p w14:paraId="7DE40FA6" w14:textId="77777777" w:rsidR="005C0F81" w:rsidRPr="00F15BAB" w:rsidRDefault="005C0F81" w:rsidP="005C0F81">
      <w:pPr>
        <w:pStyle w:val="Prrafodelista"/>
        <w:tabs>
          <w:tab w:val="left" w:pos="567"/>
        </w:tabs>
        <w:spacing w:line="240" w:lineRule="auto"/>
        <w:ind w:left="0"/>
        <w:jc w:val="both"/>
      </w:pPr>
    </w:p>
    <w:p w14:paraId="3D30FB9D" w14:textId="2DB7F36B" w:rsidR="005C0F81" w:rsidRPr="00386050" w:rsidRDefault="00666842" w:rsidP="005C0F81">
      <w:pPr>
        <w:pStyle w:val="Prrafodelista"/>
        <w:numPr>
          <w:ilvl w:val="0"/>
          <w:numId w:val="4"/>
        </w:numPr>
        <w:tabs>
          <w:tab w:val="left" w:pos="567"/>
        </w:tabs>
        <w:spacing w:line="240" w:lineRule="auto"/>
        <w:ind w:left="0" w:firstLine="0"/>
        <w:jc w:val="both"/>
      </w:pPr>
      <w:r w:rsidRPr="00386050">
        <w:rPr>
          <w:lang w:val="es-CO"/>
        </w:rPr>
        <w:t xml:space="preserve">Requerir </w:t>
      </w:r>
      <w:r w:rsidR="00D00A82">
        <w:rPr>
          <w:lang w:val="es-CO"/>
        </w:rPr>
        <w:t>al</w:t>
      </w:r>
      <w:r w:rsidR="001B5CE0" w:rsidRPr="00386050">
        <w:rPr>
          <w:lang w:val="es-CO"/>
        </w:rPr>
        <w:t xml:space="preserve"> representante</w:t>
      </w:r>
      <w:r w:rsidR="00D64742">
        <w:rPr>
          <w:lang w:val="es-CO"/>
        </w:rPr>
        <w:t xml:space="preserve"> y la Comisión</w:t>
      </w:r>
      <w:r w:rsidRPr="00386050">
        <w:rPr>
          <w:lang w:val="es-CO"/>
        </w:rPr>
        <w:t xml:space="preserve"> que remita</w:t>
      </w:r>
      <w:r w:rsidR="00D64742">
        <w:rPr>
          <w:lang w:val="es-CO"/>
        </w:rPr>
        <w:t>n</w:t>
      </w:r>
      <w:r w:rsidRPr="00386050">
        <w:rPr>
          <w:lang w:val="es-CO"/>
        </w:rPr>
        <w:t xml:space="preserve">, en los términos del artículo 50.5 del Reglamento y de considerarlo pertinente, en el plazo improrrogable que vence el </w:t>
      </w:r>
      <w:r w:rsidR="00D64742" w:rsidRPr="00CF30C5">
        <w:rPr>
          <w:lang w:val="es-CO"/>
        </w:rPr>
        <w:t>1</w:t>
      </w:r>
      <w:r w:rsidR="00FC7402">
        <w:rPr>
          <w:lang w:val="es-CO"/>
        </w:rPr>
        <w:t>8</w:t>
      </w:r>
      <w:r w:rsidRPr="00CF30C5">
        <w:rPr>
          <w:lang w:val="es-CO"/>
        </w:rPr>
        <w:t xml:space="preserve"> de </w:t>
      </w:r>
      <w:r w:rsidR="00D64742" w:rsidRPr="00CF30C5">
        <w:rPr>
          <w:lang w:val="es-CO"/>
        </w:rPr>
        <w:t>diciembre</w:t>
      </w:r>
      <w:r w:rsidRPr="00CF30C5">
        <w:rPr>
          <w:lang w:val="es-CO"/>
        </w:rPr>
        <w:t xml:space="preserve"> de 202</w:t>
      </w:r>
      <w:r w:rsidR="00D64742" w:rsidRPr="00CF30C5">
        <w:rPr>
          <w:lang w:val="es-CO"/>
        </w:rPr>
        <w:t>3</w:t>
      </w:r>
      <w:r w:rsidRPr="003744A4">
        <w:rPr>
          <w:lang w:val="es-CO"/>
        </w:rPr>
        <w:t>,</w:t>
      </w:r>
      <w:r w:rsidRPr="00386050">
        <w:rPr>
          <w:lang w:val="es-CO"/>
        </w:rPr>
        <w:t xml:space="preserve"> las preguntas que estime</w:t>
      </w:r>
      <w:r w:rsidR="00486164">
        <w:rPr>
          <w:lang w:val="es-CO"/>
        </w:rPr>
        <w:t>n</w:t>
      </w:r>
      <w:r w:rsidRPr="00386050">
        <w:rPr>
          <w:lang w:val="es-CO"/>
        </w:rPr>
        <w:t xml:space="preserve"> pertinente formular, a través de la Corte Interamericana, a los declarantes indicados en el punto resolutivo </w:t>
      </w:r>
      <w:r w:rsidR="00D00A82">
        <w:rPr>
          <w:lang w:val="es-CO"/>
        </w:rPr>
        <w:t>3</w:t>
      </w:r>
      <w:r w:rsidRPr="00386050">
        <w:rPr>
          <w:lang w:val="es-CO"/>
        </w:rPr>
        <w:t xml:space="preserve"> de la presente Resolución.</w:t>
      </w:r>
      <w:r w:rsidR="005C0F81" w:rsidRPr="00386050">
        <w:t xml:space="preserve"> </w:t>
      </w:r>
    </w:p>
    <w:p w14:paraId="35E5A371" w14:textId="77777777" w:rsidR="005C0F81" w:rsidRPr="00F15BAB" w:rsidRDefault="005C0F81" w:rsidP="00F95460"/>
    <w:p w14:paraId="7929590C" w14:textId="724EEAB7" w:rsidR="005C0F81" w:rsidRPr="00F15BAB" w:rsidRDefault="00666842" w:rsidP="005C0F81">
      <w:pPr>
        <w:pStyle w:val="Prrafodelista"/>
        <w:numPr>
          <w:ilvl w:val="0"/>
          <w:numId w:val="4"/>
        </w:numPr>
        <w:tabs>
          <w:tab w:val="left" w:pos="567"/>
        </w:tabs>
        <w:spacing w:line="240" w:lineRule="auto"/>
        <w:ind w:left="0" w:firstLine="0"/>
        <w:jc w:val="both"/>
      </w:pPr>
      <w:r w:rsidRPr="00F15BAB">
        <w:rPr>
          <w:lang w:val="es-CO"/>
        </w:rPr>
        <w:t>Requerir a</w:t>
      </w:r>
      <w:r w:rsidR="00BB589F">
        <w:rPr>
          <w:lang w:val="es-CO"/>
        </w:rPr>
        <w:t xml:space="preserve">l </w:t>
      </w:r>
      <w:r w:rsidR="00D64742">
        <w:rPr>
          <w:lang w:val="es-CO"/>
        </w:rPr>
        <w:t>Estado</w:t>
      </w:r>
      <w:r w:rsidR="00BB589F">
        <w:rPr>
          <w:lang w:val="es-CO"/>
        </w:rPr>
        <w:t xml:space="preserve"> </w:t>
      </w:r>
      <w:r w:rsidRPr="00F15BAB">
        <w:rPr>
          <w:lang w:val="es-CO"/>
        </w:rPr>
        <w:t xml:space="preserve">que realice las diligencias necesarias para que, una vez recibidas las preguntas, </w:t>
      </w:r>
      <w:r w:rsidR="00D64742">
        <w:rPr>
          <w:lang w:val="es-CO"/>
        </w:rPr>
        <w:t>los</w:t>
      </w:r>
      <w:r w:rsidR="00BB589F">
        <w:rPr>
          <w:lang w:val="es-CO"/>
        </w:rPr>
        <w:t xml:space="preserve"> testigo</w:t>
      </w:r>
      <w:r w:rsidR="00486164">
        <w:rPr>
          <w:lang w:val="es-CO"/>
        </w:rPr>
        <w:t>s</w:t>
      </w:r>
      <w:r w:rsidRPr="00F15BAB">
        <w:rPr>
          <w:lang w:val="es-CO"/>
        </w:rPr>
        <w:t xml:space="preserve"> y </w:t>
      </w:r>
      <w:r w:rsidR="00F95460">
        <w:rPr>
          <w:lang w:val="es-CO"/>
        </w:rPr>
        <w:t>los</w:t>
      </w:r>
      <w:r w:rsidRPr="00F15BAB">
        <w:rPr>
          <w:lang w:val="es-CO"/>
        </w:rPr>
        <w:t xml:space="preserve"> perito</w:t>
      </w:r>
      <w:r w:rsidR="00F95460">
        <w:rPr>
          <w:lang w:val="es-CO"/>
        </w:rPr>
        <w:t>s</w:t>
      </w:r>
      <w:r w:rsidRPr="00F15BAB">
        <w:rPr>
          <w:lang w:val="es-CO"/>
        </w:rPr>
        <w:t xml:space="preserve"> incluyan las respuestas en sus respectivas declaraciones y dictámenes rendidos ante fedatario público, salvo que el </w:t>
      </w:r>
      <w:proofErr w:type="gramStart"/>
      <w:r w:rsidRPr="00F15BAB">
        <w:rPr>
          <w:lang w:val="es-CO"/>
        </w:rPr>
        <w:t>Presidente</w:t>
      </w:r>
      <w:proofErr w:type="gramEnd"/>
      <w:r w:rsidRPr="00F15BAB">
        <w:rPr>
          <w:lang w:val="es-CO"/>
        </w:rPr>
        <w:t xml:space="preserve"> disponga lo contrario cuando la Secretaría de la Corte las transmita. </w:t>
      </w:r>
      <w:r w:rsidR="00BB589F">
        <w:rPr>
          <w:lang w:val="es-CO"/>
        </w:rPr>
        <w:t>L</w:t>
      </w:r>
      <w:r w:rsidR="00D00A82">
        <w:rPr>
          <w:lang w:val="es-CO"/>
        </w:rPr>
        <w:t>as</w:t>
      </w:r>
      <w:r w:rsidR="00BB589F">
        <w:rPr>
          <w:lang w:val="es-CO"/>
        </w:rPr>
        <w:t xml:space="preserve"> declaraci</w:t>
      </w:r>
      <w:r w:rsidR="00D00A82">
        <w:rPr>
          <w:lang w:val="es-CO"/>
        </w:rPr>
        <w:t>ones</w:t>
      </w:r>
      <w:r w:rsidR="00BB589F">
        <w:rPr>
          <w:lang w:val="es-CO"/>
        </w:rPr>
        <w:t xml:space="preserve"> y </w:t>
      </w:r>
      <w:r w:rsidR="00F95460">
        <w:rPr>
          <w:lang w:val="es-CO"/>
        </w:rPr>
        <w:t>los</w:t>
      </w:r>
      <w:r w:rsidR="00BB589F">
        <w:rPr>
          <w:lang w:val="es-CO"/>
        </w:rPr>
        <w:t xml:space="preserve"> peritaje</w:t>
      </w:r>
      <w:r w:rsidR="00F95460">
        <w:rPr>
          <w:lang w:val="es-CO"/>
        </w:rPr>
        <w:t>s</w:t>
      </w:r>
      <w:r w:rsidRPr="00F15BAB">
        <w:rPr>
          <w:lang w:val="es-CO"/>
        </w:rPr>
        <w:t xml:space="preserve"> requeridos en el referido punto resolutivo </w:t>
      </w:r>
      <w:r w:rsidR="00D00A82">
        <w:rPr>
          <w:lang w:val="es-CO"/>
        </w:rPr>
        <w:t>3</w:t>
      </w:r>
      <w:r w:rsidRPr="00F15BAB">
        <w:rPr>
          <w:lang w:val="es-CO"/>
        </w:rPr>
        <w:t xml:space="preserve"> de la presente Resolución deberán ser presentados a más tardar el </w:t>
      </w:r>
      <w:r w:rsidR="00D64742" w:rsidRPr="00CF30C5">
        <w:rPr>
          <w:lang w:val="es-CO"/>
        </w:rPr>
        <w:t>29</w:t>
      </w:r>
      <w:r w:rsidRPr="00CF30C5">
        <w:rPr>
          <w:lang w:val="es-CO"/>
        </w:rPr>
        <w:t xml:space="preserve"> de </w:t>
      </w:r>
      <w:r w:rsidR="00D64742" w:rsidRPr="00CF30C5">
        <w:rPr>
          <w:lang w:val="es-CO"/>
        </w:rPr>
        <w:t>enero</w:t>
      </w:r>
      <w:r w:rsidRPr="00CF30C5">
        <w:rPr>
          <w:lang w:val="es-CO"/>
        </w:rPr>
        <w:t xml:space="preserve"> de 202</w:t>
      </w:r>
      <w:r w:rsidR="00D64742" w:rsidRPr="00CF30C5">
        <w:rPr>
          <w:lang w:val="es-CO"/>
        </w:rPr>
        <w:t>4</w:t>
      </w:r>
      <w:r w:rsidRPr="003744A4">
        <w:rPr>
          <w:lang w:val="es-CO"/>
        </w:rPr>
        <w:t>.</w:t>
      </w:r>
      <w:r w:rsidR="005C0F81" w:rsidRPr="00F15BAB">
        <w:t xml:space="preserve"> </w:t>
      </w:r>
    </w:p>
    <w:p w14:paraId="1BBB694A" w14:textId="77777777" w:rsidR="005C0F81" w:rsidRPr="00F15BAB" w:rsidRDefault="005C0F81" w:rsidP="00F95460"/>
    <w:p w14:paraId="2CE47A8C" w14:textId="7B56755E" w:rsidR="00471B69" w:rsidRPr="00F15BAB" w:rsidRDefault="00666842" w:rsidP="00471B69">
      <w:pPr>
        <w:pStyle w:val="Prrafodelista"/>
        <w:numPr>
          <w:ilvl w:val="0"/>
          <w:numId w:val="4"/>
        </w:numPr>
        <w:tabs>
          <w:tab w:val="left" w:pos="567"/>
        </w:tabs>
        <w:spacing w:line="240" w:lineRule="auto"/>
        <w:ind w:left="0" w:firstLine="0"/>
        <w:jc w:val="both"/>
        <w:rPr>
          <w:rFonts w:cs="Calibri"/>
          <w:color w:val="000000"/>
        </w:rPr>
      </w:pPr>
      <w:r w:rsidRPr="00F15BAB">
        <w:rPr>
          <w:lang w:val="es-CO"/>
        </w:rPr>
        <w:t xml:space="preserve">Disponer, conforme al artículo 50.6 del Reglamento que, una vez recibidas las declaraciones requeridas en el punto resolutivo </w:t>
      </w:r>
      <w:r w:rsidR="00D00A82">
        <w:rPr>
          <w:lang w:val="es-CO"/>
        </w:rPr>
        <w:t>3</w:t>
      </w:r>
      <w:r w:rsidRPr="00F15BAB">
        <w:rPr>
          <w:lang w:val="es-CO"/>
        </w:rPr>
        <w:t>, la Secretaría de la Corte Interamericana las transmita a las partes y a la Comisión para que, si lo estiman necesario, presenten sus observaciones a dichas declaraciones, a más tardar con sus alegatos u observaciones finales escritos, respectivamente.</w:t>
      </w:r>
      <w:r w:rsidR="005C0F81" w:rsidRPr="00F15BAB">
        <w:t xml:space="preserve"> </w:t>
      </w:r>
    </w:p>
    <w:p w14:paraId="543E1A09" w14:textId="77777777" w:rsidR="00471B69" w:rsidRPr="00F15BAB" w:rsidRDefault="00471B69" w:rsidP="00471B69">
      <w:pPr>
        <w:pStyle w:val="Prrafodelista"/>
      </w:pPr>
    </w:p>
    <w:p w14:paraId="39AC5BB2" w14:textId="631C3774" w:rsidR="00A17E67" w:rsidRPr="00A17E67" w:rsidRDefault="0036778A" w:rsidP="00A17E67">
      <w:pPr>
        <w:pStyle w:val="Prrafodelista"/>
        <w:numPr>
          <w:ilvl w:val="0"/>
          <w:numId w:val="4"/>
        </w:numPr>
        <w:tabs>
          <w:tab w:val="left" w:pos="567"/>
        </w:tabs>
        <w:spacing w:line="240" w:lineRule="auto"/>
        <w:ind w:left="0" w:firstLine="0"/>
        <w:jc w:val="both"/>
        <w:rPr>
          <w:rFonts w:cs="Calibri"/>
          <w:color w:val="000000"/>
        </w:rPr>
      </w:pPr>
      <w:r w:rsidRPr="00F15BAB">
        <w:t>Informar a</w:t>
      </w:r>
      <w:r w:rsidR="00D00A82">
        <w:t xml:space="preserve"> las partes </w:t>
      </w:r>
      <w:r w:rsidRPr="00F15BAB">
        <w:t>y a la Comisión que deben cubrir los gastos que ocasione la aportación de la prueba propuesta por ellos, de conformidad con lo dispuesto en el artículo 60 del Reglamento.</w:t>
      </w:r>
    </w:p>
    <w:p w14:paraId="244696AB" w14:textId="77777777" w:rsidR="00A17E67" w:rsidRPr="00A17E67" w:rsidRDefault="00A17E67" w:rsidP="00A17E67">
      <w:pPr>
        <w:rPr>
          <w:rFonts w:cs="Verdana"/>
          <w:color w:val="000000"/>
          <w:lang w:val="es-ES"/>
        </w:rPr>
      </w:pPr>
    </w:p>
    <w:p w14:paraId="3ADFA91B" w14:textId="743FDD7B" w:rsidR="005A2728" w:rsidRPr="00F15BAB" w:rsidRDefault="002C2A99" w:rsidP="002C2A99">
      <w:pPr>
        <w:pStyle w:val="Prrafodelista"/>
        <w:numPr>
          <w:ilvl w:val="0"/>
          <w:numId w:val="4"/>
        </w:numPr>
        <w:tabs>
          <w:tab w:val="left" w:pos="567"/>
        </w:tabs>
        <w:spacing w:line="240" w:lineRule="auto"/>
        <w:ind w:left="0" w:firstLine="0"/>
        <w:jc w:val="both"/>
        <w:rPr>
          <w:rFonts w:cs="Calibri"/>
          <w:color w:val="000000"/>
        </w:rPr>
      </w:pPr>
      <w:r w:rsidRPr="00F15BAB">
        <w:t xml:space="preserve">Requerir </w:t>
      </w:r>
      <w:r w:rsidR="00BB589F">
        <w:t>al representante</w:t>
      </w:r>
      <w:r w:rsidR="00623B55">
        <w:t xml:space="preserve"> y la Comisión</w:t>
      </w:r>
      <w:r w:rsidRPr="00F15BAB">
        <w:t xml:space="preserve"> que informe a la</w:t>
      </w:r>
      <w:r w:rsidR="00623B55">
        <w:t>s</w:t>
      </w:r>
      <w:r w:rsidRPr="00F15BAB">
        <w:t xml:space="preserve"> persona</w:t>
      </w:r>
      <w:r w:rsidR="00623B55">
        <w:t>s</w:t>
      </w:r>
      <w:r w:rsidRPr="00F15BAB">
        <w:t xml:space="preserve"> convocada</w:t>
      </w:r>
      <w:r w:rsidR="00623B55">
        <w:t>s</w:t>
      </w:r>
      <w:r w:rsidRPr="00F15BAB">
        <w:t xml:space="preserve">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2F71D5E9" w14:textId="77777777" w:rsidR="002C2A99" w:rsidRPr="00F15BAB" w:rsidRDefault="002C2A99" w:rsidP="002C2A99">
      <w:pPr>
        <w:pStyle w:val="Prrafodelista"/>
        <w:tabs>
          <w:tab w:val="left" w:pos="567"/>
        </w:tabs>
        <w:spacing w:line="240" w:lineRule="auto"/>
        <w:ind w:left="0"/>
        <w:jc w:val="both"/>
        <w:rPr>
          <w:rFonts w:cs="Calibri"/>
          <w:color w:val="000000"/>
        </w:rPr>
      </w:pPr>
    </w:p>
    <w:p w14:paraId="337A6027" w14:textId="093919FD" w:rsidR="005C0F81" w:rsidRPr="00F15BAB" w:rsidRDefault="005C0F81" w:rsidP="006A3E5B">
      <w:pPr>
        <w:pStyle w:val="Prrafodelista"/>
        <w:numPr>
          <w:ilvl w:val="0"/>
          <w:numId w:val="4"/>
        </w:numPr>
        <w:tabs>
          <w:tab w:val="left" w:pos="567"/>
        </w:tabs>
        <w:spacing w:line="240" w:lineRule="auto"/>
        <w:ind w:left="0" w:firstLine="0"/>
        <w:jc w:val="both"/>
      </w:pPr>
      <w:r w:rsidRPr="00F15BAB">
        <w:t xml:space="preserve">Informar </w:t>
      </w:r>
      <w:r w:rsidR="007A0CCC" w:rsidRPr="00F15BAB">
        <w:t xml:space="preserve">a las partes y a la Comisión </w:t>
      </w:r>
      <w:r w:rsidRPr="00F15BAB">
        <w:t>que, al término de la</w:t>
      </w:r>
      <w:r w:rsidR="00FC7402">
        <w:t>s</w:t>
      </w:r>
      <w:r w:rsidRPr="00F15BAB">
        <w:t xml:space="preserve"> declaraci</w:t>
      </w:r>
      <w:r w:rsidR="00FC7402">
        <w:t>o</w:t>
      </w:r>
      <w:r w:rsidRPr="00F15BAB">
        <w:t>n</w:t>
      </w:r>
      <w:r w:rsidR="00FC7402">
        <w:t>es</w:t>
      </w:r>
      <w:r w:rsidRPr="00F15BAB">
        <w:t xml:space="preserve"> rendida</w:t>
      </w:r>
      <w:r w:rsidR="00FC7402">
        <w:t>s</w:t>
      </w:r>
      <w:r w:rsidRPr="00F15BAB">
        <w:t xml:space="preserve"> en la audiencia pública, podrán presentar ante el Tribunal sus alegatos finales orales y observaciones finales orales, respectivamente, sobre </w:t>
      </w:r>
      <w:r w:rsidR="003744A4">
        <w:t>la excepción preliminar, y eventuales</w:t>
      </w:r>
      <w:r w:rsidR="003744A4" w:rsidRPr="00F15BAB">
        <w:t xml:space="preserve"> </w:t>
      </w:r>
      <w:r w:rsidR="00C47D16" w:rsidRPr="00F15BAB">
        <w:t>fondo</w:t>
      </w:r>
      <w:r w:rsidR="003744A4">
        <w:t>,</w:t>
      </w:r>
      <w:r w:rsidR="00CF30C5">
        <w:t xml:space="preserve"> </w:t>
      </w:r>
      <w:r w:rsidRPr="00F15BAB">
        <w:t>reparaciones y costas en el presente caso.</w:t>
      </w:r>
    </w:p>
    <w:p w14:paraId="45C23855" w14:textId="77777777" w:rsidR="006A3E5B" w:rsidRPr="00F15BAB" w:rsidRDefault="006A3E5B" w:rsidP="006A3E5B"/>
    <w:p w14:paraId="79BC762A" w14:textId="538D178C" w:rsidR="005C0F81" w:rsidRPr="00F15BAB" w:rsidRDefault="005C0F81" w:rsidP="005C0F81">
      <w:pPr>
        <w:pStyle w:val="Prrafodelista"/>
        <w:numPr>
          <w:ilvl w:val="0"/>
          <w:numId w:val="4"/>
        </w:numPr>
        <w:tabs>
          <w:tab w:val="left" w:pos="567"/>
        </w:tabs>
        <w:spacing w:line="240" w:lineRule="auto"/>
        <w:ind w:left="0" w:firstLine="0"/>
        <w:jc w:val="both"/>
      </w:pPr>
      <w:r w:rsidRPr="00F15BAB">
        <w:t xml:space="preserve">Disponer que la Secretaría de la Corte, de conformidad con lo dispuesto en el artículo 55.3 del Reglamento, indique a </w:t>
      </w:r>
      <w:r w:rsidR="007A0CCC" w:rsidRPr="00F15BAB">
        <w:t xml:space="preserve">las partes y a la Comisión </w:t>
      </w:r>
      <w:r w:rsidRPr="00F15BAB">
        <w:t xml:space="preserve">el enlace donde se encontrará disponible la grabación de la audiencia pública </w:t>
      </w:r>
      <w:r w:rsidR="003744A4">
        <w:t xml:space="preserve">sobre la excepción preliminar, y eventuales </w:t>
      </w:r>
      <w:r w:rsidR="003744A4">
        <w:lastRenderedPageBreak/>
        <w:t>fondo,</w:t>
      </w:r>
      <w:r w:rsidR="00CF30C5">
        <w:t xml:space="preserve"> </w:t>
      </w:r>
      <w:r w:rsidR="00C47D16" w:rsidRPr="00F15BAB">
        <w:t>reparaciones y costas</w:t>
      </w:r>
      <w:r w:rsidRPr="00F15BAB">
        <w:t xml:space="preserve">, a la brevedad posible luego de la celebración de la referida audiencia. </w:t>
      </w:r>
    </w:p>
    <w:p w14:paraId="5892AE2C" w14:textId="77777777" w:rsidR="005C0F81" w:rsidRPr="00F15BAB" w:rsidRDefault="005C0F81" w:rsidP="003F6FFE"/>
    <w:p w14:paraId="27080886" w14:textId="503EF9A4" w:rsidR="003F6FFE" w:rsidRPr="008C7FC4" w:rsidRDefault="005C0F81" w:rsidP="00CA27DE">
      <w:pPr>
        <w:pStyle w:val="Prrafodelista"/>
        <w:numPr>
          <w:ilvl w:val="0"/>
          <w:numId w:val="4"/>
        </w:numPr>
        <w:tabs>
          <w:tab w:val="left" w:pos="567"/>
        </w:tabs>
        <w:spacing w:line="240" w:lineRule="auto"/>
        <w:ind w:left="0" w:firstLine="0"/>
        <w:jc w:val="both"/>
      </w:pPr>
      <w:r w:rsidRPr="008C7FC4">
        <w:t xml:space="preserve">Informar a </w:t>
      </w:r>
      <w:r w:rsidR="007A0CCC" w:rsidRPr="008C7FC4">
        <w:t xml:space="preserve">las partes y a la Comisión </w:t>
      </w:r>
      <w:r w:rsidRPr="008C7FC4">
        <w:t xml:space="preserve">que, en los términos del artículo 56 del Reglamento, cuentan con plazo hasta </w:t>
      </w:r>
      <w:r w:rsidRPr="003744A4">
        <w:t xml:space="preserve">el </w:t>
      </w:r>
      <w:r w:rsidR="00486164" w:rsidRPr="00CF30C5">
        <w:t>8</w:t>
      </w:r>
      <w:r w:rsidR="00672FBF" w:rsidRPr="00CF30C5">
        <w:t xml:space="preserve"> </w:t>
      </w:r>
      <w:r w:rsidRPr="00CF30C5">
        <w:t>de</w:t>
      </w:r>
      <w:r w:rsidR="00D02DDD" w:rsidRPr="00CF30C5">
        <w:t xml:space="preserve"> </w:t>
      </w:r>
      <w:r w:rsidR="00D64742" w:rsidRPr="00CF30C5">
        <w:t>marzo</w:t>
      </w:r>
      <w:r w:rsidR="0011736D" w:rsidRPr="00CF30C5">
        <w:t xml:space="preserve"> de</w:t>
      </w:r>
      <w:r w:rsidRPr="00CF30C5">
        <w:t xml:space="preserve"> </w:t>
      </w:r>
      <w:r w:rsidR="003F0F99" w:rsidRPr="00CF30C5">
        <w:t>202</w:t>
      </w:r>
      <w:r w:rsidR="00D64742" w:rsidRPr="00CF30C5">
        <w:t>4</w:t>
      </w:r>
      <w:r w:rsidRPr="003744A4">
        <w:t>,</w:t>
      </w:r>
      <w:r w:rsidRPr="008C7FC4">
        <w:t xml:space="preserve"> para presentar sus alegatos finales escritos y observaciones finales escritas, respectivamente, en relación con</w:t>
      </w:r>
      <w:r w:rsidR="006A3E5B" w:rsidRPr="008C7FC4">
        <w:t xml:space="preserve"> </w:t>
      </w:r>
      <w:r w:rsidR="003744A4">
        <w:t>la excepción preliminar, y eventuales</w:t>
      </w:r>
      <w:r w:rsidR="003744A4" w:rsidRPr="008C7FC4">
        <w:t xml:space="preserve"> </w:t>
      </w:r>
      <w:r w:rsidR="00C47D16" w:rsidRPr="008C7FC4">
        <w:t>fondo</w:t>
      </w:r>
      <w:r w:rsidR="003744A4">
        <w:t>,</w:t>
      </w:r>
      <w:r w:rsidR="00FC7402">
        <w:t xml:space="preserve"> </w:t>
      </w:r>
      <w:r w:rsidR="00C47D16" w:rsidRPr="008C7FC4">
        <w:t>reparaciones y costas</w:t>
      </w:r>
      <w:r w:rsidRPr="008C7FC4">
        <w:t xml:space="preserve"> en el presente caso. Este plazo es improrrogable.</w:t>
      </w:r>
    </w:p>
    <w:p w14:paraId="4B7DE679" w14:textId="77777777" w:rsidR="003F6FFE" w:rsidRPr="00F15BAB" w:rsidRDefault="003F6FFE" w:rsidP="00CA27DE">
      <w:pPr>
        <w:pStyle w:val="Prrafodelista"/>
        <w:tabs>
          <w:tab w:val="left" w:pos="567"/>
        </w:tabs>
        <w:spacing w:line="240" w:lineRule="auto"/>
        <w:ind w:left="0"/>
        <w:jc w:val="both"/>
      </w:pPr>
    </w:p>
    <w:p w14:paraId="7180BE18" w14:textId="15CE46F3" w:rsidR="00563E96" w:rsidRPr="00F15BAB" w:rsidRDefault="005C0F81" w:rsidP="005643E0">
      <w:pPr>
        <w:pStyle w:val="Prrafodelista"/>
        <w:numPr>
          <w:ilvl w:val="0"/>
          <w:numId w:val="4"/>
        </w:numPr>
        <w:tabs>
          <w:tab w:val="left" w:pos="567"/>
        </w:tabs>
        <w:spacing w:line="240" w:lineRule="auto"/>
        <w:ind w:left="0" w:firstLine="0"/>
        <w:jc w:val="both"/>
      </w:pPr>
      <w:r w:rsidRPr="00F15BAB">
        <w:t xml:space="preserve">Disponer que la Secretaría de la Corte Interamericana notifique la presente Resolución a la Comisión Interamericana de Derechos Humanos, </w:t>
      </w:r>
      <w:r w:rsidR="00192960">
        <w:t>a</w:t>
      </w:r>
      <w:r w:rsidR="00572980">
        <w:t>l representante</w:t>
      </w:r>
      <w:r w:rsidR="00BD1F0D" w:rsidRPr="00F15BAB">
        <w:t xml:space="preserve"> </w:t>
      </w:r>
      <w:r w:rsidRPr="00F15BAB">
        <w:t>de la pr</w:t>
      </w:r>
      <w:r w:rsidR="007A0CCC" w:rsidRPr="00F15BAB">
        <w:t>esunta víctima y a</w:t>
      </w:r>
      <w:r w:rsidR="005A2728" w:rsidRPr="00F15BAB">
        <w:t xml:space="preserve">l Estado de </w:t>
      </w:r>
      <w:r w:rsidR="00D64742">
        <w:t>Venezuela</w:t>
      </w:r>
      <w:r w:rsidRPr="00F15BAB">
        <w:t>.</w:t>
      </w:r>
    </w:p>
    <w:p w14:paraId="66CE2F1C" w14:textId="7F4639D7" w:rsidR="00572980" w:rsidRDefault="00572980">
      <w:pPr>
        <w:spacing w:after="200"/>
      </w:pPr>
      <w:r>
        <w:br w:type="page"/>
      </w:r>
    </w:p>
    <w:p w14:paraId="206DE807" w14:textId="011107D6" w:rsidR="00F01944" w:rsidRDefault="00F01944" w:rsidP="00F01944">
      <w:pPr>
        <w:jc w:val="both"/>
        <w:rPr>
          <w:rFonts w:cs="Arial"/>
        </w:rPr>
      </w:pPr>
      <w:r w:rsidRPr="00CF30C5">
        <w:rPr>
          <w:rFonts w:cs="Arial"/>
          <w:lang w:val="es-ES"/>
        </w:rPr>
        <w:lastRenderedPageBreak/>
        <w:t xml:space="preserve">Corte IDH. </w:t>
      </w:r>
      <w:r w:rsidRPr="00CF30C5">
        <w:rPr>
          <w:rFonts w:cs="Arial"/>
          <w:i/>
          <w:lang w:val="es-ES"/>
        </w:rPr>
        <w:t xml:space="preserve">Caso </w:t>
      </w:r>
      <w:r w:rsidR="00D64742" w:rsidRPr="00CF30C5">
        <w:rPr>
          <w:rFonts w:cs="Arial"/>
          <w:i/>
          <w:iCs/>
          <w:lang w:val="es-ES"/>
        </w:rPr>
        <w:t xml:space="preserve">Capriles </w:t>
      </w:r>
      <w:r w:rsidR="00572980" w:rsidRPr="00CF30C5">
        <w:rPr>
          <w:rFonts w:cs="Arial"/>
          <w:i/>
          <w:iCs/>
          <w:lang w:val="es-ES"/>
        </w:rPr>
        <w:t xml:space="preserve">Vs. </w:t>
      </w:r>
      <w:r w:rsidR="00D64742" w:rsidRPr="00D64742">
        <w:rPr>
          <w:rFonts w:cs="Arial"/>
          <w:i/>
          <w:iCs/>
          <w:lang w:val="es-ES"/>
        </w:rPr>
        <w:t>Venezuela</w:t>
      </w:r>
      <w:r w:rsidRPr="00D64742">
        <w:rPr>
          <w:rFonts w:cs="Arial"/>
          <w:iCs/>
          <w:lang w:val="es-ES"/>
        </w:rPr>
        <w:t xml:space="preserve">. </w:t>
      </w:r>
      <w:r w:rsidRPr="00716EB6">
        <w:rPr>
          <w:rFonts w:cs="Arial"/>
          <w:iCs/>
        </w:rPr>
        <w:t>Resolución</w:t>
      </w:r>
      <w:r>
        <w:rPr>
          <w:rFonts w:cs="Arial"/>
        </w:rPr>
        <w:t xml:space="preserve"> del </w:t>
      </w:r>
      <w:proofErr w:type="gramStart"/>
      <w:r>
        <w:rPr>
          <w:rFonts w:cs="Arial"/>
        </w:rPr>
        <w:t>Presidente</w:t>
      </w:r>
      <w:proofErr w:type="gramEnd"/>
      <w:r>
        <w:rPr>
          <w:rFonts w:cs="Arial"/>
        </w:rPr>
        <w:t xml:space="preserve"> </w:t>
      </w:r>
      <w:r w:rsidRPr="00716EB6">
        <w:rPr>
          <w:rFonts w:cs="Arial"/>
        </w:rPr>
        <w:t xml:space="preserve">de la Corte Interamericana de Derechos Humanos de </w:t>
      </w:r>
      <w:r w:rsidR="003744A4">
        <w:rPr>
          <w:rFonts w:cs="Arial"/>
        </w:rPr>
        <w:t>5</w:t>
      </w:r>
      <w:r w:rsidR="003744A4" w:rsidRPr="00386050">
        <w:rPr>
          <w:rFonts w:cs="Arial"/>
        </w:rPr>
        <w:t xml:space="preserve"> </w:t>
      </w:r>
      <w:r w:rsidRPr="00386050">
        <w:rPr>
          <w:rFonts w:cs="Arial"/>
        </w:rPr>
        <w:t xml:space="preserve">de </w:t>
      </w:r>
      <w:r w:rsidR="00D64742">
        <w:rPr>
          <w:rFonts w:cs="Arial"/>
        </w:rPr>
        <w:t>diciembre</w:t>
      </w:r>
      <w:r w:rsidRPr="00386050">
        <w:rPr>
          <w:rFonts w:cs="Arial"/>
        </w:rPr>
        <w:t xml:space="preserve"> de 202</w:t>
      </w:r>
      <w:r w:rsidR="00D64742">
        <w:rPr>
          <w:rFonts w:cs="Arial"/>
        </w:rPr>
        <w:t>3</w:t>
      </w:r>
      <w:r w:rsidRPr="00386050">
        <w:rPr>
          <w:rFonts w:cs="Arial"/>
        </w:rPr>
        <w:t>.</w:t>
      </w:r>
    </w:p>
    <w:p w14:paraId="336B0C71" w14:textId="4B752F95" w:rsidR="00F01944" w:rsidRDefault="00F01944" w:rsidP="00F01944"/>
    <w:p w14:paraId="2CC911DC" w14:textId="77777777" w:rsidR="00F01944" w:rsidRDefault="00F01944" w:rsidP="00F01944"/>
    <w:p w14:paraId="06423CFA" w14:textId="07F5786A" w:rsidR="00ED0369" w:rsidRDefault="00ED0369" w:rsidP="00F01944"/>
    <w:p w14:paraId="1E3ADDFD" w14:textId="36AD7B4B" w:rsidR="00C11C94" w:rsidRDefault="00C11C94" w:rsidP="00F01944"/>
    <w:p w14:paraId="04D47C86" w14:textId="6792C38C" w:rsidR="00ED0369" w:rsidRDefault="00ED0369" w:rsidP="00F01944"/>
    <w:p w14:paraId="2D21808D" w14:textId="69AF3BCC" w:rsidR="00F01944" w:rsidRDefault="00F01944" w:rsidP="00F01944"/>
    <w:p w14:paraId="794D791C" w14:textId="04EF3FB1" w:rsidR="00F01944" w:rsidRPr="00CD72B7" w:rsidRDefault="00F01944" w:rsidP="00F01944">
      <w:pPr>
        <w:ind w:left="6237"/>
        <w:jc w:val="center"/>
      </w:pPr>
      <w:r>
        <w:t>Ricardo C. Pérez Manrique</w:t>
      </w:r>
    </w:p>
    <w:p w14:paraId="2C2C29D9" w14:textId="09800921" w:rsidR="00F01944" w:rsidRPr="004B5595" w:rsidRDefault="00F01944" w:rsidP="00F01944">
      <w:pPr>
        <w:ind w:left="6237" w:right="48"/>
        <w:jc w:val="center"/>
      </w:pPr>
      <w:r>
        <w:t>Presidente</w:t>
      </w:r>
    </w:p>
    <w:p w14:paraId="354E3B48" w14:textId="3190624A" w:rsidR="00F01944" w:rsidRDefault="00F01944" w:rsidP="00F01944"/>
    <w:p w14:paraId="1544FDA5" w14:textId="6F192FB4" w:rsidR="00F01944" w:rsidRDefault="00F01944" w:rsidP="00F01944"/>
    <w:p w14:paraId="3A2BC88E" w14:textId="59C272CE" w:rsidR="00F01944" w:rsidRDefault="00F01944" w:rsidP="00F01944"/>
    <w:p w14:paraId="3F3D4316" w14:textId="60EF01A5" w:rsidR="00F01944" w:rsidRDefault="00F01944" w:rsidP="00F01944"/>
    <w:p w14:paraId="12C3572B" w14:textId="77777777" w:rsidR="00F01944" w:rsidRDefault="00F01944" w:rsidP="00F01944">
      <w:pPr>
        <w:tabs>
          <w:tab w:val="left" w:pos="8460"/>
          <w:tab w:val="left" w:pos="8640"/>
        </w:tabs>
      </w:pPr>
    </w:p>
    <w:p w14:paraId="279588CB" w14:textId="3E233A21" w:rsidR="00F01944" w:rsidRPr="0035522A" w:rsidRDefault="00F01944" w:rsidP="00F01944">
      <w:r>
        <w:tab/>
      </w:r>
      <w:r w:rsidR="000142EB">
        <w:t>Romina I. Sijniensky</w:t>
      </w:r>
    </w:p>
    <w:p w14:paraId="2EADA5CB" w14:textId="610F92B8" w:rsidR="00F01944" w:rsidRDefault="00F01944" w:rsidP="00F01944">
      <w:r w:rsidRPr="0035522A">
        <w:tab/>
      </w:r>
      <w:r w:rsidR="00DB075A" w:rsidRPr="0035522A">
        <w:t xml:space="preserve"> </w:t>
      </w:r>
      <w:r w:rsidRPr="0035522A">
        <w:t>Secretari</w:t>
      </w:r>
      <w:r w:rsidR="000142EB">
        <w:t>a Adjunta</w:t>
      </w:r>
    </w:p>
    <w:p w14:paraId="56BE329D" w14:textId="3F84C10D" w:rsidR="00F01944" w:rsidRDefault="00F01944" w:rsidP="00F01944"/>
    <w:p w14:paraId="2EBA0946" w14:textId="54EE9CC6" w:rsidR="00F01944" w:rsidRDefault="00F01944" w:rsidP="00F01944"/>
    <w:p w14:paraId="32D03A71" w14:textId="4B731D23" w:rsidR="00F01944" w:rsidRDefault="00F01944" w:rsidP="00F01944"/>
    <w:p w14:paraId="795EE1C8" w14:textId="34480B3F" w:rsidR="00F01944" w:rsidRDefault="00F01944" w:rsidP="00F01944">
      <w:pPr>
        <w:tabs>
          <w:tab w:val="left" w:pos="8460"/>
          <w:tab w:val="left" w:pos="8640"/>
        </w:tabs>
      </w:pPr>
      <w:r>
        <w:t>Comuníquese y ejecútese,</w:t>
      </w:r>
    </w:p>
    <w:p w14:paraId="4808A29A" w14:textId="279537A8" w:rsidR="00F01944" w:rsidRDefault="00F01944" w:rsidP="00F01944"/>
    <w:p w14:paraId="0E52CBFC" w14:textId="089FF957" w:rsidR="00F01944" w:rsidRDefault="00F01944" w:rsidP="00F01944"/>
    <w:p w14:paraId="272F4BE4" w14:textId="0295E4B1" w:rsidR="00F01944" w:rsidRDefault="00F01944" w:rsidP="00F01944"/>
    <w:p w14:paraId="4DB0F891" w14:textId="77777777" w:rsidR="00F01944" w:rsidRPr="00CD72B7" w:rsidRDefault="00F01944" w:rsidP="00F01944">
      <w:pPr>
        <w:ind w:left="6237"/>
        <w:jc w:val="center"/>
      </w:pPr>
      <w:r>
        <w:t>Ricardo C. Pérez Manrique</w:t>
      </w:r>
    </w:p>
    <w:p w14:paraId="193CB5E2" w14:textId="7F5C245F" w:rsidR="00F01944" w:rsidRPr="004B5595" w:rsidRDefault="00F01944" w:rsidP="00F01944">
      <w:pPr>
        <w:ind w:left="6237" w:right="48"/>
        <w:jc w:val="center"/>
      </w:pPr>
      <w:r>
        <w:t>Presidente</w:t>
      </w:r>
    </w:p>
    <w:p w14:paraId="491A6576" w14:textId="691F6B01" w:rsidR="00F01944" w:rsidRDefault="00F01944" w:rsidP="00F01944">
      <w:pPr>
        <w:tabs>
          <w:tab w:val="left" w:pos="8460"/>
          <w:tab w:val="left" w:pos="8640"/>
        </w:tabs>
      </w:pPr>
    </w:p>
    <w:p w14:paraId="14B328DA" w14:textId="58B1958D" w:rsidR="00F01944" w:rsidRDefault="00F01944" w:rsidP="00F01944">
      <w:pPr>
        <w:tabs>
          <w:tab w:val="left" w:pos="8460"/>
          <w:tab w:val="left" w:pos="8640"/>
        </w:tabs>
      </w:pPr>
    </w:p>
    <w:p w14:paraId="3832E386" w14:textId="78FA015C" w:rsidR="00F01944" w:rsidRDefault="00F01944" w:rsidP="00F01944">
      <w:pPr>
        <w:tabs>
          <w:tab w:val="left" w:pos="8460"/>
          <w:tab w:val="left" w:pos="8640"/>
        </w:tabs>
      </w:pPr>
    </w:p>
    <w:p w14:paraId="134F6B97" w14:textId="2278609D" w:rsidR="00F01944" w:rsidRDefault="00F01944" w:rsidP="00F01944">
      <w:pPr>
        <w:tabs>
          <w:tab w:val="left" w:pos="8460"/>
          <w:tab w:val="left" w:pos="8640"/>
        </w:tabs>
      </w:pPr>
    </w:p>
    <w:p w14:paraId="68DF4683" w14:textId="77777777" w:rsidR="00F01944" w:rsidRDefault="00F01944" w:rsidP="00F01944">
      <w:pPr>
        <w:tabs>
          <w:tab w:val="left" w:pos="8460"/>
          <w:tab w:val="left" w:pos="8640"/>
        </w:tabs>
      </w:pPr>
    </w:p>
    <w:p w14:paraId="46F154C4" w14:textId="77777777" w:rsidR="000142EB" w:rsidRPr="0035522A" w:rsidRDefault="000142EB" w:rsidP="000142EB">
      <w:pPr>
        <w:ind w:firstLine="720"/>
      </w:pPr>
      <w:r>
        <w:t>Romina I. Sijniensky</w:t>
      </w:r>
    </w:p>
    <w:p w14:paraId="1BA51B80" w14:textId="334DBB05" w:rsidR="0035522A" w:rsidRDefault="000142EB" w:rsidP="000142EB">
      <w:r w:rsidRPr="0035522A">
        <w:tab/>
        <w:t xml:space="preserve"> Secretari</w:t>
      </w:r>
      <w:r>
        <w:t>a Adjunta</w:t>
      </w:r>
    </w:p>
    <w:p w14:paraId="31CE7FA0" w14:textId="026D0B4B" w:rsidR="00F01944" w:rsidRDefault="00F01944" w:rsidP="00DB075A"/>
    <w:sectPr w:rsidR="00F01944" w:rsidSect="00CF30C5">
      <w:headerReference w:type="even" r:id="rId8"/>
      <w:headerReference w:type="default" r:id="rId9"/>
      <w:pgSz w:w="12240" w:h="15840"/>
      <w:pgMar w:top="1440"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BDB19" w14:textId="77777777" w:rsidR="004B56FB" w:rsidRDefault="004B56FB" w:rsidP="00E97AA8">
      <w:r>
        <w:separator/>
      </w:r>
    </w:p>
    <w:p w14:paraId="30414512" w14:textId="77777777" w:rsidR="004B56FB" w:rsidRDefault="004B56FB" w:rsidP="00E97AA8"/>
  </w:endnote>
  <w:endnote w:type="continuationSeparator" w:id="0">
    <w:p w14:paraId="498908A3" w14:textId="77777777" w:rsidR="004B56FB" w:rsidRDefault="004B56FB" w:rsidP="00E97AA8">
      <w:r>
        <w:continuationSeparator/>
      </w:r>
    </w:p>
    <w:p w14:paraId="291D4216" w14:textId="77777777" w:rsidR="004B56FB" w:rsidRDefault="004B56FB" w:rsidP="00E97AA8"/>
  </w:endnote>
  <w:endnote w:type="continuationNotice" w:id="1">
    <w:p w14:paraId="74CAE517" w14:textId="77777777" w:rsidR="004B56FB" w:rsidRDefault="004B56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DBE96" w14:textId="77777777" w:rsidR="004B56FB" w:rsidRDefault="004B56FB" w:rsidP="00E97AA8">
      <w:r>
        <w:separator/>
      </w:r>
    </w:p>
  </w:footnote>
  <w:footnote w:type="continuationSeparator" w:id="0">
    <w:p w14:paraId="21E7CD7C" w14:textId="77777777" w:rsidR="004B56FB" w:rsidRDefault="004B56FB" w:rsidP="00E97AA8">
      <w:r>
        <w:continuationSeparator/>
      </w:r>
    </w:p>
    <w:p w14:paraId="54C2DD8B" w14:textId="77777777" w:rsidR="004B56FB" w:rsidRDefault="004B56FB" w:rsidP="00E97AA8"/>
  </w:footnote>
  <w:footnote w:type="continuationNotice" w:id="1">
    <w:p w14:paraId="47772031" w14:textId="77777777" w:rsidR="004B56FB" w:rsidRDefault="004B56FB">
      <w:pPr>
        <w:spacing w:line="240" w:lineRule="auto"/>
      </w:pPr>
    </w:p>
  </w:footnote>
  <w:footnote w:id="2">
    <w:p w14:paraId="27F01F2C" w14:textId="33CFE207" w:rsidR="00BB6DAC" w:rsidRPr="002448D5" w:rsidRDefault="00BB6DAC" w:rsidP="00FC64A0">
      <w:pPr>
        <w:pStyle w:val="Textonotapie"/>
        <w:spacing w:before="120" w:after="120"/>
        <w:jc w:val="both"/>
        <w:rPr>
          <w:rStyle w:val="FootnotesChar"/>
        </w:rPr>
      </w:pPr>
      <w:r w:rsidRPr="002448D5">
        <w:rPr>
          <w:rStyle w:val="FootnotesChar"/>
          <w:vertAlign w:val="superscript"/>
        </w:rPr>
        <w:footnoteRef/>
      </w:r>
      <w:r w:rsidRPr="002448D5">
        <w:rPr>
          <w:sz w:val="16"/>
          <w:szCs w:val="16"/>
        </w:rPr>
        <w:t xml:space="preserve"> </w:t>
      </w:r>
      <w:r w:rsidRPr="002448D5">
        <w:rPr>
          <w:sz w:val="16"/>
          <w:szCs w:val="16"/>
        </w:rPr>
        <w:tab/>
      </w:r>
      <w:r w:rsidR="00711E3E">
        <w:rPr>
          <w:rStyle w:val="FootnotesChar"/>
        </w:rPr>
        <w:t>La representación del Estado es ejercida por el agente Larry Devoe Márquez</w:t>
      </w:r>
      <w:r w:rsidR="00CB08EB">
        <w:rPr>
          <w:rStyle w:val="FootnotesChar"/>
          <w:lang w:val="es-ES_tradnl"/>
        </w:rPr>
        <w:t>.</w:t>
      </w:r>
    </w:p>
  </w:footnote>
  <w:footnote w:id="3">
    <w:p w14:paraId="797E1B37" w14:textId="77777777" w:rsidR="00930E7F" w:rsidRPr="002448D5" w:rsidRDefault="00930E7F" w:rsidP="00930E7F">
      <w:pPr>
        <w:pStyle w:val="Textonotapie"/>
        <w:spacing w:before="120" w:after="120"/>
        <w:jc w:val="both"/>
        <w:rPr>
          <w:rStyle w:val="FootnotesChar"/>
        </w:rPr>
      </w:pPr>
      <w:r w:rsidRPr="002448D5">
        <w:rPr>
          <w:rStyle w:val="FootnotesChar"/>
          <w:vertAlign w:val="superscript"/>
        </w:rPr>
        <w:footnoteRef/>
      </w:r>
      <w:r w:rsidRPr="002448D5">
        <w:rPr>
          <w:sz w:val="16"/>
          <w:szCs w:val="16"/>
        </w:rPr>
        <w:t xml:space="preserve"> </w:t>
      </w:r>
      <w:r w:rsidRPr="002448D5">
        <w:rPr>
          <w:sz w:val="16"/>
          <w:szCs w:val="16"/>
        </w:rPr>
        <w:tab/>
      </w:r>
      <w:r w:rsidRPr="002448D5">
        <w:rPr>
          <w:rStyle w:val="FootnotesChar"/>
        </w:rPr>
        <w:t xml:space="preserve">La representación de la presunta víctima es ejercida por </w:t>
      </w:r>
      <w:r>
        <w:rPr>
          <w:rStyle w:val="FootnotesChar"/>
        </w:rPr>
        <w:t>Ramón José Medina</w:t>
      </w:r>
      <w:r>
        <w:rPr>
          <w:rStyle w:val="FootnotesChar"/>
          <w:lang w:val="es-ES_tradnl"/>
        </w:rPr>
        <w:t>.</w:t>
      </w:r>
    </w:p>
  </w:footnote>
  <w:footnote w:id="4">
    <w:p w14:paraId="7AE7CFAD" w14:textId="1616DEA3" w:rsidR="004F5C9C" w:rsidRPr="002448D5" w:rsidRDefault="004F5C9C" w:rsidP="00FC64A0">
      <w:pPr>
        <w:pStyle w:val="Textonotapie"/>
        <w:spacing w:before="120" w:after="120"/>
        <w:jc w:val="both"/>
        <w:rPr>
          <w:sz w:val="16"/>
          <w:szCs w:val="16"/>
        </w:rPr>
      </w:pPr>
      <w:r w:rsidRPr="002448D5">
        <w:rPr>
          <w:rStyle w:val="Refdenotaalpie"/>
        </w:rPr>
        <w:footnoteRef/>
      </w:r>
      <w:r w:rsidRPr="002448D5">
        <w:rPr>
          <w:sz w:val="16"/>
          <w:szCs w:val="16"/>
        </w:rPr>
        <w:t xml:space="preserve">  </w:t>
      </w:r>
      <w:r w:rsidRPr="002448D5">
        <w:rPr>
          <w:sz w:val="16"/>
          <w:szCs w:val="16"/>
        </w:rPr>
        <w:tab/>
      </w:r>
      <w:r w:rsidR="007645C7" w:rsidRPr="002448D5">
        <w:rPr>
          <w:sz w:val="16"/>
          <w:szCs w:val="16"/>
        </w:rPr>
        <w:t xml:space="preserve">La Comisión ofreció </w:t>
      </w:r>
      <w:r w:rsidR="00682CBD">
        <w:rPr>
          <w:sz w:val="16"/>
          <w:szCs w:val="16"/>
        </w:rPr>
        <w:t>la declaración pericial</w:t>
      </w:r>
      <w:r w:rsidR="007645C7" w:rsidRPr="002448D5">
        <w:rPr>
          <w:sz w:val="16"/>
          <w:szCs w:val="16"/>
        </w:rPr>
        <w:t xml:space="preserve"> de </w:t>
      </w:r>
      <w:r w:rsidR="009F3868">
        <w:rPr>
          <w:sz w:val="16"/>
          <w:szCs w:val="16"/>
        </w:rPr>
        <w:t>Pedro Salazar Ugarte</w:t>
      </w:r>
      <w:r w:rsidRPr="002448D5">
        <w:rPr>
          <w:sz w:val="16"/>
          <w:szCs w:val="16"/>
        </w:rPr>
        <w:t xml:space="preserve">. </w:t>
      </w:r>
    </w:p>
  </w:footnote>
  <w:footnote w:id="5">
    <w:p w14:paraId="7B423FCF" w14:textId="20210F2F" w:rsidR="00C8722B" w:rsidRPr="002448D5" w:rsidRDefault="00C8722B" w:rsidP="00FC64A0">
      <w:pPr>
        <w:pStyle w:val="Textonotapie"/>
        <w:spacing w:before="120" w:after="120"/>
        <w:jc w:val="both"/>
        <w:rPr>
          <w:sz w:val="16"/>
          <w:szCs w:val="16"/>
        </w:rPr>
      </w:pPr>
      <w:r w:rsidRPr="002448D5">
        <w:rPr>
          <w:rStyle w:val="Refdenotaalpie"/>
        </w:rPr>
        <w:footnoteRef/>
      </w:r>
      <w:r w:rsidRPr="002448D5">
        <w:rPr>
          <w:sz w:val="16"/>
          <w:szCs w:val="16"/>
        </w:rPr>
        <w:t xml:space="preserve"> </w:t>
      </w:r>
      <w:r w:rsidR="00FF1C4B" w:rsidRPr="002448D5">
        <w:rPr>
          <w:sz w:val="16"/>
          <w:szCs w:val="16"/>
        </w:rPr>
        <w:t xml:space="preserve"> </w:t>
      </w:r>
      <w:r w:rsidR="00FF1C4B" w:rsidRPr="002448D5">
        <w:rPr>
          <w:sz w:val="16"/>
          <w:szCs w:val="16"/>
        </w:rPr>
        <w:tab/>
      </w:r>
      <w:r w:rsidR="00682CBD">
        <w:rPr>
          <w:sz w:val="16"/>
          <w:szCs w:val="16"/>
        </w:rPr>
        <w:t xml:space="preserve">El </w:t>
      </w:r>
      <w:r w:rsidR="009F3868">
        <w:rPr>
          <w:sz w:val="16"/>
          <w:szCs w:val="16"/>
        </w:rPr>
        <w:t>Estado</w:t>
      </w:r>
      <w:r w:rsidR="00682CBD">
        <w:rPr>
          <w:sz w:val="16"/>
          <w:szCs w:val="16"/>
        </w:rPr>
        <w:t xml:space="preserve"> ofreció</w:t>
      </w:r>
      <w:r w:rsidR="00FF1C4B" w:rsidRPr="002448D5">
        <w:rPr>
          <w:sz w:val="16"/>
          <w:szCs w:val="16"/>
        </w:rPr>
        <w:t xml:space="preserve"> la declaración </w:t>
      </w:r>
      <w:r w:rsidR="00191395">
        <w:rPr>
          <w:sz w:val="16"/>
          <w:szCs w:val="16"/>
        </w:rPr>
        <w:t xml:space="preserve">testimonial </w:t>
      </w:r>
      <w:r w:rsidR="00FF1C4B" w:rsidRPr="002448D5">
        <w:rPr>
          <w:sz w:val="16"/>
          <w:szCs w:val="16"/>
        </w:rPr>
        <w:t xml:space="preserve">de </w:t>
      </w:r>
      <w:bookmarkStart w:id="2" w:name="_Hlk108102367"/>
      <w:r w:rsidR="009F3868">
        <w:rPr>
          <w:sz w:val="16"/>
          <w:szCs w:val="16"/>
        </w:rPr>
        <w:t>Eglee Sofía Toro Navas</w:t>
      </w:r>
      <w:bookmarkEnd w:id="2"/>
      <w:r w:rsidR="009F3868">
        <w:rPr>
          <w:sz w:val="16"/>
          <w:szCs w:val="16"/>
        </w:rPr>
        <w:t>, Omar Roa Veliz, Carlos Alberto Alvarez, y Pedro Contreras.</w:t>
      </w:r>
    </w:p>
  </w:footnote>
  <w:footnote w:id="6">
    <w:p w14:paraId="7C27A852" w14:textId="674640C7" w:rsidR="007C538F" w:rsidRPr="002448D5" w:rsidRDefault="007C538F" w:rsidP="00FC64A0">
      <w:pPr>
        <w:pStyle w:val="Textonotapie"/>
        <w:spacing w:before="120" w:after="120"/>
        <w:jc w:val="both"/>
        <w:rPr>
          <w:sz w:val="16"/>
          <w:szCs w:val="16"/>
        </w:rPr>
      </w:pPr>
      <w:r w:rsidRPr="002448D5">
        <w:rPr>
          <w:rStyle w:val="Refdenotaalpie"/>
        </w:rPr>
        <w:footnoteRef/>
      </w:r>
      <w:r w:rsidRPr="002448D5">
        <w:rPr>
          <w:sz w:val="16"/>
          <w:szCs w:val="16"/>
        </w:rPr>
        <w:t xml:space="preserve"> </w:t>
      </w:r>
      <w:r w:rsidRPr="002448D5">
        <w:rPr>
          <w:sz w:val="16"/>
          <w:szCs w:val="16"/>
        </w:rPr>
        <w:tab/>
      </w:r>
      <w:r w:rsidR="00682CBD">
        <w:rPr>
          <w:sz w:val="16"/>
          <w:szCs w:val="16"/>
        </w:rPr>
        <w:t xml:space="preserve">El </w:t>
      </w:r>
      <w:r w:rsidR="009F3868">
        <w:rPr>
          <w:sz w:val="16"/>
          <w:szCs w:val="16"/>
        </w:rPr>
        <w:t>Estado ofreció la declaración pericial</w:t>
      </w:r>
      <w:r w:rsidRPr="002448D5">
        <w:rPr>
          <w:sz w:val="16"/>
          <w:szCs w:val="16"/>
        </w:rPr>
        <w:t xml:space="preserve"> de </w:t>
      </w:r>
      <w:r w:rsidR="009F3868">
        <w:rPr>
          <w:sz w:val="16"/>
          <w:szCs w:val="16"/>
        </w:rPr>
        <w:t>Federico Fuenmayor e Intina Reina López Pérez</w:t>
      </w:r>
      <w:r w:rsidRPr="002448D5">
        <w:rPr>
          <w:sz w:val="16"/>
          <w:szCs w:val="16"/>
        </w:rPr>
        <w:t xml:space="preserve">. </w:t>
      </w:r>
    </w:p>
  </w:footnote>
  <w:footnote w:id="7">
    <w:p w14:paraId="6672C839" w14:textId="33E0C629" w:rsidR="00C077AB" w:rsidRPr="00D669F0" w:rsidRDefault="00C71F4B" w:rsidP="00FC64A0">
      <w:pPr>
        <w:pStyle w:val="Textonotapie"/>
        <w:spacing w:before="120" w:after="120"/>
        <w:jc w:val="both"/>
        <w:rPr>
          <w:sz w:val="16"/>
          <w:szCs w:val="16"/>
        </w:rPr>
      </w:pPr>
      <w:r w:rsidRPr="00D669F0">
        <w:rPr>
          <w:rStyle w:val="Refdenotaalpie"/>
        </w:rPr>
        <w:footnoteRef/>
      </w:r>
      <w:r w:rsidRPr="00D669F0">
        <w:rPr>
          <w:sz w:val="16"/>
          <w:szCs w:val="16"/>
        </w:rPr>
        <w:t xml:space="preserve">  </w:t>
      </w:r>
      <w:r w:rsidRPr="00D669F0">
        <w:rPr>
          <w:sz w:val="16"/>
          <w:szCs w:val="16"/>
        </w:rPr>
        <w:tab/>
      </w:r>
      <w:r w:rsidR="00D669F0" w:rsidRPr="00D669F0">
        <w:rPr>
          <w:sz w:val="16"/>
          <w:szCs w:val="16"/>
        </w:rPr>
        <w:t>Pedro Salazar</w:t>
      </w:r>
      <w:r w:rsidRPr="00D669F0">
        <w:rPr>
          <w:sz w:val="16"/>
          <w:szCs w:val="16"/>
        </w:rPr>
        <w:t xml:space="preserve"> </w:t>
      </w:r>
      <w:r w:rsidR="0056156E">
        <w:rPr>
          <w:sz w:val="16"/>
          <w:szCs w:val="16"/>
        </w:rPr>
        <w:t xml:space="preserve">Ugarte </w:t>
      </w:r>
      <w:r w:rsidRPr="00D669F0">
        <w:rPr>
          <w:sz w:val="16"/>
          <w:szCs w:val="16"/>
        </w:rPr>
        <w:t xml:space="preserve">fue ofrecido para declarar sobre </w:t>
      </w:r>
      <w:r w:rsidR="00D669F0" w:rsidRPr="00D669F0">
        <w:rPr>
          <w:sz w:val="16"/>
          <w:szCs w:val="16"/>
        </w:rPr>
        <w:t>“las obligaciones internacionales de los Estados en materia de derechos políticos. En particular, respecto a los estándares aplicables en el marco de contiendas electorales para garantizar el acceso, en condiciones de igualdad, a las funciones públicas en el contexto de procesos electorales y el pluralismo en el ejercicio de los derechos políticos. Asimismo, el perito se referirá a los recursos que deben brindar los Estados frente a violaciones a los derechos políticos, particularmente respecto de garantizar de manera efectiva la imparcialidad de las autoridades que participan del control electoral de las elecciones. En la medida de lo pertinente, el perito se referirá a otros sistemas internacionales de protección de derechos humanos y al derecho comparado. Para ejemplificar el desarrollo de su peritaje, el perito podrá referirse a los hechos del cas</w:t>
      </w:r>
      <w:r w:rsidR="00B523F4">
        <w:rPr>
          <w:sz w:val="16"/>
          <w:szCs w:val="16"/>
        </w:rPr>
        <w:t>o</w:t>
      </w:r>
      <w:r w:rsidR="00D669F0" w:rsidRPr="00D669F0">
        <w:rPr>
          <w:sz w:val="16"/>
          <w:szCs w:val="16"/>
        </w:rPr>
        <w:t>”</w:t>
      </w:r>
      <w:r w:rsidR="00B523F4">
        <w:rPr>
          <w:sz w:val="16"/>
          <w:szCs w:val="16"/>
        </w:rPr>
        <w:t xml:space="preserve">. </w:t>
      </w:r>
    </w:p>
  </w:footnote>
  <w:footnote w:id="8">
    <w:p w14:paraId="08238F46" w14:textId="77777777" w:rsidR="00C71F4B" w:rsidRPr="002448D5" w:rsidRDefault="00C71F4B" w:rsidP="00FC64A0">
      <w:pPr>
        <w:pStyle w:val="Textonotapie"/>
        <w:spacing w:before="120" w:after="120"/>
        <w:jc w:val="both"/>
        <w:rPr>
          <w:sz w:val="16"/>
          <w:szCs w:val="16"/>
        </w:rPr>
      </w:pPr>
      <w:r w:rsidRPr="002448D5">
        <w:rPr>
          <w:rStyle w:val="Refdenotaalpie"/>
          <w:rFonts w:eastAsia="Batang"/>
        </w:rPr>
        <w:footnoteRef/>
      </w:r>
      <w:r w:rsidRPr="002448D5">
        <w:rPr>
          <w:sz w:val="16"/>
          <w:szCs w:val="16"/>
        </w:rPr>
        <w:t xml:space="preserve"> </w:t>
      </w:r>
      <w:r w:rsidRPr="002448D5">
        <w:rPr>
          <w:sz w:val="16"/>
          <w:szCs w:val="16"/>
        </w:rPr>
        <w:tab/>
        <w:t>El artículo 35.1.f del Reglamento establece lo siguiente: “1. El caso será sometido a la Corte mediante la presentación del informe al que se refiere el artículo 50 de la Convención, que contenga todos los hechos supuestamente violatorios, inclusive la identificación de las presuntas víctimas. Para que el caso pueda ser examinado, la Corte deberá recibir la siguiente información: […] f. cuando se afecte de manera relevante el orden público interamericano de los derechos humanos, la eventual designación de peritos, indicando el objeto de sus declaraciones y acompañando su hoja de vida”.</w:t>
      </w:r>
    </w:p>
  </w:footnote>
  <w:footnote w:id="9">
    <w:p w14:paraId="573C2840" w14:textId="7F8387D4" w:rsidR="00C71F4B" w:rsidRPr="002448D5" w:rsidRDefault="00C71F4B" w:rsidP="00FC64A0">
      <w:pPr>
        <w:pStyle w:val="Textonotapie"/>
        <w:spacing w:before="120" w:after="120"/>
        <w:jc w:val="both"/>
        <w:rPr>
          <w:sz w:val="16"/>
          <w:szCs w:val="16"/>
        </w:rPr>
      </w:pPr>
      <w:r w:rsidRPr="002448D5">
        <w:rPr>
          <w:rStyle w:val="Refdenotaalpie"/>
          <w:rFonts w:eastAsia="Batang"/>
        </w:rPr>
        <w:footnoteRef/>
      </w:r>
      <w:r w:rsidRPr="002448D5">
        <w:rPr>
          <w:sz w:val="16"/>
          <w:szCs w:val="16"/>
          <w:lang w:val="pt-BR"/>
        </w:rPr>
        <w:t xml:space="preserve"> </w:t>
      </w:r>
      <w:r w:rsidRPr="002448D5">
        <w:rPr>
          <w:sz w:val="16"/>
          <w:szCs w:val="16"/>
          <w:lang w:val="pt-BR"/>
        </w:rPr>
        <w:tab/>
      </w:r>
      <w:r w:rsidRPr="002448D5">
        <w:rPr>
          <w:i/>
          <w:sz w:val="16"/>
          <w:szCs w:val="16"/>
          <w:lang w:val="pt-BR"/>
        </w:rPr>
        <w:t xml:space="preserve">Cfr. Caso Pedro Miguel Vera Vera y otros Vs. </w:t>
      </w:r>
      <w:r w:rsidRPr="002448D5">
        <w:rPr>
          <w:i/>
          <w:sz w:val="16"/>
          <w:szCs w:val="16"/>
        </w:rPr>
        <w:t>Ecuador. Convocatoria a audiencia</w:t>
      </w:r>
      <w:r w:rsidRPr="002448D5">
        <w:rPr>
          <w:sz w:val="16"/>
          <w:szCs w:val="16"/>
        </w:rPr>
        <w:t xml:space="preserve">. Resolución del </w:t>
      </w:r>
      <w:proofErr w:type="gramStart"/>
      <w:r w:rsidRPr="002448D5">
        <w:rPr>
          <w:sz w:val="16"/>
          <w:szCs w:val="16"/>
        </w:rPr>
        <w:t>Presidente</w:t>
      </w:r>
      <w:proofErr w:type="gramEnd"/>
      <w:r w:rsidRPr="002448D5">
        <w:rPr>
          <w:sz w:val="16"/>
          <w:szCs w:val="16"/>
        </w:rPr>
        <w:t xml:space="preserve"> de la Corte Interamericana de Derechos Humanos de 23 de diciembre de 2010, Considerando 9, y </w:t>
      </w:r>
      <w:r w:rsidR="0035018A" w:rsidRPr="0035018A">
        <w:rPr>
          <w:rFonts w:cs="Arial"/>
          <w:i/>
          <w:sz w:val="16"/>
          <w:szCs w:val="16"/>
          <w:shd w:val="clear" w:color="auto" w:fill="FFFFFF"/>
        </w:rPr>
        <w:t xml:space="preserve">Caso Da Silva y otros Vs. Brasil. Convocatoria a audiencia. </w:t>
      </w:r>
      <w:r w:rsidR="0035018A" w:rsidRPr="00CF30C5">
        <w:rPr>
          <w:rFonts w:cs="Arial"/>
          <w:iCs/>
          <w:sz w:val="16"/>
          <w:szCs w:val="16"/>
          <w:shd w:val="clear" w:color="auto" w:fill="FFFFFF"/>
        </w:rPr>
        <w:t xml:space="preserve">Resolución del </w:t>
      </w:r>
      <w:proofErr w:type="gramStart"/>
      <w:r w:rsidR="0035018A" w:rsidRPr="00CF30C5">
        <w:rPr>
          <w:rFonts w:cs="Arial"/>
          <w:iCs/>
          <w:sz w:val="16"/>
          <w:szCs w:val="16"/>
          <w:shd w:val="clear" w:color="auto" w:fill="FFFFFF"/>
        </w:rPr>
        <w:t>Presidente</w:t>
      </w:r>
      <w:proofErr w:type="gramEnd"/>
      <w:r w:rsidR="0035018A" w:rsidRPr="00CF30C5">
        <w:rPr>
          <w:rFonts w:cs="Arial"/>
          <w:iCs/>
          <w:sz w:val="16"/>
          <w:szCs w:val="16"/>
          <w:shd w:val="clear" w:color="auto" w:fill="FFFFFF"/>
        </w:rPr>
        <w:t xml:space="preserve"> de la Corte Interamericana de Derechos Humanos de 29 de noviembre de 2023</w:t>
      </w:r>
      <w:r w:rsidR="0035018A">
        <w:rPr>
          <w:rFonts w:cs="Arial"/>
          <w:iCs/>
          <w:sz w:val="16"/>
          <w:szCs w:val="16"/>
          <w:shd w:val="clear" w:color="auto" w:fill="FFFFFF"/>
        </w:rPr>
        <w:t>, Considerando 12.</w:t>
      </w:r>
      <w:r w:rsidRPr="002448D5">
        <w:rPr>
          <w:rFonts w:cs="Arial"/>
          <w:sz w:val="16"/>
          <w:szCs w:val="16"/>
          <w:shd w:val="clear" w:color="auto" w:fill="FFFFFF"/>
        </w:rPr>
        <w:t>, Considerando 13.</w:t>
      </w:r>
    </w:p>
  </w:footnote>
  <w:footnote w:id="10">
    <w:p w14:paraId="72CFEFA9" w14:textId="7D29DFA8" w:rsidR="00B10B72" w:rsidRPr="00B10B72" w:rsidRDefault="00B10B72" w:rsidP="00FC64A0">
      <w:pPr>
        <w:autoSpaceDE w:val="0"/>
        <w:autoSpaceDN w:val="0"/>
        <w:adjustRightInd w:val="0"/>
        <w:spacing w:before="120" w:after="120" w:line="240" w:lineRule="auto"/>
        <w:jc w:val="both"/>
        <w:rPr>
          <w:sz w:val="16"/>
          <w:szCs w:val="16"/>
        </w:rPr>
      </w:pPr>
      <w:r w:rsidRPr="00B10B72">
        <w:rPr>
          <w:rStyle w:val="Refdenotaalpie"/>
        </w:rPr>
        <w:footnoteRef/>
      </w:r>
      <w:r w:rsidRPr="00B10B72">
        <w:rPr>
          <w:sz w:val="16"/>
          <w:szCs w:val="16"/>
        </w:rPr>
        <w:t xml:space="preserve"> </w:t>
      </w:r>
      <w:r w:rsidRPr="00B10B72">
        <w:rPr>
          <w:sz w:val="16"/>
          <w:szCs w:val="16"/>
        </w:rPr>
        <w:tab/>
      </w:r>
      <w:r w:rsidRPr="00B10B72">
        <w:rPr>
          <w:rFonts w:cs="ArialMT"/>
          <w:sz w:val="16"/>
          <w:szCs w:val="16"/>
          <w:lang w:val="es-ES"/>
        </w:rPr>
        <w:t>La perita Intina Reina López Pérez fue ofrecida para declarar sobre “la procedencia y trámite del recurso contencioso electoral, conforme a la legislación venezolana. El perito podrá referirse al caso concreto”</w:t>
      </w:r>
      <w:r w:rsidR="0035018A">
        <w:rPr>
          <w:rFonts w:cs="ArialMT"/>
          <w:sz w:val="16"/>
          <w:szCs w:val="16"/>
          <w:lang w:val="es-ES"/>
        </w:rPr>
        <w:t>.</w:t>
      </w:r>
    </w:p>
  </w:footnote>
  <w:footnote w:id="11">
    <w:p w14:paraId="0109FFE9" w14:textId="77777777" w:rsidR="00D669F0" w:rsidRPr="002448D5" w:rsidRDefault="00D669F0" w:rsidP="00FC64A0">
      <w:pPr>
        <w:pStyle w:val="Textonotapie"/>
        <w:spacing w:before="120" w:after="120"/>
        <w:jc w:val="both"/>
        <w:rPr>
          <w:sz w:val="16"/>
          <w:szCs w:val="16"/>
          <w:lang w:val="es-ES"/>
        </w:rPr>
      </w:pPr>
      <w:r w:rsidRPr="002448D5">
        <w:rPr>
          <w:rStyle w:val="Refdenotaalpie"/>
        </w:rPr>
        <w:footnoteRef/>
      </w:r>
      <w:r w:rsidRPr="002448D5">
        <w:rPr>
          <w:sz w:val="16"/>
          <w:szCs w:val="16"/>
        </w:rPr>
        <w:t xml:space="preserve"> </w:t>
      </w:r>
      <w:r w:rsidRPr="002448D5">
        <w:rPr>
          <w:sz w:val="16"/>
          <w:szCs w:val="16"/>
          <w:lang w:val="es-ES"/>
        </w:rPr>
        <w:tab/>
      </w:r>
      <w:r w:rsidRPr="002448D5">
        <w:rPr>
          <w:sz w:val="16"/>
          <w:szCs w:val="16"/>
        </w:rPr>
        <w:t>El artículo 50.3 y 50.5 del Reglamento establece lo siguiente: “</w:t>
      </w:r>
      <w:r w:rsidRPr="002448D5">
        <w:rPr>
          <w:rFonts w:cs="Arial"/>
          <w:sz w:val="16"/>
          <w:szCs w:val="16"/>
          <w:shd w:val="clear" w:color="auto" w:fill="FFFFFF"/>
        </w:rPr>
        <w:t>3. Las declaraciones versarán únicamente sobre el objeto que la Corte definió en la resolución a la que hace referencia el numeral 1 del presente artículo. Excepcionalmente, ante solicitud fundada y oído el parecer de la contraparte, la Corte podrá modificar el objeto de la declaración o aceptar una declaración que haya excedido el objeto fijado” y “5. Las presuntas víctimas o sus representantes, el Estado demandado y, en su caso, el Estado demandante podrán formular preguntas por escrito a los declarantes ofrecidos por la contraparte y, en su caso, por la Comisión, que hayan sido llamados a prestar declaración ante fedatario público (</w:t>
      </w:r>
      <w:r w:rsidRPr="002448D5">
        <w:rPr>
          <w:rStyle w:val="nfasis"/>
          <w:rFonts w:cs="Arial"/>
          <w:bCs/>
          <w:sz w:val="16"/>
          <w:szCs w:val="16"/>
          <w:shd w:val="clear" w:color="auto" w:fill="FFFFFF"/>
        </w:rPr>
        <w:t>affidávit</w:t>
      </w:r>
      <w:r w:rsidRPr="002448D5">
        <w:rPr>
          <w:rFonts w:cs="Arial"/>
          <w:sz w:val="16"/>
          <w:szCs w:val="16"/>
          <w:shd w:val="clear" w:color="auto" w:fill="FFFFFF"/>
        </w:rPr>
        <w:t>). La Presidencia estará facultada para resolver sobre la pertinencia de las preguntas formuladas y para dispensar de responderlas a la persona a quien vayan dirigidas, a menos que la Corte resuelva otra cosa. No serán admitidas las preguntas que induzcan las respuestas y que no se refieran al objeto determinado oportunamente”.</w:t>
      </w:r>
    </w:p>
  </w:footnote>
  <w:footnote w:id="12">
    <w:p w14:paraId="3E845724" w14:textId="7A78190B" w:rsidR="00FC64A0" w:rsidRPr="00CF30C5" w:rsidRDefault="00FC64A0" w:rsidP="00FC64A0">
      <w:pPr>
        <w:pStyle w:val="Textonotapie"/>
        <w:spacing w:before="120" w:after="120"/>
        <w:jc w:val="both"/>
        <w:rPr>
          <w:sz w:val="16"/>
          <w:szCs w:val="16"/>
        </w:rPr>
      </w:pPr>
      <w:r w:rsidRPr="009E774B">
        <w:rPr>
          <w:rStyle w:val="Refdenotaalpie"/>
        </w:rPr>
        <w:footnoteRef/>
      </w:r>
      <w:r w:rsidRPr="009E774B">
        <w:rPr>
          <w:sz w:val="16"/>
          <w:szCs w:val="16"/>
        </w:rPr>
        <w:t xml:space="preserve"> </w:t>
      </w:r>
      <w:r w:rsidRPr="009E774B">
        <w:rPr>
          <w:sz w:val="16"/>
          <w:szCs w:val="16"/>
        </w:rPr>
        <w:tab/>
      </w:r>
      <w:r w:rsidRPr="009E774B">
        <w:rPr>
          <w:i/>
          <w:sz w:val="16"/>
          <w:szCs w:val="16"/>
          <w:lang w:val="es-PR"/>
        </w:rPr>
        <w:t>Cfr.</w:t>
      </w:r>
      <w:r w:rsidRPr="009E774B">
        <w:rPr>
          <w:sz w:val="16"/>
          <w:szCs w:val="16"/>
          <w:lang w:val="es-PR"/>
        </w:rPr>
        <w:t xml:space="preserve"> </w:t>
      </w:r>
      <w:r w:rsidR="00BC424C" w:rsidRPr="00BC424C">
        <w:rPr>
          <w:bCs/>
          <w:i/>
          <w:sz w:val="16"/>
          <w:szCs w:val="16"/>
        </w:rPr>
        <w:t xml:space="preserve">Caso de la “Masacre de Pueblo Bello” Vs. </w:t>
      </w:r>
      <w:proofErr w:type="gramStart"/>
      <w:r w:rsidR="00BC424C" w:rsidRPr="00BC424C">
        <w:rPr>
          <w:bCs/>
          <w:i/>
          <w:sz w:val="16"/>
          <w:szCs w:val="16"/>
        </w:rPr>
        <w:t>Colombia .</w:t>
      </w:r>
      <w:proofErr w:type="gramEnd"/>
      <w:r w:rsidR="00BC424C" w:rsidRPr="00BC424C">
        <w:rPr>
          <w:bCs/>
          <w:i/>
          <w:sz w:val="16"/>
          <w:szCs w:val="16"/>
        </w:rPr>
        <w:t xml:space="preserve"> Convocatoria a audiencia. </w:t>
      </w:r>
      <w:r w:rsidR="00BC424C" w:rsidRPr="00CF30C5">
        <w:rPr>
          <w:bCs/>
          <w:iCs/>
          <w:sz w:val="16"/>
          <w:szCs w:val="16"/>
        </w:rPr>
        <w:t xml:space="preserve">Resolución del </w:t>
      </w:r>
      <w:proofErr w:type="gramStart"/>
      <w:r w:rsidR="00BC424C" w:rsidRPr="00CF30C5">
        <w:rPr>
          <w:bCs/>
          <w:iCs/>
          <w:sz w:val="16"/>
          <w:szCs w:val="16"/>
        </w:rPr>
        <w:t>Presidente</w:t>
      </w:r>
      <w:proofErr w:type="gramEnd"/>
      <w:r w:rsidR="00BC424C" w:rsidRPr="00CF30C5">
        <w:rPr>
          <w:bCs/>
          <w:iCs/>
          <w:sz w:val="16"/>
          <w:szCs w:val="16"/>
        </w:rPr>
        <w:t xml:space="preserve"> de la Corte Interamericana de Derechos Humanos de 29 de julio de 2005, Considerando 7, </w:t>
      </w:r>
      <w:r w:rsidRPr="009E774B">
        <w:rPr>
          <w:bCs/>
          <w:sz w:val="16"/>
          <w:szCs w:val="16"/>
        </w:rPr>
        <w:t xml:space="preserve">y </w:t>
      </w:r>
      <w:r w:rsidR="0035018A" w:rsidRPr="0035018A">
        <w:rPr>
          <w:i/>
          <w:iCs/>
          <w:sz w:val="16"/>
          <w:szCs w:val="16"/>
        </w:rPr>
        <w:t xml:space="preserve">Caso Cuéllar Sandoval y otros Vs. El Salvador. Convocatoria a audiencia. </w:t>
      </w:r>
      <w:r w:rsidR="0035018A" w:rsidRPr="00CF30C5">
        <w:rPr>
          <w:sz w:val="16"/>
          <w:szCs w:val="16"/>
        </w:rPr>
        <w:t xml:space="preserve">Resolución del </w:t>
      </w:r>
      <w:proofErr w:type="gramStart"/>
      <w:r w:rsidR="0035018A" w:rsidRPr="00CF30C5">
        <w:rPr>
          <w:sz w:val="16"/>
          <w:szCs w:val="16"/>
        </w:rPr>
        <w:t>Presidente</w:t>
      </w:r>
      <w:proofErr w:type="gramEnd"/>
      <w:r w:rsidR="0035018A" w:rsidRPr="00CF30C5">
        <w:rPr>
          <w:sz w:val="16"/>
          <w:szCs w:val="16"/>
        </w:rPr>
        <w:t xml:space="preserve"> de la Corte Interamericana de Derechos Humanos de 10 de octubre de 2023</w:t>
      </w:r>
      <w:r w:rsidR="0035018A">
        <w:rPr>
          <w:sz w:val="16"/>
          <w:szCs w:val="16"/>
        </w:rPr>
        <w:t xml:space="preserve">, Considerando 15. </w:t>
      </w:r>
    </w:p>
  </w:footnote>
  <w:footnote w:id="13">
    <w:p w14:paraId="760FCFCD" w14:textId="23A86478" w:rsidR="00FC64A0" w:rsidRPr="009E774B" w:rsidRDefault="00FC64A0" w:rsidP="00FC64A0">
      <w:pPr>
        <w:pStyle w:val="Textonotapie"/>
        <w:spacing w:before="120" w:after="120"/>
        <w:jc w:val="both"/>
        <w:rPr>
          <w:sz w:val="16"/>
          <w:szCs w:val="16"/>
          <w:lang w:val="es-ES"/>
        </w:rPr>
      </w:pPr>
      <w:r w:rsidRPr="009E774B">
        <w:rPr>
          <w:rStyle w:val="Refdenotaalpie"/>
        </w:rPr>
        <w:footnoteRef/>
      </w:r>
      <w:r w:rsidRPr="009E774B">
        <w:rPr>
          <w:sz w:val="16"/>
          <w:szCs w:val="16"/>
        </w:rPr>
        <w:t xml:space="preserve"> </w:t>
      </w:r>
      <w:r w:rsidRPr="009E774B">
        <w:rPr>
          <w:sz w:val="16"/>
          <w:szCs w:val="16"/>
        </w:rPr>
        <w:tab/>
      </w:r>
      <w:r w:rsidRPr="009E774B">
        <w:rPr>
          <w:i/>
          <w:iCs/>
          <w:sz w:val="16"/>
          <w:szCs w:val="16"/>
        </w:rPr>
        <w:t xml:space="preserve">Cfr. </w:t>
      </w:r>
      <w:r w:rsidR="00BC424C" w:rsidRPr="00BC424C">
        <w:rPr>
          <w:i/>
          <w:iCs/>
          <w:sz w:val="16"/>
          <w:szCs w:val="16"/>
        </w:rPr>
        <w:t xml:space="preserve">Caso Suárez Peralta Vs. Ecuador. Convocatoria a audiencia. </w:t>
      </w:r>
      <w:r w:rsidR="00BC424C" w:rsidRPr="00CF30C5">
        <w:rPr>
          <w:sz w:val="16"/>
          <w:szCs w:val="16"/>
        </w:rPr>
        <w:t xml:space="preserve">Resolución del </w:t>
      </w:r>
      <w:proofErr w:type="gramStart"/>
      <w:r w:rsidR="00BC424C" w:rsidRPr="00CF30C5">
        <w:rPr>
          <w:sz w:val="16"/>
          <w:szCs w:val="16"/>
        </w:rPr>
        <w:t>Presidente</w:t>
      </w:r>
      <w:proofErr w:type="gramEnd"/>
      <w:r w:rsidR="00BC424C" w:rsidRPr="00CF30C5">
        <w:rPr>
          <w:sz w:val="16"/>
          <w:szCs w:val="16"/>
        </w:rPr>
        <w:t xml:space="preserve"> de la Corte Interamericana de Derechos Humanos de 20 de diciembre de 2012, Considerando 22</w:t>
      </w:r>
      <w:r w:rsidRPr="009E774B">
        <w:rPr>
          <w:sz w:val="16"/>
          <w:szCs w:val="16"/>
        </w:rPr>
        <w:t xml:space="preserve">, y </w:t>
      </w:r>
      <w:r w:rsidR="00BC424C" w:rsidRPr="0035018A">
        <w:rPr>
          <w:i/>
          <w:iCs/>
          <w:sz w:val="16"/>
          <w:szCs w:val="16"/>
        </w:rPr>
        <w:t xml:space="preserve">Caso Cuéllar Sandoval y otros Vs. El Salvador. Convocatoria a audiencia. </w:t>
      </w:r>
      <w:r w:rsidR="00BC424C" w:rsidRPr="00967850">
        <w:rPr>
          <w:sz w:val="16"/>
          <w:szCs w:val="16"/>
        </w:rPr>
        <w:t xml:space="preserve">Resolución del </w:t>
      </w:r>
      <w:proofErr w:type="gramStart"/>
      <w:r w:rsidR="00BC424C" w:rsidRPr="00967850">
        <w:rPr>
          <w:sz w:val="16"/>
          <w:szCs w:val="16"/>
        </w:rPr>
        <w:t>Presidente</w:t>
      </w:r>
      <w:proofErr w:type="gramEnd"/>
      <w:r w:rsidR="00BC424C" w:rsidRPr="00967850">
        <w:rPr>
          <w:sz w:val="16"/>
          <w:szCs w:val="16"/>
        </w:rPr>
        <w:t xml:space="preserve"> de la Corte Interamericana de Derechos Humanos de 10 de octubre de 2023</w:t>
      </w:r>
      <w:r w:rsidR="00BC424C">
        <w:rPr>
          <w:sz w:val="16"/>
          <w:szCs w:val="16"/>
        </w:rPr>
        <w:t>, Considerando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95D6" w14:textId="77777777" w:rsidR="004823AE" w:rsidRDefault="004823AE" w:rsidP="00E97AA8">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end"/>
    </w:r>
  </w:p>
  <w:p w14:paraId="02E3986A" w14:textId="77777777" w:rsidR="004823AE" w:rsidRDefault="004823AE" w:rsidP="00E97AA8">
    <w:pPr>
      <w:pStyle w:val="Encabezado"/>
    </w:pPr>
  </w:p>
  <w:p w14:paraId="2773835B" w14:textId="77777777" w:rsidR="004823AE" w:rsidRDefault="004823AE" w:rsidP="00E97A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2202" w14:textId="3B1FD180" w:rsidR="004823AE" w:rsidRDefault="004823AE" w:rsidP="00E97AA8">
    <w:pPr>
      <w:pStyle w:val="Encabezado"/>
      <w:jc w:val="center"/>
      <w:rPr>
        <w:rStyle w:val="Nmerodepgina"/>
      </w:rPr>
    </w:pPr>
    <w:r w:rsidRPr="00205583">
      <w:rPr>
        <w:rStyle w:val="Nmerodepgina"/>
      </w:rPr>
      <w:t xml:space="preserve">- </w:t>
    </w:r>
    <w:r w:rsidRPr="00205583">
      <w:rPr>
        <w:rStyle w:val="Nmerodepgina"/>
      </w:rPr>
      <w:fldChar w:fldCharType="begin"/>
    </w:r>
    <w:r w:rsidRPr="00205583">
      <w:rPr>
        <w:rStyle w:val="Nmerodepgina"/>
      </w:rPr>
      <w:instrText xml:space="preserve">PAGE  </w:instrText>
    </w:r>
    <w:r w:rsidRPr="00205583">
      <w:rPr>
        <w:rStyle w:val="Nmerodepgina"/>
      </w:rPr>
      <w:fldChar w:fldCharType="separate"/>
    </w:r>
    <w:r w:rsidR="00FC7402">
      <w:rPr>
        <w:rStyle w:val="Nmerodepgina"/>
        <w:noProof/>
      </w:rPr>
      <w:t>8</w:t>
    </w:r>
    <w:r w:rsidRPr="00205583">
      <w:rPr>
        <w:rStyle w:val="Nmerodepgina"/>
      </w:rPr>
      <w:fldChar w:fldCharType="end"/>
    </w:r>
    <w:r>
      <w:rPr>
        <w:rStyle w:val="Nmerodepgina"/>
      </w:rPr>
      <w:t xml:space="preserve"> -</w:t>
    </w:r>
  </w:p>
  <w:p w14:paraId="6907126A" w14:textId="77777777" w:rsidR="004823AE" w:rsidRDefault="004823AE" w:rsidP="00E97AA8">
    <w:pPr>
      <w:pStyle w:val="Encabezado"/>
    </w:pPr>
  </w:p>
  <w:p w14:paraId="34E6923E" w14:textId="77777777" w:rsidR="004823AE" w:rsidRDefault="004823AE" w:rsidP="00E97A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3A18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B78EC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4F941D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0B1BFF"/>
    <w:multiLevelType w:val="hybridMultilevel"/>
    <w:tmpl w:val="9C9452C2"/>
    <w:lvl w:ilvl="0" w:tplc="42E26D32">
      <w:start w:val="1"/>
      <w:numFmt w:val="upperLetter"/>
      <w:lvlText w:val="%1."/>
      <w:lvlJc w:val="left"/>
      <w:pPr>
        <w:ind w:left="720" w:hanging="360"/>
      </w:pPr>
      <w:rPr>
        <w:b w:val="0"/>
      </w:rPr>
    </w:lvl>
    <w:lvl w:ilvl="1" w:tplc="1160E910">
      <w:start w:val="1"/>
      <w:numFmt w:val="decimal"/>
      <w:lvlText w:val="%2)"/>
      <w:lvlJc w:val="left"/>
      <w:pPr>
        <w:ind w:left="1440" w:hanging="360"/>
      </w:pPr>
      <w:rPr>
        <w:rFonts w:ascii="Verdana" w:eastAsia="Batang" w:hAnsi="Verdana" w:cs="Calibri"/>
        <w:b w:val="0"/>
        <w:bCs w:val="0"/>
        <w:i w:val="0"/>
        <w:iCs w:val="0"/>
      </w:rPr>
    </w:lvl>
    <w:lvl w:ilvl="2" w:tplc="0409001B">
      <w:start w:val="1"/>
      <w:numFmt w:val="lowerRoman"/>
      <w:lvlText w:val="%3."/>
      <w:lvlJc w:val="right"/>
      <w:pPr>
        <w:ind w:left="2160" w:hanging="180"/>
      </w:pPr>
    </w:lvl>
    <w:lvl w:ilvl="3" w:tplc="50005FF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70278FA"/>
    <w:multiLevelType w:val="multilevel"/>
    <w:tmpl w:val="E5D6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4C790E"/>
    <w:multiLevelType w:val="hybridMultilevel"/>
    <w:tmpl w:val="D34A4374"/>
    <w:lvl w:ilvl="0" w:tplc="887A47F8">
      <w:start w:val="1"/>
      <w:numFmt w:val="decimal"/>
      <w:pStyle w:val="PrrafodeSentencia"/>
      <w:lvlText w:val="%1."/>
      <w:lvlJc w:val="left"/>
      <w:pPr>
        <w:ind w:left="720" w:hanging="360"/>
      </w:pPr>
      <w:rPr>
        <w:rFonts w:ascii="Verdana" w:hAnsi="Verdana" w:hint="default"/>
        <w:b w:val="0"/>
        <w:i w:val="0"/>
        <w:strike w:val="0"/>
        <w:dstrike w:val="0"/>
        <w:color w:val="auto"/>
        <w:sz w:val="20"/>
        <w:szCs w:val="20"/>
        <w:u w:val="none"/>
        <w:effect w:val="none"/>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E46458F"/>
    <w:multiLevelType w:val="hybridMultilevel"/>
    <w:tmpl w:val="0B68D926"/>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555492"/>
    <w:multiLevelType w:val="hybridMultilevel"/>
    <w:tmpl w:val="B840F306"/>
    <w:lvl w:ilvl="0" w:tplc="115EB01E">
      <w:start w:val="1"/>
      <w:numFmt w:val="upperLetter"/>
      <w:pStyle w:val="Ttulo1"/>
      <w:lvlText w:val="%1."/>
      <w:lvlJc w:val="left"/>
      <w:pPr>
        <w:ind w:left="4188"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6FFC71A2">
      <w:start w:val="1"/>
      <w:numFmt w:val="decimal"/>
      <w:lvlText w:val="%4."/>
      <w:lvlJc w:val="left"/>
      <w:pPr>
        <w:ind w:left="2062" w:hanging="360"/>
      </w:pPr>
      <w:rPr>
        <w:rFonts w:ascii="Verdana" w:eastAsiaTheme="minorHAnsi" w:hAnsi="Verdana" w:cstheme="minorBidi"/>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2062"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FF83EB2"/>
    <w:multiLevelType w:val="hybridMultilevel"/>
    <w:tmpl w:val="06BE12B4"/>
    <w:lvl w:ilvl="0" w:tplc="8AD6A1C2">
      <w:start w:val="1"/>
      <w:numFmt w:val="upperLetter"/>
      <w:lvlText w:val="%1."/>
      <w:lvlJc w:val="left"/>
      <w:pPr>
        <w:ind w:left="930" w:hanging="57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2307DEC"/>
    <w:multiLevelType w:val="hybridMultilevel"/>
    <w:tmpl w:val="48BCB30C"/>
    <w:lvl w:ilvl="0" w:tplc="FCE213F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83137B5"/>
    <w:multiLevelType w:val="multilevel"/>
    <w:tmpl w:val="A6E8AA7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A780770"/>
    <w:multiLevelType w:val="hybridMultilevel"/>
    <w:tmpl w:val="98F2108C"/>
    <w:lvl w:ilvl="0" w:tplc="67E07D4A">
      <w:start w:val="1"/>
      <w:numFmt w:val="decimal"/>
      <w:lvlText w:val="%1."/>
      <w:lvlJc w:val="left"/>
      <w:pPr>
        <w:ind w:left="72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4767F3"/>
    <w:multiLevelType w:val="hybridMultilevel"/>
    <w:tmpl w:val="C45809BC"/>
    <w:lvl w:ilvl="0" w:tplc="EE1A0456">
      <w:start w:val="1"/>
      <w:numFmt w:val="decimal"/>
      <w:pStyle w:val="Estilo5"/>
      <w:lvlText w:val="%1."/>
      <w:lvlJc w:val="left"/>
      <w:pPr>
        <w:ind w:left="450" w:hanging="360"/>
      </w:pPr>
      <w:rPr>
        <w:rFonts w:ascii="Verdana" w:hAnsi="Verdana" w:hint="default"/>
        <w:b w:val="0"/>
        <w:i w:val="0"/>
        <w:strike w:val="0"/>
        <w:color w:val="auto"/>
        <w:sz w:val="20"/>
        <w:szCs w:val="20"/>
        <w:lang w:val="es-MX"/>
      </w:rPr>
    </w:lvl>
    <w:lvl w:ilvl="1" w:tplc="3CA86E32">
      <w:start w:val="1"/>
      <w:numFmt w:val="lowerLetter"/>
      <w:lvlText w:val="%2)"/>
      <w:lvlJc w:val="left"/>
      <w:pPr>
        <w:ind w:left="1620" w:hanging="360"/>
      </w:pPr>
      <w:rPr>
        <w:rFonts w:ascii="Verdana" w:hAnsi="Verdana" w:cs="Times New Roman" w:hint="default"/>
        <w:b w:val="0"/>
        <w:i w:val="0"/>
        <w:caps w:val="0"/>
        <w:strike w:val="0"/>
        <w:dstrike w:val="0"/>
        <w:vanish w:val="0"/>
        <w:color w:val="auto"/>
        <w:sz w:val="20"/>
        <w:vertAlign w:val="baseline"/>
      </w:rPr>
    </w:lvl>
    <w:lvl w:ilvl="2" w:tplc="3F20288C">
      <w:start w:val="1"/>
      <w:numFmt w:val="lowerRoman"/>
      <w:lvlText w:val="%3."/>
      <w:lvlJc w:val="right"/>
      <w:pPr>
        <w:ind w:left="2160" w:hanging="180"/>
      </w:pPr>
      <w:rPr>
        <w:b w:val="0"/>
      </w:rPr>
    </w:lvl>
    <w:lvl w:ilvl="3" w:tplc="140A000F">
      <w:start w:val="1"/>
      <w:numFmt w:val="decimal"/>
      <w:lvlText w:val="%4."/>
      <w:lvlJc w:val="left"/>
      <w:pPr>
        <w:ind w:left="2880" w:hanging="360"/>
      </w:pPr>
    </w:lvl>
    <w:lvl w:ilvl="4" w:tplc="606ED164">
      <w:start w:val="1"/>
      <w:numFmt w:val="lowerLetter"/>
      <w:pStyle w:val="Estilo3"/>
      <w:lvlText w:val="%5)"/>
      <w:lvlJc w:val="left"/>
      <w:pPr>
        <w:ind w:left="3600" w:hanging="360"/>
      </w:pPr>
      <w:rPr>
        <w:rFonts w:hint="default"/>
        <w:b w:val="0"/>
        <w:i w:val="0"/>
      </w:rPr>
    </w:lvl>
    <w:lvl w:ilvl="5" w:tplc="726C26BC">
      <w:start w:val="1"/>
      <w:numFmt w:val="lowerRoman"/>
      <w:pStyle w:val="Estilo8"/>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24E2A96"/>
    <w:multiLevelType w:val="hybridMultilevel"/>
    <w:tmpl w:val="84120ADC"/>
    <w:lvl w:ilvl="0" w:tplc="FFFFFFFF">
      <w:start w:val="1"/>
      <w:numFmt w:val="decimal"/>
      <w:lvlText w:val="%1)"/>
      <w:lvlJc w:val="left"/>
      <w:pPr>
        <w:ind w:left="786" w:hanging="360"/>
      </w:pPr>
      <w:rPr>
        <w:rFonts w:hint="default"/>
        <w:b w:val="0"/>
        <w:i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35A826F0"/>
    <w:multiLevelType w:val="hybridMultilevel"/>
    <w:tmpl w:val="F52C34B0"/>
    <w:lvl w:ilvl="0" w:tplc="A3C8BA86">
      <w:start w:val="1"/>
      <w:numFmt w:val="decimal"/>
      <w:lvlText w:val="%1."/>
      <w:lvlJc w:val="left"/>
      <w:pPr>
        <w:ind w:left="1080" w:hanging="720"/>
      </w:pPr>
      <w:rPr>
        <w:rFonts w:ascii="Verdana" w:hAnsi="Verdana"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38404A"/>
    <w:multiLevelType w:val="hybridMultilevel"/>
    <w:tmpl w:val="FABCC80C"/>
    <w:lvl w:ilvl="0" w:tplc="96607EE2">
      <w:start w:val="1"/>
      <w:numFmt w:val="decimal"/>
      <w:lvlText w:val="%1."/>
      <w:lvlJc w:val="left"/>
      <w:pPr>
        <w:tabs>
          <w:tab w:val="num" w:pos="387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6" w15:restartNumberingAfterBreak="0">
    <w:nsid w:val="3E4E7652"/>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464E95"/>
    <w:multiLevelType w:val="multilevel"/>
    <w:tmpl w:val="E5AC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612BD2"/>
    <w:multiLevelType w:val="hybridMultilevel"/>
    <w:tmpl w:val="4BEE7F42"/>
    <w:lvl w:ilvl="0" w:tplc="669E31B0">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C78541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1C65E08"/>
    <w:multiLevelType w:val="multilevel"/>
    <w:tmpl w:val="45F43090"/>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5206736D"/>
    <w:multiLevelType w:val="multilevel"/>
    <w:tmpl w:val="BCDC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49336C"/>
    <w:multiLevelType w:val="hybridMultilevel"/>
    <w:tmpl w:val="0B68D926"/>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ADD2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8337805"/>
    <w:multiLevelType w:val="hybridMultilevel"/>
    <w:tmpl w:val="5DFE6406"/>
    <w:lvl w:ilvl="0" w:tplc="FFFFFFFF">
      <w:start w:val="1"/>
      <w:numFmt w:val="decimal"/>
      <w:lvlText w:val="%1."/>
      <w:lvlJc w:val="left"/>
      <w:pPr>
        <w:ind w:left="7560" w:hanging="360"/>
      </w:pPr>
      <w:rPr>
        <w:rFonts w:ascii="Verdana" w:hAnsi="Verdana" w:hint="default"/>
        <w:b w:val="0"/>
        <w:i w:val="0"/>
        <w:color w:val="auto"/>
        <w:sz w:val="20"/>
        <w:szCs w:val="20"/>
        <w:lang w:val="es-CR"/>
      </w:rPr>
    </w:lvl>
    <w:lvl w:ilvl="1" w:tplc="FFFFFFFF">
      <w:start w:val="1"/>
      <w:numFmt w:val="lowerLetter"/>
      <w:lvlText w:val="%2."/>
      <w:lvlJc w:val="left"/>
      <w:pPr>
        <w:ind w:left="7650" w:hanging="360"/>
      </w:pPr>
    </w:lvl>
    <w:lvl w:ilvl="2" w:tplc="FFFFFFFF" w:tentative="1">
      <w:start w:val="1"/>
      <w:numFmt w:val="lowerRoman"/>
      <w:lvlText w:val="%3."/>
      <w:lvlJc w:val="right"/>
      <w:pPr>
        <w:ind w:left="8370" w:hanging="180"/>
      </w:pPr>
    </w:lvl>
    <w:lvl w:ilvl="3" w:tplc="FFFFFFFF" w:tentative="1">
      <w:start w:val="1"/>
      <w:numFmt w:val="decimal"/>
      <w:lvlText w:val="%4."/>
      <w:lvlJc w:val="left"/>
      <w:pPr>
        <w:ind w:left="9090" w:hanging="360"/>
      </w:pPr>
    </w:lvl>
    <w:lvl w:ilvl="4" w:tplc="FFFFFFFF" w:tentative="1">
      <w:start w:val="1"/>
      <w:numFmt w:val="lowerLetter"/>
      <w:lvlText w:val="%5."/>
      <w:lvlJc w:val="left"/>
      <w:pPr>
        <w:ind w:left="9810" w:hanging="360"/>
      </w:pPr>
    </w:lvl>
    <w:lvl w:ilvl="5" w:tplc="FFFFFFFF" w:tentative="1">
      <w:start w:val="1"/>
      <w:numFmt w:val="lowerRoman"/>
      <w:lvlText w:val="%6."/>
      <w:lvlJc w:val="right"/>
      <w:pPr>
        <w:ind w:left="10530" w:hanging="180"/>
      </w:pPr>
    </w:lvl>
    <w:lvl w:ilvl="6" w:tplc="FFFFFFFF" w:tentative="1">
      <w:start w:val="1"/>
      <w:numFmt w:val="decimal"/>
      <w:lvlText w:val="%7."/>
      <w:lvlJc w:val="left"/>
      <w:pPr>
        <w:ind w:left="11250" w:hanging="360"/>
      </w:pPr>
    </w:lvl>
    <w:lvl w:ilvl="7" w:tplc="FFFFFFFF" w:tentative="1">
      <w:start w:val="1"/>
      <w:numFmt w:val="lowerLetter"/>
      <w:lvlText w:val="%8."/>
      <w:lvlJc w:val="left"/>
      <w:pPr>
        <w:ind w:left="11970" w:hanging="360"/>
      </w:pPr>
    </w:lvl>
    <w:lvl w:ilvl="8" w:tplc="FFFFFFFF" w:tentative="1">
      <w:start w:val="1"/>
      <w:numFmt w:val="lowerRoman"/>
      <w:lvlText w:val="%9."/>
      <w:lvlJc w:val="right"/>
      <w:pPr>
        <w:ind w:left="12690" w:hanging="180"/>
      </w:pPr>
    </w:lvl>
  </w:abstractNum>
  <w:abstractNum w:abstractNumId="25" w15:restartNumberingAfterBreak="0">
    <w:nsid w:val="5DDB6DC6"/>
    <w:multiLevelType w:val="hybridMultilevel"/>
    <w:tmpl w:val="5DFE6406"/>
    <w:lvl w:ilvl="0" w:tplc="99FE4F9E">
      <w:start w:val="1"/>
      <w:numFmt w:val="decimal"/>
      <w:pStyle w:val="Sinespaciado"/>
      <w:lvlText w:val="%1."/>
      <w:lvlJc w:val="left"/>
      <w:pPr>
        <w:ind w:left="4188" w:hanging="360"/>
      </w:pPr>
      <w:rPr>
        <w:rFonts w:ascii="Verdana" w:hAnsi="Verdana" w:hint="default"/>
        <w:b w:val="0"/>
        <w:i w:val="0"/>
        <w:color w:val="auto"/>
        <w:sz w:val="20"/>
        <w:szCs w:val="20"/>
        <w:lang w:val="es-CR"/>
      </w:rPr>
    </w:lvl>
    <w:lvl w:ilvl="1" w:tplc="04090019">
      <w:start w:val="1"/>
      <w:numFmt w:val="lowerLetter"/>
      <w:lvlText w:val="%2."/>
      <w:lvlJc w:val="left"/>
      <w:pPr>
        <w:ind w:left="8217" w:hanging="360"/>
      </w:pPr>
    </w:lvl>
    <w:lvl w:ilvl="2" w:tplc="0409001B" w:tentative="1">
      <w:start w:val="1"/>
      <w:numFmt w:val="lowerRoman"/>
      <w:lvlText w:val="%3."/>
      <w:lvlJc w:val="right"/>
      <w:pPr>
        <w:ind w:left="8937" w:hanging="180"/>
      </w:pPr>
    </w:lvl>
    <w:lvl w:ilvl="3" w:tplc="0409000F" w:tentative="1">
      <w:start w:val="1"/>
      <w:numFmt w:val="decimal"/>
      <w:lvlText w:val="%4."/>
      <w:lvlJc w:val="left"/>
      <w:pPr>
        <w:ind w:left="9657" w:hanging="360"/>
      </w:pPr>
    </w:lvl>
    <w:lvl w:ilvl="4" w:tplc="04090019" w:tentative="1">
      <w:start w:val="1"/>
      <w:numFmt w:val="lowerLetter"/>
      <w:lvlText w:val="%5."/>
      <w:lvlJc w:val="left"/>
      <w:pPr>
        <w:ind w:left="10377" w:hanging="360"/>
      </w:pPr>
    </w:lvl>
    <w:lvl w:ilvl="5" w:tplc="0409001B" w:tentative="1">
      <w:start w:val="1"/>
      <w:numFmt w:val="lowerRoman"/>
      <w:lvlText w:val="%6."/>
      <w:lvlJc w:val="right"/>
      <w:pPr>
        <w:ind w:left="11097" w:hanging="180"/>
      </w:pPr>
    </w:lvl>
    <w:lvl w:ilvl="6" w:tplc="0409000F" w:tentative="1">
      <w:start w:val="1"/>
      <w:numFmt w:val="decimal"/>
      <w:lvlText w:val="%7."/>
      <w:lvlJc w:val="left"/>
      <w:pPr>
        <w:ind w:left="11817" w:hanging="360"/>
      </w:pPr>
    </w:lvl>
    <w:lvl w:ilvl="7" w:tplc="04090019" w:tentative="1">
      <w:start w:val="1"/>
      <w:numFmt w:val="lowerLetter"/>
      <w:lvlText w:val="%8."/>
      <w:lvlJc w:val="left"/>
      <w:pPr>
        <w:ind w:left="12537" w:hanging="360"/>
      </w:pPr>
    </w:lvl>
    <w:lvl w:ilvl="8" w:tplc="0409001B" w:tentative="1">
      <w:start w:val="1"/>
      <w:numFmt w:val="lowerRoman"/>
      <w:lvlText w:val="%9."/>
      <w:lvlJc w:val="right"/>
      <w:pPr>
        <w:ind w:left="13257" w:hanging="180"/>
      </w:pPr>
    </w:lvl>
  </w:abstractNum>
  <w:abstractNum w:abstractNumId="26" w15:restartNumberingAfterBreak="0">
    <w:nsid w:val="64C8295A"/>
    <w:multiLevelType w:val="hybridMultilevel"/>
    <w:tmpl w:val="0B68D926"/>
    <w:lvl w:ilvl="0" w:tplc="17848532">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73D51A2"/>
    <w:multiLevelType w:val="hybridMultilevel"/>
    <w:tmpl w:val="84120ADC"/>
    <w:lvl w:ilvl="0" w:tplc="FFFFFFFF">
      <w:start w:val="1"/>
      <w:numFmt w:val="decimal"/>
      <w:lvlText w:val="%1)"/>
      <w:lvlJc w:val="left"/>
      <w:pPr>
        <w:ind w:left="786" w:hanging="360"/>
      </w:pPr>
      <w:rPr>
        <w:rFonts w:hint="default"/>
        <w:b w:val="0"/>
        <w:i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6C833D97"/>
    <w:multiLevelType w:val="hybridMultilevel"/>
    <w:tmpl w:val="84120ADC"/>
    <w:lvl w:ilvl="0" w:tplc="FFFFFFFF">
      <w:start w:val="1"/>
      <w:numFmt w:val="decimal"/>
      <w:lvlText w:val="%1)"/>
      <w:lvlJc w:val="left"/>
      <w:pPr>
        <w:ind w:left="786" w:hanging="360"/>
      </w:pPr>
      <w:rPr>
        <w:rFonts w:hint="default"/>
        <w:b w:val="0"/>
        <w:i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75AB6DE9"/>
    <w:multiLevelType w:val="hybridMultilevel"/>
    <w:tmpl w:val="8CC25C8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5FB7C72"/>
    <w:multiLevelType w:val="hybridMultilevel"/>
    <w:tmpl w:val="78E0B1B8"/>
    <w:lvl w:ilvl="0" w:tplc="637E5634">
      <w:start w:val="1"/>
      <w:numFmt w:val="upperLetter"/>
      <w:lvlText w:val="%1."/>
      <w:lvlJc w:val="left"/>
      <w:pPr>
        <w:ind w:left="360" w:hanging="360"/>
      </w:pPr>
      <w:rPr>
        <w:rFonts w:hint="default"/>
        <w:b/>
        <w:i/>
      </w:rPr>
    </w:lvl>
    <w:lvl w:ilvl="1" w:tplc="323EEAAC">
      <w:start w:val="1"/>
      <w:numFmt w:val="lowerLetter"/>
      <w:lvlText w:val="%2."/>
      <w:lvlJc w:val="left"/>
      <w:pPr>
        <w:ind w:left="1350" w:hanging="360"/>
      </w:pPr>
    </w:lvl>
    <w:lvl w:ilvl="2" w:tplc="518033A8">
      <w:start w:val="1"/>
      <w:numFmt w:val="decimal"/>
      <w:lvlText w:val="(%3)"/>
      <w:lvlJc w:val="left"/>
      <w:pPr>
        <w:ind w:left="2280" w:hanging="390"/>
      </w:pPr>
      <w:rPr>
        <w:rFonts w:cs="Arial" w:hint="default"/>
      </w:r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31" w15:restartNumberingAfterBreak="0">
    <w:nsid w:val="79254642"/>
    <w:multiLevelType w:val="hybridMultilevel"/>
    <w:tmpl w:val="044C14BA"/>
    <w:lvl w:ilvl="0" w:tplc="140A0019">
      <w:start w:val="1"/>
      <w:numFmt w:val="lowerLetter"/>
      <w:lvlText w:val="%1."/>
      <w:lvlJc w:val="left"/>
      <w:pPr>
        <w:ind w:left="862" w:hanging="360"/>
      </w:pPr>
      <w:rPr>
        <w:rFonts w:hint="default"/>
        <w:b w:val="0"/>
        <w:i w:val="0"/>
      </w:rPr>
    </w:lvl>
    <w:lvl w:ilvl="1" w:tplc="140A0019" w:tentative="1">
      <w:start w:val="1"/>
      <w:numFmt w:val="lowerLetter"/>
      <w:lvlText w:val="%2."/>
      <w:lvlJc w:val="left"/>
      <w:pPr>
        <w:ind w:left="1582" w:hanging="360"/>
      </w:pPr>
    </w:lvl>
    <w:lvl w:ilvl="2" w:tplc="140A001B" w:tentative="1">
      <w:start w:val="1"/>
      <w:numFmt w:val="lowerRoman"/>
      <w:lvlText w:val="%3."/>
      <w:lvlJc w:val="right"/>
      <w:pPr>
        <w:ind w:left="2302" w:hanging="180"/>
      </w:pPr>
    </w:lvl>
    <w:lvl w:ilvl="3" w:tplc="140A000F" w:tentative="1">
      <w:start w:val="1"/>
      <w:numFmt w:val="decimal"/>
      <w:lvlText w:val="%4."/>
      <w:lvlJc w:val="left"/>
      <w:pPr>
        <w:ind w:left="3022" w:hanging="360"/>
      </w:pPr>
    </w:lvl>
    <w:lvl w:ilvl="4" w:tplc="140A0019" w:tentative="1">
      <w:start w:val="1"/>
      <w:numFmt w:val="lowerLetter"/>
      <w:lvlText w:val="%5."/>
      <w:lvlJc w:val="left"/>
      <w:pPr>
        <w:ind w:left="3742" w:hanging="360"/>
      </w:pPr>
    </w:lvl>
    <w:lvl w:ilvl="5" w:tplc="140A001B" w:tentative="1">
      <w:start w:val="1"/>
      <w:numFmt w:val="lowerRoman"/>
      <w:lvlText w:val="%6."/>
      <w:lvlJc w:val="right"/>
      <w:pPr>
        <w:ind w:left="4462" w:hanging="180"/>
      </w:pPr>
    </w:lvl>
    <w:lvl w:ilvl="6" w:tplc="140A000F" w:tentative="1">
      <w:start w:val="1"/>
      <w:numFmt w:val="decimal"/>
      <w:lvlText w:val="%7."/>
      <w:lvlJc w:val="left"/>
      <w:pPr>
        <w:ind w:left="5182" w:hanging="360"/>
      </w:pPr>
    </w:lvl>
    <w:lvl w:ilvl="7" w:tplc="140A0019" w:tentative="1">
      <w:start w:val="1"/>
      <w:numFmt w:val="lowerLetter"/>
      <w:lvlText w:val="%8."/>
      <w:lvlJc w:val="left"/>
      <w:pPr>
        <w:ind w:left="5902" w:hanging="360"/>
      </w:pPr>
    </w:lvl>
    <w:lvl w:ilvl="8" w:tplc="140A001B" w:tentative="1">
      <w:start w:val="1"/>
      <w:numFmt w:val="lowerRoman"/>
      <w:lvlText w:val="%9."/>
      <w:lvlJc w:val="right"/>
      <w:pPr>
        <w:ind w:left="6622" w:hanging="180"/>
      </w:pPr>
    </w:lvl>
  </w:abstractNum>
  <w:abstractNum w:abstractNumId="32" w15:restartNumberingAfterBreak="0">
    <w:nsid w:val="7A852245"/>
    <w:multiLevelType w:val="hybridMultilevel"/>
    <w:tmpl w:val="84120ADC"/>
    <w:lvl w:ilvl="0" w:tplc="04090011">
      <w:start w:val="1"/>
      <w:numFmt w:val="decimal"/>
      <w:lvlText w:val="%1)"/>
      <w:lvlJc w:val="left"/>
      <w:pPr>
        <w:ind w:left="786"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CEB12EE"/>
    <w:multiLevelType w:val="multilevel"/>
    <w:tmpl w:val="B1DA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3206385">
    <w:abstractNumId w:val="25"/>
  </w:num>
  <w:num w:numId="2" w16cid:durableId="299314109">
    <w:abstractNumId w:val="7"/>
  </w:num>
  <w:num w:numId="3" w16cid:durableId="1498809548">
    <w:abstractNumId w:val="5"/>
  </w:num>
  <w:num w:numId="4" w16cid:durableId="1560550435">
    <w:abstractNumId w:val="16"/>
  </w:num>
  <w:num w:numId="5" w16cid:durableId="742334687">
    <w:abstractNumId w:val="26"/>
  </w:num>
  <w:num w:numId="6" w16cid:durableId="247467957">
    <w:abstractNumId w:val="32"/>
  </w:num>
  <w:num w:numId="7" w16cid:durableId="1417900661">
    <w:abstractNumId w:val="18"/>
  </w:num>
  <w:num w:numId="8" w16cid:durableId="1840190999">
    <w:abstractNumId w:val="31"/>
  </w:num>
  <w:num w:numId="9" w16cid:durableId="340741840">
    <w:abstractNumId w:val="25"/>
    <w:lvlOverride w:ilvl="0">
      <w:startOverride w:val="1"/>
    </w:lvlOverride>
  </w:num>
  <w:num w:numId="10" w16cid:durableId="1597784852">
    <w:abstractNumId w:val="15"/>
  </w:num>
  <w:num w:numId="11" w16cid:durableId="1336693002">
    <w:abstractNumId w:val="30"/>
  </w:num>
  <w:num w:numId="12" w16cid:durableId="19628346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5874488">
    <w:abstractNumId w:val="14"/>
  </w:num>
  <w:num w:numId="14" w16cid:durableId="1240210914">
    <w:abstractNumId w:val="3"/>
  </w:num>
  <w:num w:numId="15" w16cid:durableId="968726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1325818">
    <w:abstractNumId w:val="0"/>
  </w:num>
  <w:num w:numId="17" w16cid:durableId="1091856744">
    <w:abstractNumId w:val="23"/>
  </w:num>
  <w:num w:numId="18" w16cid:durableId="1252853360">
    <w:abstractNumId w:val="2"/>
  </w:num>
  <w:num w:numId="19" w16cid:durableId="648900242">
    <w:abstractNumId w:val="27"/>
  </w:num>
  <w:num w:numId="20" w16cid:durableId="526139964">
    <w:abstractNumId w:val="1"/>
  </w:num>
  <w:num w:numId="21" w16cid:durableId="1575968449">
    <w:abstractNumId w:val="19"/>
  </w:num>
  <w:num w:numId="22" w16cid:durableId="1486699078">
    <w:abstractNumId w:val="10"/>
  </w:num>
  <w:num w:numId="23" w16cid:durableId="1133257751">
    <w:abstractNumId w:val="20"/>
  </w:num>
  <w:num w:numId="24" w16cid:durableId="121312665">
    <w:abstractNumId w:val="33"/>
  </w:num>
  <w:num w:numId="25" w16cid:durableId="444424088">
    <w:abstractNumId w:val="29"/>
  </w:num>
  <w:num w:numId="26" w16cid:durableId="1814562547">
    <w:abstractNumId w:val="17"/>
  </w:num>
  <w:num w:numId="27" w16cid:durableId="737632699">
    <w:abstractNumId w:val="21"/>
  </w:num>
  <w:num w:numId="28" w16cid:durableId="2021738013">
    <w:abstractNumId w:val="4"/>
  </w:num>
  <w:num w:numId="29" w16cid:durableId="722631911">
    <w:abstractNumId w:val="22"/>
  </w:num>
  <w:num w:numId="30" w16cid:durableId="432242042">
    <w:abstractNumId w:val="9"/>
  </w:num>
  <w:num w:numId="31" w16cid:durableId="557938069">
    <w:abstractNumId w:val="6"/>
  </w:num>
  <w:num w:numId="32" w16cid:durableId="552742706">
    <w:abstractNumId w:val="28"/>
  </w:num>
  <w:num w:numId="33" w16cid:durableId="1064834340">
    <w:abstractNumId w:val="13"/>
  </w:num>
  <w:num w:numId="34" w16cid:durableId="1050038977">
    <w:abstractNumId w:val="12"/>
  </w:num>
  <w:num w:numId="35" w16cid:durableId="250554061">
    <w:abstractNumId w:val="24"/>
  </w:num>
  <w:num w:numId="36" w16cid:durableId="205049139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s-C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CO" w:vendorID="64" w:dllVersion="0" w:nlCheck="1" w:checkStyle="0"/>
  <w:activeWritingStyle w:appName="MSWord" w:lang="es-MX" w:vendorID="64" w:dllVersion="0" w:nlCheck="1" w:checkStyle="0"/>
  <w:activeWritingStyle w:appName="MSWord" w:lang="pt-BR" w:vendorID="64" w:dllVersion="0" w:nlCheck="1" w:checkStyle="0"/>
  <w:activeWritingStyle w:appName="MSWord" w:lang="es-BO" w:vendorID="64" w:dllVersion="0" w:nlCheck="1" w:checkStyle="0"/>
  <w:activeWritingStyle w:appName="MSWord" w:lang="es-419" w:vendorID="64" w:dllVersion="0" w:nlCheck="1" w:checkStyle="0"/>
  <w:activeWritingStyle w:appName="MSWord" w:lang="es-PR" w:vendorID="64" w:dllVersion="0" w:nlCheck="1" w:checkStyle="0"/>
  <w:activeWritingStyle w:appName="MSWord" w:lang="es-CR" w:vendorID="64" w:dllVersion="6" w:nlCheck="1" w:checkStyle="0"/>
  <w:activeWritingStyle w:appName="MSWord" w:lang="es-ES" w:vendorID="64" w:dllVersion="6" w:nlCheck="1" w:checkStyle="0"/>
  <w:activeWritingStyle w:appName="MSWord" w:lang="pt-BR" w:vendorID="64" w:dllVersion="6" w:nlCheck="1" w:checkStyle="0"/>
  <w:activeWritingStyle w:appName="MSWord" w:lang="es-PR" w:vendorID="64" w:dllVersion="6" w:nlCheck="1" w:checkStyle="0"/>
  <w:activeWritingStyle w:appName="MSWord" w:lang="es-CO" w:vendorID="64" w:dllVersion="6" w:nlCheck="1" w:checkStyle="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191"/>
    <w:rsid w:val="0000022D"/>
    <w:rsid w:val="00000D42"/>
    <w:rsid w:val="00000EE6"/>
    <w:rsid w:val="00000EE8"/>
    <w:rsid w:val="000033D7"/>
    <w:rsid w:val="000054D5"/>
    <w:rsid w:val="00005C3B"/>
    <w:rsid w:val="00010226"/>
    <w:rsid w:val="00010255"/>
    <w:rsid w:val="00011410"/>
    <w:rsid w:val="00012E73"/>
    <w:rsid w:val="00013BA9"/>
    <w:rsid w:val="00014289"/>
    <w:rsid w:val="000142CB"/>
    <w:rsid w:val="000142EB"/>
    <w:rsid w:val="00014AD2"/>
    <w:rsid w:val="00014C78"/>
    <w:rsid w:val="00016191"/>
    <w:rsid w:val="00017AD6"/>
    <w:rsid w:val="00020044"/>
    <w:rsid w:val="000205AC"/>
    <w:rsid w:val="0002209F"/>
    <w:rsid w:val="000223CE"/>
    <w:rsid w:val="00024C3E"/>
    <w:rsid w:val="00025C64"/>
    <w:rsid w:val="000270C0"/>
    <w:rsid w:val="00030DBF"/>
    <w:rsid w:val="00030F6D"/>
    <w:rsid w:val="00032B2E"/>
    <w:rsid w:val="000335D8"/>
    <w:rsid w:val="000338F0"/>
    <w:rsid w:val="000341DA"/>
    <w:rsid w:val="00034A9C"/>
    <w:rsid w:val="00035053"/>
    <w:rsid w:val="00035149"/>
    <w:rsid w:val="00035A57"/>
    <w:rsid w:val="00036095"/>
    <w:rsid w:val="0003650B"/>
    <w:rsid w:val="00036B28"/>
    <w:rsid w:val="00036C74"/>
    <w:rsid w:val="000411C8"/>
    <w:rsid w:val="00042140"/>
    <w:rsid w:val="0004268F"/>
    <w:rsid w:val="00043F00"/>
    <w:rsid w:val="0004502D"/>
    <w:rsid w:val="0004514C"/>
    <w:rsid w:val="00045F17"/>
    <w:rsid w:val="00047269"/>
    <w:rsid w:val="00047780"/>
    <w:rsid w:val="00050D64"/>
    <w:rsid w:val="00051300"/>
    <w:rsid w:val="00055052"/>
    <w:rsid w:val="000572C5"/>
    <w:rsid w:val="00060660"/>
    <w:rsid w:val="00060D7E"/>
    <w:rsid w:val="00062639"/>
    <w:rsid w:val="000629B7"/>
    <w:rsid w:val="00062C4F"/>
    <w:rsid w:val="00063C33"/>
    <w:rsid w:val="00063E3C"/>
    <w:rsid w:val="0006429F"/>
    <w:rsid w:val="000656B9"/>
    <w:rsid w:val="00065FFD"/>
    <w:rsid w:val="00066CD6"/>
    <w:rsid w:val="00067B7C"/>
    <w:rsid w:val="000719A4"/>
    <w:rsid w:val="00073E13"/>
    <w:rsid w:val="00073E69"/>
    <w:rsid w:val="000749D1"/>
    <w:rsid w:val="00074C60"/>
    <w:rsid w:val="000759AC"/>
    <w:rsid w:val="00075ACB"/>
    <w:rsid w:val="00076D8C"/>
    <w:rsid w:val="00076FB6"/>
    <w:rsid w:val="0008015A"/>
    <w:rsid w:val="0008188C"/>
    <w:rsid w:val="00081A2A"/>
    <w:rsid w:val="0008237F"/>
    <w:rsid w:val="00082CF9"/>
    <w:rsid w:val="00084BFF"/>
    <w:rsid w:val="0008586F"/>
    <w:rsid w:val="00086C27"/>
    <w:rsid w:val="00087AFC"/>
    <w:rsid w:val="00090091"/>
    <w:rsid w:val="0009389A"/>
    <w:rsid w:val="00093B23"/>
    <w:rsid w:val="0009437C"/>
    <w:rsid w:val="00094A32"/>
    <w:rsid w:val="000951A5"/>
    <w:rsid w:val="00096CC8"/>
    <w:rsid w:val="00096D19"/>
    <w:rsid w:val="000A07F1"/>
    <w:rsid w:val="000A0FDA"/>
    <w:rsid w:val="000A1532"/>
    <w:rsid w:val="000A1780"/>
    <w:rsid w:val="000A380C"/>
    <w:rsid w:val="000A41E4"/>
    <w:rsid w:val="000A42DF"/>
    <w:rsid w:val="000A4368"/>
    <w:rsid w:val="000A46C6"/>
    <w:rsid w:val="000A6FEA"/>
    <w:rsid w:val="000A7575"/>
    <w:rsid w:val="000B0602"/>
    <w:rsid w:val="000B2824"/>
    <w:rsid w:val="000B3001"/>
    <w:rsid w:val="000B3065"/>
    <w:rsid w:val="000B398F"/>
    <w:rsid w:val="000B5278"/>
    <w:rsid w:val="000B59E4"/>
    <w:rsid w:val="000B61CF"/>
    <w:rsid w:val="000C00AC"/>
    <w:rsid w:val="000C1E0E"/>
    <w:rsid w:val="000C38EA"/>
    <w:rsid w:val="000C41A4"/>
    <w:rsid w:val="000C4928"/>
    <w:rsid w:val="000C54D2"/>
    <w:rsid w:val="000C5F41"/>
    <w:rsid w:val="000C7727"/>
    <w:rsid w:val="000C7882"/>
    <w:rsid w:val="000C7B74"/>
    <w:rsid w:val="000D0F0E"/>
    <w:rsid w:val="000D150C"/>
    <w:rsid w:val="000D3879"/>
    <w:rsid w:val="000D4C2C"/>
    <w:rsid w:val="000D4C8E"/>
    <w:rsid w:val="000D543E"/>
    <w:rsid w:val="000D56FA"/>
    <w:rsid w:val="000D608F"/>
    <w:rsid w:val="000D7065"/>
    <w:rsid w:val="000D708F"/>
    <w:rsid w:val="000D7B5F"/>
    <w:rsid w:val="000D7C07"/>
    <w:rsid w:val="000E3953"/>
    <w:rsid w:val="000E46C5"/>
    <w:rsid w:val="000E4D84"/>
    <w:rsid w:val="000E707A"/>
    <w:rsid w:val="000F00E0"/>
    <w:rsid w:val="000F095D"/>
    <w:rsid w:val="000F1688"/>
    <w:rsid w:val="000F1A7C"/>
    <w:rsid w:val="000F1DB9"/>
    <w:rsid w:val="000F3445"/>
    <w:rsid w:val="000F369B"/>
    <w:rsid w:val="000F4504"/>
    <w:rsid w:val="000F48D5"/>
    <w:rsid w:val="000F4D29"/>
    <w:rsid w:val="000F741B"/>
    <w:rsid w:val="000F74B5"/>
    <w:rsid w:val="001001D1"/>
    <w:rsid w:val="0010097D"/>
    <w:rsid w:val="00100A49"/>
    <w:rsid w:val="00101232"/>
    <w:rsid w:val="00101B65"/>
    <w:rsid w:val="00102153"/>
    <w:rsid w:val="00102B89"/>
    <w:rsid w:val="001031A7"/>
    <w:rsid w:val="00103572"/>
    <w:rsid w:val="00104220"/>
    <w:rsid w:val="0010433F"/>
    <w:rsid w:val="0010494F"/>
    <w:rsid w:val="00105D77"/>
    <w:rsid w:val="00106103"/>
    <w:rsid w:val="00106633"/>
    <w:rsid w:val="001075B9"/>
    <w:rsid w:val="00107F5E"/>
    <w:rsid w:val="00110401"/>
    <w:rsid w:val="001124DC"/>
    <w:rsid w:val="0011305D"/>
    <w:rsid w:val="00113DF4"/>
    <w:rsid w:val="00113F6D"/>
    <w:rsid w:val="0011434A"/>
    <w:rsid w:val="00115083"/>
    <w:rsid w:val="00115A14"/>
    <w:rsid w:val="0011631A"/>
    <w:rsid w:val="00116C7B"/>
    <w:rsid w:val="00116EE9"/>
    <w:rsid w:val="0011736D"/>
    <w:rsid w:val="00117C4F"/>
    <w:rsid w:val="00117CED"/>
    <w:rsid w:val="00121498"/>
    <w:rsid w:val="00122221"/>
    <w:rsid w:val="001229FA"/>
    <w:rsid w:val="00122A75"/>
    <w:rsid w:val="00122B93"/>
    <w:rsid w:val="00123050"/>
    <w:rsid w:val="00123C72"/>
    <w:rsid w:val="001244D3"/>
    <w:rsid w:val="0012551A"/>
    <w:rsid w:val="00126567"/>
    <w:rsid w:val="001275D0"/>
    <w:rsid w:val="00131670"/>
    <w:rsid w:val="001335E6"/>
    <w:rsid w:val="0013375B"/>
    <w:rsid w:val="00133CE7"/>
    <w:rsid w:val="00135069"/>
    <w:rsid w:val="001362D7"/>
    <w:rsid w:val="001369CA"/>
    <w:rsid w:val="00136A3D"/>
    <w:rsid w:val="00136EDC"/>
    <w:rsid w:val="00137006"/>
    <w:rsid w:val="00137784"/>
    <w:rsid w:val="001410C9"/>
    <w:rsid w:val="001418D3"/>
    <w:rsid w:val="00141F7E"/>
    <w:rsid w:val="00143B34"/>
    <w:rsid w:val="001448E6"/>
    <w:rsid w:val="0014491E"/>
    <w:rsid w:val="00146E1C"/>
    <w:rsid w:val="00150BD8"/>
    <w:rsid w:val="001517BD"/>
    <w:rsid w:val="00155125"/>
    <w:rsid w:val="0015536C"/>
    <w:rsid w:val="00155D07"/>
    <w:rsid w:val="00155FB3"/>
    <w:rsid w:val="00157446"/>
    <w:rsid w:val="00160C39"/>
    <w:rsid w:val="00160E30"/>
    <w:rsid w:val="00162BD2"/>
    <w:rsid w:val="00163724"/>
    <w:rsid w:val="0016379E"/>
    <w:rsid w:val="00163DB8"/>
    <w:rsid w:val="0016461B"/>
    <w:rsid w:val="00164C90"/>
    <w:rsid w:val="00165C80"/>
    <w:rsid w:val="00167396"/>
    <w:rsid w:val="00171A62"/>
    <w:rsid w:val="00171AAD"/>
    <w:rsid w:val="0017204D"/>
    <w:rsid w:val="00172662"/>
    <w:rsid w:val="001728EB"/>
    <w:rsid w:val="001735A7"/>
    <w:rsid w:val="001746DE"/>
    <w:rsid w:val="00174B71"/>
    <w:rsid w:val="001804D1"/>
    <w:rsid w:val="00183C61"/>
    <w:rsid w:val="00184D44"/>
    <w:rsid w:val="00185498"/>
    <w:rsid w:val="001859C1"/>
    <w:rsid w:val="00186B85"/>
    <w:rsid w:val="00186E7C"/>
    <w:rsid w:val="00187EE7"/>
    <w:rsid w:val="0019023E"/>
    <w:rsid w:val="00191395"/>
    <w:rsid w:val="00191BEF"/>
    <w:rsid w:val="00191CE9"/>
    <w:rsid w:val="001921B7"/>
    <w:rsid w:val="00192232"/>
    <w:rsid w:val="00192960"/>
    <w:rsid w:val="00194D24"/>
    <w:rsid w:val="0019533F"/>
    <w:rsid w:val="001977CD"/>
    <w:rsid w:val="00197982"/>
    <w:rsid w:val="001A0EFB"/>
    <w:rsid w:val="001A20B9"/>
    <w:rsid w:val="001A26F3"/>
    <w:rsid w:val="001A339A"/>
    <w:rsid w:val="001A4569"/>
    <w:rsid w:val="001A5338"/>
    <w:rsid w:val="001A5456"/>
    <w:rsid w:val="001A549A"/>
    <w:rsid w:val="001B0154"/>
    <w:rsid w:val="001B03B6"/>
    <w:rsid w:val="001B21C4"/>
    <w:rsid w:val="001B2DF7"/>
    <w:rsid w:val="001B30D2"/>
    <w:rsid w:val="001B41FF"/>
    <w:rsid w:val="001B475B"/>
    <w:rsid w:val="001B480E"/>
    <w:rsid w:val="001B5010"/>
    <w:rsid w:val="001B5654"/>
    <w:rsid w:val="001B5CE0"/>
    <w:rsid w:val="001B73FC"/>
    <w:rsid w:val="001B7D90"/>
    <w:rsid w:val="001C04CC"/>
    <w:rsid w:val="001C06F9"/>
    <w:rsid w:val="001C2372"/>
    <w:rsid w:val="001C2B5C"/>
    <w:rsid w:val="001C338D"/>
    <w:rsid w:val="001C3BCD"/>
    <w:rsid w:val="001C4535"/>
    <w:rsid w:val="001C4681"/>
    <w:rsid w:val="001C510E"/>
    <w:rsid w:val="001C5258"/>
    <w:rsid w:val="001D05D4"/>
    <w:rsid w:val="001D221F"/>
    <w:rsid w:val="001D33D6"/>
    <w:rsid w:val="001D3EB0"/>
    <w:rsid w:val="001D4B78"/>
    <w:rsid w:val="001D4D9C"/>
    <w:rsid w:val="001D5765"/>
    <w:rsid w:val="001E10EE"/>
    <w:rsid w:val="001E1C89"/>
    <w:rsid w:val="001E245F"/>
    <w:rsid w:val="001E33CC"/>
    <w:rsid w:val="001E35BA"/>
    <w:rsid w:val="001E47F0"/>
    <w:rsid w:val="001E506B"/>
    <w:rsid w:val="001E54E5"/>
    <w:rsid w:val="001E5716"/>
    <w:rsid w:val="001E582A"/>
    <w:rsid w:val="001E6081"/>
    <w:rsid w:val="001F06EF"/>
    <w:rsid w:val="001F0928"/>
    <w:rsid w:val="001F0CAB"/>
    <w:rsid w:val="001F1FFC"/>
    <w:rsid w:val="001F3986"/>
    <w:rsid w:val="001F6A02"/>
    <w:rsid w:val="001F6CFD"/>
    <w:rsid w:val="001F7AAE"/>
    <w:rsid w:val="002002C0"/>
    <w:rsid w:val="00200C3B"/>
    <w:rsid w:val="00201075"/>
    <w:rsid w:val="002045CB"/>
    <w:rsid w:val="002049B3"/>
    <w:rsid w:val="00205583"/>
    <w:rsid w:val="00205F3D"/>
    <w:rsid w:val="00206ECA"/>
    <w:rsid w:val="00207C41"/>
    <w:rsid w:val="00210D02"/>
    <w:rsid w:val="002114F5"/>
    <w:rsid w:val="00211C49"/>
    <w:rsid w:val="002133D6"/>
    <w:rsid w:val="00213D56"/>
    <w:rsid w:val="0021414A"/>
    <w:rsid w:val="00216A3A"/>
    <w:rsid w:val="00216C80"/>
    <w:rsid w:val="00220455"/>
    <w:rsid w:val="002232C5"/>
    <w:rsid w:val="00223A2A"/>
    <w:rsid w:val="00226D4A"/>
    <w:rsid w:val="00226F80"/>
    <w:rsid w:val="00227A4B"/>
    <w:rsid w:val="00227C0B"/>
    <w:rsid w:val="0023047A"/>
    <w:rsid w:val="002320B9"/>
    <w:rsid w:val="002328E5"/>
    <w:rsid w:val="00233193"/>
    <w:rsid w:val="00235244"/>
    <w:rsid w:val="00237232"/>
    <w:rsid w:val="0023730C"/>
    <w:rsid w:val="002374FD"/>
    <w:rsid w:val="00237B9F"/>
    <w:rsid w:val="00240A37"/>
    <w:rsid w:val="00240A3F"/>
    <w:rsid w:val="002410A0"/>
    <w:rsid w:val="00241633"/>
    <w:rsid w:val="00241C69"/>
    <w:rsid w:val="00241D46"/>
    <w:rsid w:val="00241F49"/>
    <w:rsid w:val="00241F4C"/>
    <w:rsid w:val="002420E2"/>
    <w:rsid w:val="002425EF"/>
    <w:rsid w:val="00243451"/>
    <w:rsid w:val="002448D5"/>
    <w:rsid w:val="0024649B"/>
    <w:rsid w:val="00246AA3"/>
    <w:rsid w:val="00247084"/>
    <w:rsid w:val="00247B1B"/>
    <w:rsid w:val="00247C7C"/>
    <w:rsid w:val="002507D6"/>
    <w:rsid w:val="002509A8"/>
    <w:rsid w:val="00250AE1"/>
    <w:rsid w:val="00251166"/>
    <w:rsid w:val="00251610"/>
    <w:rsid w:val="00251F34"/>
    <w:rsid w:val="00251FEF"/>
    <w:rsid w:val="00253FC2"/>
    <w:rsid w:val="002543B5"/>
    <w:rsid w:val="002556F5"/>
    <w:rsid w:val="0025577D"/>
    <w:rsid w:val="00256AB1"/>
    <w:rsid w:val="00263F87"/>
    <w:rsid w:val="0026413C"/>
    <w:rsid w:val="00264697"/>
    <w:rsid w:val="00264ECD"/>
    <w:rsid w:val="002651D3"/>
    <w:rsid w:val="00265230"/>
    <w:rsid w:val="0026641E"/>
    <w:rsid w:val="00266BB1"/>
    <w:rsid w:val="0027102B"/>
    <w:rsid w:val="002717D8"/>
    <w:rsid w:val="00271C1F"/>
    <w:rsid w:val="00271CF5"/>
    <w:rsid w:val="00271F05"/>
    <w:rsid w:val="00273A56"/>
    <w:rsid w:val="002759D8"/>
    <w:rsid w:val="0027661B"/>
    <w:rsid w:val="00277D66"/>
    <w:rsid w:val="002815B4"/>
    <w:rsid w:val="00284AE5"/>
    <w:rsid w:val="00285304"/>
    <w:rsid w:val="0028701A"/>
    <w:rsid w:val="00287B48"/>
    <w:rsid w:val="002923A5"/>
    <w:rsid w:val="00292673"/>
    <w:rsid w:val="002929AD"/>
    <w:rsid w:val="0029345B"/>
    <w:rsid w:val="002956F5"/>
    <w:rsid w:val="0029627E"/>
    <w:rsid w:val="002A1F81"/>
    <w:rsid w:val="002A5342"/>
    <w:rsid w:val="002A60B8"/>
    <w:rsid w:val="002A6C1F"/>
    <w:rsid w:val="002A6EFA"/>
    <w:rsid w:val="002A795E"/>
    <w:rsid w:val="002B0877"/>
    <w:rsid w:val="002B0E72"/>
    <w:rsid w:val="002B0FEB"/>
    <w:rsid w:val="002B12E1"/>
    <w:rsid w:val="002B13C6"/>
    <w:rsid w:val="002B22C5"/>
    <w:rsid w:val="002B3048"/>
    <w:rsid w:val="002B3B86"/>
    <w:rsid w:val="002B6AC0"/>
    <w:rsid w:val="002B7AF6"/>
    <w:rsid w:val="002C039F"/>
    <w:rsid w:val="002C03B3"/>
    <w:rsid w:val="002C0961"/>
    <w:rsid w:val="002C152E"/>
    <w:rsid w:val="002C2A99"/>
    <w:rsid w:val="002C32E0"/>
    <w:rsid w:val="002C337B"/>
    <w:rsid w:val="002C373F"/>
    <w:rsid w:val="002C49A5"/>
    <w:rsid w:val="002C4F31"/>
    <w:rsid w:val="002C5F94"/>
    <w:rsid w:val="002C64FF"/>
    <w:rsid w:val="002C6A99"/>
    <w:rsid w:val="002C6E2F"/>
    <w:rsid w:val="002D03C4"/>
    <w:rsid w:val="002D0D39"/>
    <w:rsid w:val="002D0FC6"/>
    <w:rsid w:val="002D3F56"/>
    <w:rsid w:val="002D496A"/>
    <w:rsid w:val="002D4FC6"/>
    <w:rsid w:val="002D5571"/>
    <w:rsid w:val="002D60E4"/>
    <w:rsid w:val="002D686A"/>
    <w:rsid w:val="002D6B08"/>
    <w:rsid w:val="002E25EB"/>
    <w:rsid w:val="002E2762"/>
    <w:rsid w:val="002E27BE"/>
    <w:rsid w:val="002E32C7"/>
    <w:rsid w:val="002E5E8F"/>
    <w:rsid w:val="002E6E4E"/>
    <w:rsid w:val="002E7285"/>
    <w:rsid w:val="002F02B4"/>
    <w:rsid w:val="002F07BD"/>
    <w:rsid w:val="002F1E83"/>
    <w:rsid w:val="002F254E"/>
    <w:rsid w:val="002F421E"/>
    <w:rsid w:val="002F47B9"/>
    <w:rsid w:val="002F4E07"/>
    <w:rsid w:val="002F530B"/>
    <w:rsid w:val="002F548B"/>
    <w:rsid w:val="002F6161"/>
    <w:rsid w:val="002F6D60"/>
    <w:rsid w:val="003008EB"/>
    <w:rsid w:val="00300EE1"/>
    <w:rsid w:val="00301F23"/>
    <w:rsid w:val="0030272E"/>
    <w:rsid w:val="00304EF4"/>
    <w:rsid w:val="00304F9B"/>
    <w:rsid w:val="003056CA"/>
    <w:rsid w:val="00305A57"/>
    <w:rsid w:val="00305EFF"/>
    <w:rsid w:val="003071BB"/>
    <w:rsid w:val="00310C35"/>
    <w:rsid w:val="003113F3"/>
    <w:rsid w:val="00311412"/>
    <w:rsid w:val="00312E2A"/>
    <w:rsid w:val="0031397A"/>
    <w:rsid w:val="00313DAF"/>
    <w:rsid w:val="003142ED"/>
    <w:rsid w:val="00314476"/>
    <w:rsid w:val="003148C2"/>
    <w:rsid w:val="00314927"/>
    <w:rsid w:val="00316550"/>
    <w:rsid w:val="00316B6E"/>
    <w:rsid w:val="00316D90"/>
    <w:rsid w:val="00317041"/>
    <w:rsid w:val="00320AD0"/>
    <w:rsid w:val="00321749"/>
    <w:rsid w:val="003227E3"/>
    <w:rsid w:val="00325BE7"/>
    <w:rsid w:val="00325C61"/>
    <w:rsid w:val="003264BA"/>
    <w:rsid w:val="00327854"/>
    <w:rsid w:val="00330D62"/>
    <w:rsid w:val="00331A60"/>
    <w:rsid w:val="00332454"/>
    <w:rsid w:val="003326BA"/>
    <w:rsid w:val="00332909"/>
    <w:rsid w:val="00332A4B"/>
    <w:rsid w:val="00333A97"/>
    <w:rsid w:val="003344D3"/>
    <w:rsid w:val="00335797"/>
    <w:rsid w:val="00336479"/>
    <w:rsid w:val="0033759D"/>
    <w:rsid w:val="00337604"/>
    <w:rsid w:val="00337763"/>
    <w:rsid w:val="00340C76"/>
    <w:rsid w:val="00340DD9"/>
    <w:rsid w:val="00341753"/>
    <w:rsid w:val="003426AC"/>
    <w:rsid w:val="0034274C"/>
    <w:rsid w:val="00342A8B"/>
    <w:rsid w:val="00343D1A"/>
    <w:rsid w:val="00344761"/>
    <w:rsid w:val="00344BA0"/>
    <w:rsid w:val="00344E69"/>
    <w:rsid w:val="00344EF3"/>
    <w:rsid w:val="00345597"/>
    <w:rsid w:val="0034585D"/>
    <w:rsid w:val="00347C98"/>
    <w:rsid w:val="0035018A"/>
    <w:rsid w:val="00351830"/>
    <w:rsid w:val="00351965"/>
    <w:rsid w:val="00352332"/>
    <w:rsid w:val="00352C5B"/>
    <w:rsid w:val="00353501"/>
    <w:rsid w:val="00354738"/>
    <w:rsid w:val="00354CF0"/>
    <w:rsid w:val="0035522A"/>
    <w:rsid w:val="00355A97"/>
    <w:rsid w:val="00356366"/>
    <w:rsid w:val="00357610"/>
    <w:rsid w:val="00357794"/>
    <w:rsid w:val="0036290C"/>
    <w:rsid w:val="00363877"/>
    <w:rsid w:val="00366B0C"/>
    <w:rsid w:val="0036778A"/>
    <w:rsid w:val="003678AE"/>
    <w:rsid w:val="00370B0A"/>
    <w:rsid w:val="00371604"/>
    <w:rsid w:val="00371A50"/>
    <w:rsid w:val="00371CC7"/>
    <w:rsid w:val="00372891"/>
    <w:rsid w:val="003729C8"/>
    <w:rsid w:val="00373590"/>
    <w:rsid w:val="003744A4"/>
    <w:rsid w:val="0037466D"/>
    <w:rsid w:val="0037566C"/>
    <w:rsid w:val="00376FE3"/>
    <w:rsid w:val="00377617"/>
    <w:rsid w:val="003810AC"/>
    <w:rsid w:val="003825E7"/>
    <w:rsid w:val="00384AAA"/>
    <w:rsid w:val="00386050"/>
    <w:rsid w:val="0038607F"/>
    <w:rsid w:val="003862C7"/>
    <w:rsid w:val="00387450"/>
    <w:rsid w:val="00387D2B"/>
    <w:rsid w:val="00391C4F"/>
    <w:rsid w:val="00393472"/>
    <w:rsid w:val="00393775"/>
    <w:rsid w:val="003945D3"/>
    <w:rsid w:val="00394ACD"/>
    <w:rsid w:val="00394F91"/>
    <w:rsid w:val="0039588F"/>
    <w:rsid w:val="00395A68"/>
    <w:rsid w:val="00397E8F"/>
    <w:rsid w:val="003A018B"/>
    <w:rsid w:val="003A2389"/>
    <w:rsid w:val="003A364D"/>
    <w:rsid w:val="003A44F5"/>
    <w:rsid w:val="003A4FA8"/>
    <w:rsid w:val="003A6106"/>
    <w:rsid w:val="003B01EB"/>
    <w:rsid w:val="003B1B26"/>
    <w:rsid w:val="003B1B27"/>
    <w:rsid w:val="003B2554"/>
    <w:rsid w:val="003B26FC"/>
    <w:rsid w:val="003B38A5"/>
    <w:rsid w:val="003B3F36"/>
    <w:rsid w:val="003B5715"/>
    <w:rsid w:val="003B626F"/>
    <w:rsid w:val="003B657E"/>
    <w:rsid w:val="003B6952"/>
    <w:rsid w:val="003B706E"/>
    <w:rsid w:val="003B787B"/>
    <w:rsid w:val="003C0856"/>
    <w:rsid w:val="003C0B9E"/>
    <w:rsid w:val="003C18C6"/>
    <w:rsid w:val="003C2C2D"/>
    <w:rsid w:val="003C2E75"/>
    <w:rsid w:val="003C2F9A"/>
    <w:rsid w:val="003C3526"/>
    <w:rsid w:val="003C3723"/>
    <w:rsid w:val="003C3755"/>
    <w:rsid w:val="003C51F4"/>
    <w:rsid w:val="003C7F68"/>
    <w:rsid w:val="003D016C"/>
    <w:rsid w:val="003D07FD"/>
    <w:rsid w:val="003D1077"/>
    <w:rsid w:val="003D1F38"/>
    <w:rsid w:val="003D25B3"/>
    <w:rsid w:val="003D2AFA"/>
    <w:rsid w:val="003D3EA0"/>
    <w:rsid w:val="003D4F39"/>
    <w:rsid w:val="003D7D50"/>
    <w:rsid w:val="003E0384"/>
    <w:rsid w:val="003E055B"/>
    <w:rsid w:val="003E09BD"/>
    <w:rsid w:val="003E171E"/>
    <w:rsid w:val="003E1E0B"/>
    <w:rsid w:val="003E1E70"/>
    <w:rsid w:val="003E2233"/>
    <w:rsid w:val="003E2736"/>
    <w:rsid w:val="003E2807"/>
    <w:rsid w:val="003E37E2"/>
    <w:rsid w:val="003E4D23"/>
    <w:rsid w:val="003E520F"/>
    <w:rsid w:val="003E659A"/>
    <w:rsid w:val="003E70A7"/>
    <w:rsid w:val="003E77F1"/>
    <w:rsid w:val="003F0B72"/>
    <w:rsid w:val="003F0F99"/>
    <w:rsid w:val="003F4110"/>
    <w:rsid w:val="003F4228"/>
    <w:rsid w:val="003F6603"/>
    <w:rsid w:val="003F6FFE"/>
    <w:rsid w:val="003F74D2"/>
    <w:rsid w:val="00401CF2"/>
    <w:rsid w:val="00402F3A"/>
    <w:rsid w:val="00403C28"/>
    <w:rsid w:val="00404D39"/>
    <w:rsid w:val="00404DE4"/>
    <w:rsid w:val="004065DD"/>
    <w:rsid w:val="0040751B"/>
    <w:rsid w:val="00410156"/>
    <w:rsid w:val="00410C75"/>
    <w:rsid w:val="00412A02"/>
    <w:rsid w:val="00412EEC"/>
    <w:rsid w:val="004132C1"/>
    <w:rsid w:val="004139A3"/>
    <w:rsid w:val="004149BA"/>
    <w:rsid w:val="004149C3"/>
    <w:rsid w:val="00414B1C"/>
    <w:rsid w:val="0041570E"/>
    <w:rsid w:val="0041576C"/>
    <w:rsid w:val="0041579F"/>
    <w:rsid w:val="00416450"/>
    <w:rsid w:val="004166A6"/>
    <w:rsid w:val="00421DD4"/>
    <w:rsid w:val="0042377F"/>
    <w:rsid w:val="00426042"/>
    <w:rsid w:val="004260E7"/>
    <w:rsid w:val="0043334B"/>
    <w:rsid w:val="00434006"/>
    <w:rsid w:val="00434153"/>
    <w:rsid w:val="0043522A"/>
    <w:rsid w:val="004354C2"/>
    <w:rsid w:val="00435A39"/>
    <w:rsid w:val="0044039C"/>
    <w:rsid w:val="0044136C"/>
    <w:rsid w:val="004416D4"/>
    <w:rsid w:val="004419E0"/>
    <w:rsid w:val="00442B83"/>
    <w:rsid w:val="0044308A"/>
    <w:rsid w:val="00444E9D"/>
    <w:rsid w:val="00445F10"/>
    <w:rsid w:val="004468E7"/>
    <w:rsid w:val="004477CC"/>
    <w:rsid w:val="00450A75"/>
    <w:rsid w:val="00451255"/>
    <w:rsid w:val="004522A7"/>
    <w:rsid w:val="004539F3"/>
    <w:rsid w:val="00454412"/>
    <w:rsid w:val="00454E64"/>
    <w:rsid w:val="00455B1E"/>
    <w:rsid w:val="00456572"/>
    <w:rsid w:val="00456601"/>
    <w:rsid w:val="00457D89"/>
    <w:rsid w:val="004606D7"/>
    <w:rsid w:val="0046106D"/>
    <w:rsid w:val="00461461"/>
    <w:rsid w:val="00461FE8"/>
    <w:rsid w:val="004621BE"/>
    <w:rsid w:val="0046323D"/>
    <w:rsid w:val="00463738"/>
    <w:rsid w:val="0046536F"/>
    <w:rsid w:val="00465D21"/>
    <w:rsid w:val="00466837"/>
    <w:rsid w:val="00467027"/>
    <w:rsid w:val="0046717C"/>
    <w:rsid w:val="0046718C"/>
    <w:rsid w:val="0046734A"/>
    <w:rsid w:val="004676EC"/>
    <w:rsid w:val="00467E9F"/>
    <w:rsid w:val="00470241"/>
    <w:rsid w:val="004707F8"/>
    <w:rsid w:val="004718FD"/>
    <w:rsid w:val="00471B69"/>
    <w:rsid w:val="00474425"/>
    <w:rsid w:val="00475934"/>
    <w:rsid w:val="00477642"/>
    <w:rsid w:val="00482112"/>
    <w:rsid w:val="004822C3"/>
    <w:rsid w:val="004823AE"/>
    <w:rsid w:val="00482A2E"/>
    <w:rsid w:val="00482C53"/>
    <w:rsid w:val="004836BA"/>
    <w:rsid w:val="00484610"/>
    <w:rsid w:val="00485BA2"/>
    <w:rsid w:val="00485BA7"/>
    <w:rsid w:val="00485D0B"/>
    <w:rsid w:val="00486164"/>
    <w:rsid w:val="004861E2"/>
    <w:rsid w:val="00486335"/>
    <w:rsid w:val="004863CD"/>
    <w:rsid w:val="00486FBD"/>
    <w:rsid w:val="0048700D"/>
    <w:rsid w:val="0048750C"/>
    <w:rsid w:val="00487AE7"/>
    <w:rsid w:val="00487FF6"/>
    <w:rsid w:val="0049025D"/>
    <w:rsid w:val="0049385F"/>
    <w:rsid w:val="00493BE3"/>
    <w:rsid w:val="00494CF8"/>
    <w:rsid w:val="004969BD"/>
    <w:rsid w:val="00496EA3"/>
    <w:rsid w:val="00497516"/>
    <w:rsid w:val="00497960"/>
    <w:rsid w:val="00497C16"/>
    <w:rsid w:val="004A08DF"/>
    <w:rsid w:val="004A1516"/>
    <w:rsid w:val="004A1695"/>
    <w:rsid w:val="004A1729"/>
    <w:rsid w:val="004A187D"/>
    <w:rsid w:val="004A1D50"/>
    <w:rsid w:val="004A1DF8"/>
    <w:rsid w:val="004A234B"/>
    <w:rsid w:val="004A48FE"/>
    <w:rsid w:val="004A4C8E"/>
    <w:rsid w:val="004A5AB0"/>
    <w:rsid w:val="004A7A0C"/>
    <w:rsid w:val="004B0533"/>
    <w:rsid w:val="004B2167"/>
    <w:rsid w:val="004B249E"/>
    <w:rsid w:val="004B2698"/>
    <w:rsid w:val="004B3910"/>
    <w:rsid w:val="004B3B1D"/>
    <w:rsid w:val="004B3D1B"/>
    <w:rsid w:val="004B3D9E"/>
    <w:rsid w:val="004B56FB"/>
    <w:rsid w:val="004B5999"/>
    <w:rsid w:val="004B609C"/>
    <w:rsid w:val="004B634F"/>
    <w:rsid w:val="004B75E3"/>
    <w:rsid w:val="004B7966"/>
    <w:rsid w:val="004C0F6E"/>
    <w:rsid w:val="004C1066"/>
    <w:rsid w:val="004C139E"/>
    <w:rsid w:val="004C28FA"/>
    <w:rsid w:val="004C3045"/>
    <w:rsid w:val="004C3A43"/>
    <w:rsid w:val="004C4537"/>
    <w:rsid w:val="004C591C"/>
    <w:rsid w:val="004C7189"/>
    <w:rsid w:val="004C7415"/>
    <w:rsid w:val="004C7F7C"/>
    <w:rsid w:val="004D24A4"/>
    <w:rsid w:val="004D262D"/>
    <w:rsid w:val="004D657A"/>
    <w:rsid w:val="004D65C8"/>
    <w:rsid w:val="004D7FAA"/>
    <w:rsid w:val="004E11A1"/>
    <w:rsid w:val="004E2AD9"/>
    <w:rsid w:val="004E3C65"/>
    <w:rsid w:val="004E3D3D"/>
    <w:rsid w:val="004E4058"/>
    <w:rsid w:val="004E4B7B"/>
    <w:rsid w:val="004E4C9C"/>
    <w:rsid w:val="004E5443"/>
    <w:rsid w:val="004E595E"/>
    <w:rsid w:val="004E6889"/>
    <w:rsid w:val="004E698B"/>
    <w:rsid w:val="004E76A1"/>
    <w:rsid w:val="004F0195"/>
    <w:rsid w:val="004F078D"/>
    <w:rsid w:val="004F1C0E"/>
    <w:rsid w:val="004F1C46"/>
    <w:rsid w:val="004F30E5"/>
    <w:rsid w:val="004F5858"/>
    <w:rsid w:val="004F5AD2"/>
    <w:rsid w:val="004F5C9C"/>
    <w:rsid w:val="004F670C"/>
    <w:rsid w:val="004F6DA0"/>
    <w:rsid w:val="004F6E47"/>
    <w:rsid w:val="004F708F"/>
    <w:rsid w:val="004F7121"/>
    <w:rsid w:val="004F75CB"/>
    <w:rsid w:val="00501D23"/>
    <w:rsid w:val="005020C1"/>
    <w:rsid w:val="00506232"/>
    <w:rsid w:val="00506AF2"/>
    <w:rsid w:val="00506B1B"/>
    <w:rsid w:val="00506B75"/>
    <w:rsid w:val="00507CF0"/>
    <w:rsid w:val="00511629"/>
    <w:rsid w:val="00511683"/>
    <w:rsid w:val="005117D8"/>
    <w:rsid w:val="00511937"/>
    <w:rsid w:val="00512CB8"/>
    <w:rsid w:val="00513D5C"/>
    <w:rsid w:val="00514089"/>
    <w:rsid w:val="00514246"/>
    <w:rsid w:val="005145B8"/>
    <w:rsid w:val="0052032D"/>
    <w:rsid w:val="00521EEC"/>
    <w:rsid w:val="00521FDD"/>
    <w:rsid w:val="00522E0A"/>
    <w:rsid w:val="00523069"/>
    <w:rsid w:val="005230E5"/>
    <w:rsid w:val="005236B8"/>
    <w:rsid w:val="005237C5"/>
    <w:rsid w:val="00523AC8"/>
    <w:rsid w:val="005245EB"/>
    <w:rsid w:val="005248F2"/>
    <w:rsid w:val="005252CC"/>
    <w:rsid w:val="00525495"/>
    <w:rsid w:val="00526998"/>
    <w:rsid w:val="005278A6"/>
    <w:rsid w:val="00530162"/>
    <w:rsid w:val="005352E1"/>
    <w:rsid w:val="0053557B"/>
    <w:rsid w:val="00536C09"/>
    <w:rsid w:val="005370D6"/>
    <w:rsid w:val="0053730F"/>
    <w:rsid w:val="00537B8E"/>
    <w:rsid w:val="00540E03"/>
    <w:rsid w:val="00540E70"/>
    <w:rsid w:val="00541C53"/>
    <w:rsid w:val="00542633"/>
    <w:rsid w:val="005433D1"/>
    <w:rsid w:val="00543911"/>
    <w:rsid w:val="0054465C"/>
    <w:rsid w:val="00544E5A"/>
    <w:rsid w:val="00546CE6"/>
    <w:rsid w:val="00547329"/>
    <w:rsid w:val="00547633"/>
    <w:rsid w:val="005509C5"/>
    <w:rsid w:val="0055209C"/>
    <w:rsid w:val="00552AE0"/>
    <w:rsid w:val="00553094"/>
    <w:rsid w:val="0055415F"/>
    <w:rsid w:val="0055609F"/>
    <w:rsid w:val="00556A78"/>
    <w:rsid w:val="00557B43"/>
    <w:rsid w:val="0056034C"/>
    <w:rsid w:val="0056156E"/>
    <w:rsid w:val="00561917"/>
    <w:rsid w:val="005620AF"/>
    <w:rsid w:val="005624D4"/>
    <w:rsid w:val="00563E96"/>
    <w:rsid w:val="00563F21"/>
    <w:rsid w:val="005643E0"/>
    <w:rsid w:val="00564E82"/>
    <w:rsid w:val="00564EC8"/>
    <w:rsid w:val="00565022"/>
    <w:rsid w:val="005657F8"/>
    <w:rsid w:val="0056628D"/>
    <w:rsid w:val="00567054"/>
    <w:rsid w:val="00567766"/>
    <w:rsid w:val="00567C99"/>
    <w:rsid w:val="005704D4"/>
    <w:rsid w:val="005705AB"/>
    <w:rsid w:val="005707C2"/>
    <w:rsid w:val="00572980"/>
    <w:rsid w:val="00572CAE"/>
    <w:rsid w:val="005734A0"/>
    <w:rsid w:val="00573849"/>
    <w:rsid w:val="00574629"/>
    <w:rsid w:val="00575D79"/>
    <w:rsid w:val="00576413"/>
    <w:rsid w:val="00576AEA"/>
    <w:rsid w:val="0057712C"/>
    <w:rsid w:val="0057743D"/>
    <w:rsid w:val="005806E6"/>
    <w:rsid w:val="00580898"/>
    <w:rsid w:val="005814E8"/>
    <w:rsid w:val="00582D26"/>
    <w:rsid w:val="00583C58"/>
    <w:rsid w:val="00584797"/>
    <w:rsid w:val="00584FC4"/>
    <w:rsid w:val="00585597"/>
    <w:rsid w:val="00585877"/>
    <w:rsid w:val="005872DB"/>
    <w:rsid w:val="00590A58"/>
    <w:rsid w:val="005917E0"/>
    <w:rsid w:val="005931DB"/>
    <w:rsid w:val="0059335C"/>
    <w:rsid w:val="005937AA"/>
    <w:rsid w:val="00593AB1"/>
    <w:rsid w:val="00593DF2"/>
    <w:rsid w:val="00595502"/>
    <w:rsid w:val="00595564"/>
    <w:rsid w:val="0059627C"/>
    <w:rsid w:val="005A21F8"/>
    <w:rsid w:val="005A2728"/>
    <w:rsid w:val="005A2E9C"/>
    <w:rsid w:val="005A3225"/>
    <w:rsid w:val="005A327A"/>
    <w:rsid w:val="005A36DC"/>
    <w:rsid w:val="005A5192"/>
    <w:rsid w:val="005A5627"/>
    <w:rsid w:val="005A5A75"/>
    <w:rsid w:val="005B1813"/>
    <w:rsid w:val="005B2E37"/>
    <w:rsid w:val="005B368E"/>
    <w:rsid w:val="005B3DE6"/>
    <w:rsid w:val="005B5B88"/>
    <w:rsid w:val="005B65A2"/>
    <w:rsid w:val="005B69AA"/>
    <w:rsid w:val="005B6B36"/>
    <w:rsid w:val="005B6B9A"/>
    <w:rsid w:val="005B701F"/>
    <w:rsid w:val="005B7699"/>
    <w:rsid w:val="005C0F81"/>
    <w:rsid w:val="005C206A"/>
    <w:rsid w:val="005C20CF"/>
    <w:rsid w:val="005C45FB"/>
    <w:rsid w:val="005C5664"/>
    <w:rsid w:val="005C5EF4"/>
    <w:rsid w:val="005C6527"/>
    <w:rsid w:val="005C68EE"/>
    <w:rsid w:val="005C6C93"/>
    <w:rsid w:val="005D026E"/>
    <w:rsid w:val="005D25DF"/>
    <w:rsid w:val="005D355A"/>
    <w:rsid w:val="005D4FAC"/>
    <w:rsid w:val="005D62AD"/>
    <w:rsid w:val="005E0853"/>
    <w:rsid w:val="005E0F8A"/>
    <w:rsid w:val="005E1076"/>
    <w:rsid w:val="005E1BF7"/>
    <w:rsid w:val="005E291F"/>
    <w:rsid w:val="005E32DF"/>
    <w:rsid w:val="005E3C5C"/>
    <w:rsid w:val="005E54E7"/>
    <w:rsid w:val="005E59AE"/>
    <w:rsid w:val="005E66F8"/>
    <w:rsid w:val="005E698B"/>
    <w:rsid w:val="005E6D53"/>
    <w:rsid w:val="005E7C49"/>
    <w:rsid w:val="005F152E"/>
    <w:rsid w:val="005F201B"/>
    <w:rsid w:val="005F40E2"/>
    <w:rsid w:val="005F4EF2"/>
    <w:rsid w:val="005F548F"/>
    <w:rsid w:val="005F5770"/>
    <w:rsid w:val="005F632C"/>
    <w:rsid w:val="005F7B36"/>
    <w:rsid w:val="00601AE8"/>
    <w:rsid w:val="00602DA6"/>
    <w:rsid w:val="0060495D"/>
    <w:rsid w:val="00605EAB"/>
    <w:rsid w:val="006064E0"/>
    <w:rsid w:val="0060651A"/>
    <w:rsid w:val="00607755"/>
    <w:rsid w:val="00610B14"/>
    <w:rsid w:val="00610DE5"/>
    <w:rsid w:val="006112B3"/>
    <w:rsid w:val="0061191B"/>
    <w:rsid w:val="006123F2"/>
    <w:rsid w:val="006145F1"/>
    <w:rsid w:val="0061484E"/>
    <w:rsid w:val="00614D4B"/>
    <w:rsid w:val="006155CB"/>
    <w:rsid w:val="006157EB"/>
    <w:rsid w:val="00615A5B"/>
    <w:rsid w:val="00615CCA"/>
    <w:rsid w:val="0061651F"/>
    <w:rsid w:val="00616F88"/>
    <w:rsid w:val="00617636"/>
    <w:rsid w:val="00620393"/>
    <w:rsid w:val="006203C4"/>
    <w:rsid w:val="00620F44"/>
    <w:rsid w:val="00622405"/>
    <w:rsid w:val="00623828"/>
    <w:rsid w:val="00623B55"/>
    <w:rsid w:val="00624328"/>
    <w:rsid w:val="006252CC"/>
    <w:rsid w:val="006306B6"/>
    <w:rsid w:val="00630F17"/>
    <w:rsid w:val="00631CDF"/>
    <w:rsid w:val="00631E58"/>
    <w:rsid w:val="006328EB"/>
    <w:rsid w:val="0063525A"/>
    <w:rsid w:val="006422E8"/>
    <w:rsid w:val="00643A12"/>
    <w:rsid w:val="0064579C"/>
    <w:rsid w:val="006457FF"/>
    <w:rsid w:val="00645A5F"/>
    <w:rsid w:val="00647660"/>
    <w:rsid w:val="006520ED"/>
    <w:rsid w:val="006522A0"/>
    <w:rsid w:val="00652D45"/>
    <w:rsid w:val="00652E83"/>
    <w:rsid w:val="006532D3"/>
    <w:rsid w:val="0065403A"/>
    <w:rsid w:val="0065468B"/>
    <w:rsid w:val="00654FAD"/>
    <w:rsid w:val="00655762"/>
    <w:rsid w:val="00655850"/>
    <w:rsid w:val="00655D3B"/>
    <w:rsid w:val="00656E82"/>
    <w:rsid w:val="00657EBA"/>
    <w:rsid w:val="00660BF5"/>
    <w:rsid w:val="006620A4"/>
    <w:rsid w:val="00662AE7"/>
    <w:rsid w:val="006631BD"/>
    <w:rsid w:val="006637F7"/>
    <w:rsid w:val="0066415E"/>
    <w:rsid w:val="00666842"/>
    <w:rsid w:val="00666A21"/>
    <w:rsid w:val="00666A2C"/>
    <w:rsid w:val="00666ABF"/>
    <w:rsid w:val="00666B62"/>
    <w:rsid w:val="006701EE"/>
    <w:rsid w:val="00670333"/>
    <w:rsid w:val="006707EE"/>
    <w:rsid w:val="006709EC"/>
    <w:rsid w:val="00670B1E"/>
    <w:rsid w:val="00671964"/>
    <w:rsid w:val="00671AC8"/>
    <w:rsid w:val="006720F9"/>
    <w:rsid w:val="00672FBF"/>
    <w:rsid w:val="006745A7"/>
    <w:rsid w:val="00674AFC"/>
    <w:rsid w:val="00675549"/>
    <w:rsid w:val="00675915"/>
    <w:rsid w:val="00677DC8"/>
    <w:rsid w:val="00677E19"/>
    <w:rsid w:val="006810D4"/>
    <w:rsid w:val="00682CBD"/>
    <w:rsid w:val="0068378A"/>
    <w:rsid w:val="006846AE"/>
    <w:rsid w:val="006852B1"/>
    <w:rsid w:val="00685F6B"/>
    <w:rsid w:val="00686AA6"/>
    <w:rsid w:val="00687787"/>
    <w:rsid w:val="00687EFE"/>
    <w:rsid w:val="00690509"/>
    <w:rsid w:val="00690C7E"/>
    <w:rsid w:val="00691AF7"/>
    <w:rsid w:val="00691E1F"/>
    <w:rsid w:val="00691FD1"/>
    <w:rsid w:val="006926C0"/>
    <w:rsid w:val="006929A3"/>
    <w:rsid w:val="00692CBA"/>
    <w:rsid w:val="0069322E"/>
    <w:rsid w:val="00695284"/>
    <w:rsid w:val="006954FE"/>
    <w:rsid w:val="00695A38"/>
    <w:rsid w:val="00696DC4"/>
    <w:rsid w:val="0069740A"/>
    <w:rsid w:val="00697CB5"/>
    <w:rsid w:val="006A0BE5"/>
    <w:rsid w:val="006A117D"/>
    <w:rsid w:val="006A3BB1"/>
    <w:rsid w:val="006A3E5B"/>
    <w:rsid w:val="006A47BC"/>
    <w:rsid w:val="006A5133"/>
    <w:rsid w:val="006A51A3"/>
    <w:rsid w:val="006A60ED"/>
    <w:rsid w:val="006A6EED"/>
    <w:rsid w:val="006A7A6B"/>
    <w:rsid w:val="006A7DEE"/>
    <w:rsid w:val="006B1307"/>
    <w:rsid w:val="006B1B61"/>
    <w:rsid w:val="006B279B"/>
    <w:rsid w:val="006B36C4"/>
    <w:rsid w:val="006B47E5"/>
    <w:rsid w:val="006B5876"/>
    <w:rsid w:val="006B6D4D"/>
    <w:rsid w:val="006C0344"/>
    <w:rsid w:val="006C2730"/>
    <w:rsid w:val="006C278A"/>
    <w:rsid w:val="006C38AC"/>
    <w:rsid w:val="006C7614"/>
    <w:rsid w:val="006C7E81"/>
    <w:rsid w:val="006D0469"/>
    <w:rsid w:val="006D05AE"/>
    <w:rsid w:val="006D0C9B"/>
    <w:rsid w:val="006D565D"/>
    <w:rsid w:val="006D68FA"/>
    <w:rsid w:val="006D7485"/>
    <w:rsid w:val="006D75FE"/>
    <w:rsid w:val="006E1807"/>
    <w:rsid w:val="006E19D2"/>
    <w:rsid w:val="006E4645"/>
    <w:rsid w:val="006E576F"/>
    <w:rsid w:val="006E5B3E"/>
    <w:rsid w:val="006E66B4"/>
    <w:rsid w:val="006E713F"/>
    <w:rsid w:val="006F168C"/>
    <w:rsid w:val="006F1A47"/>
    <w:rsid w:val="006F3D8D"/>
    <w:rsid w:val="006F7C96"/>
    <w:rsid w:val="00700515"/>
    <w:rsid w:val="00701420"/>
    <w:rsid w:val="00702526"/>
    <w:rsid w:val="00702CEE"/>
    <w:rsid w:val="0070396C"/>
    <w:rsid w:val="00704831"/>
    <w:rsid w:val="007051D8"/>
    <w:rsid w:val="007059BB"/>
    <w:rsid w:val="00705AD3"/>
    <w:rsid w:val="00706A10"/>
    <w:rsid w:val="00707F27"/>
    <w:rsid w:val="007118D1"/>
    <w:rsid w:val="0071192E"/>
    <w:rsid w:val="00711E3E"/>
    <w:rsid w:val="00711F2A"/>
    <w:rsid w:val="0071244C"/>
    <w:rsid w:val="00715227"/>
    <w:rsid w:val="00716FE0"/>
    <w:rsid w:val="0071716A"/>
    <w:rsid w:val="00720B45"/>
    <w:rsid w:val="007216D3"/>
    <w:rsid w:val="00721EA7"/>
    <w:rsid w:val="00722D6C"/>
    <w:rsid w:val="007239F9"/>
    <w:rsid w:val="00723B0F"/>
    <w:rsid w:val="00723BA4"/>
    <w:rsid w:val="00725657"/>
    <w:rsid w:val="007259EB"/>
    <w:rsid w:val="00725A67"/>
    <w:rsid w:val="00727142"/>
    <w:rsid w:val="007274BE"/>
    <w:rsid w:val="00727EB6"/>
    <w:rsid w:val="0073014D"/>
    <w:rsid w:val="00730250"/>
    <w:rsid w:val="0073089C"/>
    <w:rsid w:val="0073103B"/>
    <w:rsid w:val="00732320"/>
    <w:rsid w:val="007324C4"/>
    <w:rsid w:val="00733300"/>
    <w:rsid w:val="007339F3"/>
    <w:rsid w:val="00736343"/>
    <w:rsid w:val="00736BAF"/>
    <w:rsid w:val="00737F94"/>
    <w:rsid w:val="0074090B"/>
    <w:rsid w:val="00740C5E"/>
    <w:rsid w:val="00740CD6"/>
    <w:rsid w:val="007414E1"/>
    <w:rsid w:val="007414EF"/>
    <w:rsid w:val="007422B4"/>
    <w:rsid w:val="00742CB6"/>
    <w:rsid w:val="007432C1"/>
    <w:rsid w:val="0074341A"/>
    <w:rsid w:val="00743421"/>
    <w:rsid w:val="00743707"/>
    <w:rsid w:val="0074410D"/>
    <w:rsid w:val="00745F74"/>
    <w:rsid w:val="0074657A"/>
    <w:rsid w:val="0074714D"/>
    <w:rsid w:val="00747EEE"/>
    <w:rsid w:val="00750217"/>
    <w:rsid w:val="00750D6B"/>
    <w:rsid w:val="00750F33"/>
    <w:rsid w:val="00751245"/>
    <w:rsid w:val="0075201B"/>
    <w:rsid w:val="00752152"/>
    <w:rsid w:val="007521F8"/>
    <w:rsid w:val="0075254D"/>
    <w:rsid w:val="007525A9"/>
    <w:rsid w:val="00752DF7"/>
    <w:rsid w:val="00754CCF"/>
    <w:rsid w:val="00754DCB"/>
    <w:rsid w:val="00755142"/>
    <w:rsid w:val="00760193"/>
    <w:rsid w:val="00762974"/>
    <w:rsid w:val="00764564"/>
    <w:rsid w:val="007645C7"/>
    <w:rsid w:val="0076551D"/>
    <w:rsid w:val="00766C3F"/>
    <w:rsid w:val="00766DD3"/>
    <w:rsid w:val="00770230"/>
    <w:rsid w:val="007702C3"/>
    <w:rsid w:val="00770E9C"/>
    <w:rsid w:val="00771038"/>
    <w:rsid w:val="00772254"/>
    <w:rsid w:val="0077293A"/>
    <w:rsid w:val="007743B9"/>
    <w:rsid w:val="007752BC"/>
    <w:rsid w:val="007764B3"/>
    <w:rsid w:val="0077745B"/>
    <w:rsid w:val="0077750B"/>
    <w:rsid w:val="00780405"/>
    <w:rsid w:val="00781FBE"/>
    <w:rsid w:val="00783444"/>
    <w:rsid w:val="0078376F"/>
    <w:rsid w:val="00784A6C"/>
    <w:rsid w:val="0078543D"/>
    <w:rsid w:val="007856AF"/>
    <w:rsid w:val="00787F35"/>
    <w:rsid w:val="00790AB4"/>
    <w:rsid w:val="0079123B"/>
    <w:rsid w:val="00793F1D"/>
    <w:rsid w:val="0079442E"/>
    <w:rsid w:val="00794D07"/>
    <w:rsid w:val="00796032"/>
    <w:rsid w:val="007960FD"/>
    <w:rsid w:val="00796E22"/>
    <w:rsid w:val="0079705C"/>
    <w:rsid w:val="007A0CCC"/>
    <w:rsid w:val="007A0FB6"/>
    <w:rsid w:val="007A163E"/>
    <w:rsid w:val="007A2B1B"/>
    <w:rsid w:val="007A3312"/>
    <w:rsid w:val="007A4028"/>
    <w:rsid w:val="007A4D1E"/>
    <w:rsid w:val="007A581C"/>
    <w:rsid w:val="007A5EE8"/>
    <w:rsid w:val="007A6841"/>
    <w:rsid w:val="007A6A1E"/>
    <w:rsid w:val="007A70FB"/>
    <w:rsid w:val="007A7106"/>
    <w:rsid w:val="007A789D"/>
    <w:rsid w:val="007B14AE"/>
    <w:rsid w:val="007B1D63"/>
    <w:rsid w:val="007B46A8"/>
    <w:rsid w:val="007B50AF"/>
    <w:rsid w:val="007B5BB0"/>
    <w:rsid w:val="007B6003"/>
    <w:rsid w:val="007B7AB7"/>
    <w:rsid w:val="007C00CB"/>
    <w:rsid w:val="007C03FD"/>
    <w:rsid w:val="007C0881"/>
    <w:rsid w:val="007C0CB6"/>
    <w:rsid w:val="007C0E6F"/>
    <w:rsid w:val="007C1A2F"/>
    <w:rsid w:val="007C1F48"/>
    <w:rsid w:val="007C32EE"/>
    <w:rsid w:val="007C47F0"/>
    <w:rsid w:val="007C538F"/>
    <w:rsid w:val="007C5933"/>
    <w:rsid w:val="007C6670"/>
    <w:rsid w:val="007C6787"/>
    <w:rsid w:val="007C6CAE"/>
    <w:rsid w:val="007C746D"/>
    <w:rsid w:val="007C75C9"/>
    <w:rsid w:val="007C7B9B"/>
    <w:rsid w:val="007D0789"/>
    <w:rsid w:val="007D1558"/>
    <w:rsid w:val="007D1957"/>
    <w:rsid w:val="007D244B"/>
    <w:rsid w:val="007D2464"/>
    <w:rsid w:val="007D2AAD"/>
    <w:rsid w:val="007D3859"/>
    <w:rsid w:val="007D4727"/>
    <w:rsid w:val="007D6628"/>
    <w:rsid w:val="007D677E"/>
    <w:rsid w:val="007E04D4"/>
    <w:rsid w:val="007E05D6"/>
    <w:rsid w:val="007E1372"/>
    <w:rsid w:val="007E151D"/>
    <w:rsid w:val="007E2B3D"/>
    <w:rsid w:val="007E3522"/>
    <w:rsid w:val="007E3782"/>
    <w:rsid w:val="007E503E"/>
    <w:rsid w:val="007E5130"/>
    <w:rsid w:val="007E7781"/>
    <w:rsid w:val="007E7815"/>
    <w:rsid w:val="007F06F9"/>
    <w:rsid w:val="007F0C73"/>
    <w:rsid w:val="007F2C0D"/>
    <w:rsid w:val="007F3910"/>
    <w:rsid w:val="007F3AAA"/>
    <w:rsid w:val="007F5785"/>
    <w:rsid w:val="007F58A9"/>
    <w:rsid w:val="007F5F37"/>
    <w:rsid w:val="00802BD5"/>
    <w:rsid w:val="00802D50"/>
    <w:rsid w:val="0080477C"/>
    <w:rsid w:val="00805A8D"/>
    <w:rsid w:val="00810709"/>
    <w:rsid w:val="008147B7"/>
    <w:rsid w:val="00815649"/>
    <w:rsid w:val="00815F5A"/>
    <w:rsid w:val="0082056B"/>
    <w:rsid w:val="00821219"/>
    <w:rsid w:val="00822165"/>
    <w:rsid w:val="00822BEF"/>
    <w:rsid w:val="00822F45"/>
    <w:rsid w:val="00823FDA"/>
    <w:rsid w:val="00824870"/>
    <w:rsid w:val="00824C61"/>
    <w:rsid w:val="008274AA"/>
    <w:rsid w:val="008277DE"/>
    <w:rsid w:val="008279F3"/>
    <w:rsid w:val="0083088A"/>
    <w:rsid w:val="008316C7"/>
    <w:rsid w:val="00831A60"/>
    <w:rsid w:val="00831B5A"/>
    <w:rsid w:val="00833277"/>
    <w:rsid w:val="00833362"/>
    <w:rsid w:val="0083405E"/>
    <w:rsid w:val="00837140"/>
    <w:rsid w:val="0083721A"/>
    <w:rsid w:val="00837602"/>
    <w:rsid w:val="00837746"/>
    <w:rsid w:val="00837AEB"/>
    <w:rsid w:val="00840D63"/>
    <w:rsid w:val="0084168F"/>
    <w:rsid w:val="008418CF"/>
    <w:rsid w:val="00842B11"/>
    <w:rsid w:val="00844163"/>
    <w:rsid w:val="0084440D"/>
    <w:rsid w:val="0084440F"/>
    <w:rsid w:val="00844492"/>
    <w:rsid w:val="00845017"/>
    <w:rsid w:val="008455A6"/>
    <w:rsid w:val="00845CCC"/>
    <w:rsid w:val="00850A93"/>
    <w:rsid w:val="00850EBD"/>
    <w:rsid w:val="008526E3"/>
    <w:rsid w:val="00853A7F"/>
    <w:rsid w:val="00854486"/>
    <w:rsid w:val="00854FA7"/>
    <w:rsid w:val="0085713C"/>
    <w:rsid w:val="008576C9"/>
    <w:rsid w:val="0086029A"/>
    <w:rsid w:val="008606A8"/>
    <w:rsid w:val="00860A9B"/>
    <w:rsid w:val="00860FDA"/>
    <w:rsid w:val="00861D6B"/>
    <w:rsid w:val="00864CC2"/>
    <w:rsid w:val="00864F68"/>
    <w:rsid w:val="00865380"/>
    <w:rsid w:val="008662E3"/>
    <w:rsid w:val="00866371"/>
    <w:rsid w:val="00866938"/>
    <w:rsid w:val="008679A8"/>
    <w:rsid w:val="00870BE2"/>
    <w:rsid w:val="00871010"/>
    <w:rsid w:val="00871D81"/>
    <w:rsid w:val="00873CFF"/>
    <w:rsid w:val="00874312"/>
    <w:rsid w:val="008805D5"/>
    <w:rsid w:val="00880E65"/>
    <w:rsid w:val="0088228E"/>
    <w:rsid w:val="00884B3E"/>
    <w:rsid w:val="00884B6A"/>
    <w:rsid w:val="00884B7F"/>
    <w:rsid w:val="00885622"/>
    <w:rsid w:val="00886AA1"/>
    <w:rsid w:val="0088784D"/>
    <w:rsid w:val="00891EF9"/>
    <w:rsid w:val="00892FD6"/>
    <w:rsid w:val="00895A6A"/>
    <w:rsid w:val="008974B0"/>
    <w:rsid w:val="00897846"/>
    <w:rsid w:val="00897B18"/>
    <w:rsid w:val="00897F01"/>
    <w:rsid w:val="008A14DD"/>
    <w:rsid w:val="008A26E0"/>
    <w:rsid w:val="008A2AE6"/>
    <w:rsid w:val="008A2D33"/>
    <w:rsid w:val="008A327A"/>
    <w:rsid w:val="008A3537"/>
    <w:rsid w:val="008A4229"/>
    <w:rsid w:val="008A61FF"/>
    <w:rsid w:val="008A6894"/>
    <w:rsid w:val="008A68D5"/>
    <w:rsid w:val="008A748C"/>
    <w:rsid w:val="008B0C8B"/>
    <w:rsid w:val="008B1260"/>
    <w:rsid w:val="008B2B69"/>
    <w:rsid w:val="008B3852"/>
    <w:rsid w:val="008B55C3"/>
    <w:rsid w:val="008B6223"/>
    <w:rsid w:val="008B64C0"/>
    <w:rsid w:val="008B69D6"/>
    <w:rsid w:val="008C024E"/>
    <w:rsid w:val="008C0F48"/>
    <w:rsid w:val="008C143E"/>
    <w:rsid w:val="008C1B7B"/>
    <w:rsid w:val="008C2726"/>
    <w:rsid w:val="008C2AF0"/>
    <w:rsid w:val="008C2D49"/>
    <w:rsid w:val="008C49E5"/>
    <w:rsid w:val="008C4C56"/>
    <w:rsid w:val="008C4F57"/>
    <w:rsid w:val="008C7FC4"/>
    <w:rsid w:val="008D0467"/>
    <w:rsid w:val="008D11C6"/>
    <w:rsid w:val="008D132F"/>
    <w:rsid w:val="008D21FF"/>
    <w:rsid w:val="008D2380"/>
    <w:rsid w:val="008D2A98"/>
    <w:rsid w:val="008D3E20"/>
    <w:rsid w:val="008D44FA"/>
    <w:rsid w:val="008D4676"/>
    <w:rsid w:val="008D59FF"/>
    <w:rsid w:val="008D5BAC"/>
    <w:rsid w:val="008D5BEB"/>
    <w:rsid w:val="008D5DDF"/>
    <w:rsid w:val="008D5EE6"/>
    <w:rsid w:val="008D6573"/>
    <w:rsid w:val="008D7101"/>
    <w:rsid w:val="008E194C"/>
    <w:rsid w:val="008E474C"/>
    <w:rsid w:val="008E4D9A"/>
    <w:rsid w:val="008E5B95"/>
    <w:rsid w:val="008E60CA"/>
    <w:rsid w:val="008E6444"/>
    <w:rsid w:val="008E6F90"/>
    <w:rsid w:val="008E7E64"/>
    <w:rsid w:val="008F0658"/>
    <w:rsid w:val="008F27D0"/>
    <w:rsid w:val="008F3F54"/>
    <w:rsid w:val="008F5BBA"/>
    <w:rsid w:val="008F5E2B"/>
    <w:rsid w:val="008F7143"/>
    <w:rsid w:val="008F7443"/>
    <w:rsid w:val="008F757F"/>
    <w:rsid w:val="009000F7"/>
    <w:rsid w:val="009002F4"/>
    <w:rsid w:val="00901513"/>
    <w:rsid w:val="00901AE0"/>
    <w:rsid w:val="00902AB2"/>
    <w:rsid w:val="00902C51"/>
    <w:rsid w:val="00903666"/>
    <w:rsid w:val="00903EFA"/>
    <w:rsid w:val="009042C4"/>
    <w:rsid w:val="0090445B"/>
    <w:rsid w:val="009050C9"/>
    <w:rsid w:val="00911AD7"/>
    <w:rsid w:val="00913666"/>
    <w:rsid w:val="00913E6B"/>
    <w:rsid w:val="00913F87"/>
    <w:rsid w:val="009151FD"/>
    <w:rsid w:val="00915580"/>
    <w:rsid w:val="009167EA"/>
    <w:rsid w:val="00917F56"/>
    <w:rsid w:val="00917FD1"/>
    <w:rsid w:val="00920308"/>
    <w:rsid w:val="00921C02"/>
    <w:rsid w:val="009230D3"/>
    <w:rsid w:val="00923BD4"/>
    <w:rsid w:val="00924F1F"/>
    <w:rsid w:val="00930E7F"/>
    <w:rsid w:val="009311AB"/>
    <w:rsid w:val="00931D35"/>
    <w:rsid w:val="00932A7B"/>
    <w:rsid w:val="00932AE5"/>
    <w:rsid w:val="0093392B"/>
    <w:rsid w:val="00934478"/>
    <w:rsid w:val="009365A1"/>
    <w:rsid w:val="009366A7"/>
    <w:rsid w:val="00936935"/>
    <w:rsid w:val="00936BB0"/>
    <w:rsid w:val="00940839"/>
    <w:rsid w:val="00940A45"/>
    <w:rsid w:val="009414A6"/>
    <w:rsid w:val="009426A8"/>
    <w:rsid w:val="00942758"/>
    <w:rsid w:val="009430D0"/>
    <w:rsid w:val="00943224"/>
    <w:rsid w:val="00943C6B"/>
    <w:rsid w:val="00954D63"/>
    <w:rsid w:val="009551EF"/>
    <w:rsid w:val="00955248"/>
    <w:rsid w:val="009557CE"/>
    <w:rsid w:val="00955EE9"/>
    <w:rsid w:val="00956261"/>
    <w:rsid w:val="009565D6"/>
    <w:rsid w:val="00956916"/>
    <w:rsid w:val="00956993"/>
    <w:rsid w:val="009573B3"/>
    <w:rsid w:val="009604A3"/>
    <w:rsid w:val="009605F0"/>
    <w:rsid w:val="009615F4"/>
    <w:rsid w:val="00961704"/>
    <w:rsid w:val="00962BB9"/>
    <w:rsid w:val="00962F9D"/>
    <w:rsid w:val="009631C1"/>
    <w:rsid w:val="00963A24"/>
    <w:rsid w:val="00963F0D"/>
    <w:rsid w:val="009649A4"/>
    <w:rsid w:val="00964EBE"/>
    <w:rsid w:val="00965A58"/>
    <w:rsid w:val="00966BB2"/>
    <w:rsid w:val="00966C7F"/>
    <w:rsid w:val="00966EED"/>
    <w:rsid w:val="009703EA"/>
    <w:rsid w:val="00972551"/>
    <w:rsid w:val="00974C90"/>
    <w:rsid w:val="009753F7"/>
    <w:rsid w:val="00976EF7"/>
    <w:rsid w:val="00977843"/>
    <w:rsid w:val="00980597"/>
    <w:rsid w:val="00980AE7"/>
    <w:rsid w:val="00981708"/>
    <w:rsid w:val="00981AE5"/>
    <w:rsid w:val="00981EC7"/>
    <w:rsid w:val="00982D01"/>
    <w:rsid w:val="00982D7C"/>
    <w:rsid w:val="00982E9E"/>
    <w:rsid w:val="00983032"/>
    <w:rsid w:val="00984870"/>
    <w:rsid w:val="009855E5"/>
    <w:rsid w:val="00985AC3"/>
    <w:rsid w:val="0098615C"/>
    <w:rsid w:val="009868B7"/>
    <w:rsid w:val="00986946"/>
    <w:rsid w:val="009876CB"/>
    <w:rsid w:val="00991CA9"/>
    <w:rsid w:val="00992076"/>
    <w:rsid w:val="00993951"/>
    <w:rsid w:val="009948FD"/>
    <w:rsid w:val="00994AB3"/>
    <w:rsid w:val="00995865"/>
    <w:rsid w:val="00995CA4"/>
    <w:rsid w:val="00996530"/>
    <w:rsid w:val="00997ED8"/>
    <w:rsid w:val="009A0C4C"/>
    <w:rsid w:val="009A0F43"/>
    <w:rsid w:val="009A1008"/>
    <w:rsid w:val="009A1764"/>
    <w:rsid w:val="009A1F64"/>
    <w:rsid w:val="009A38DB"/>
    <w:rsid w:val="009A4FDF"/>
    <w:rsid w:val="009A6777"/>
    <w:rsid w:val="009A7363"/>
    <w:rsid w:val="009B0FE0"/>
    <w:rsid w:val="009B223D"/>
    <w:rsid w:val="009B3872"/>
    <w:rsid w:val="009B5283"/>
    <w:rsid w:val="009B5775"/>
    <w:rsid w:val="009B617B"/>
    <w:rsid w:val="009B7C75"/>
    <w:rsid w:val="009B7E8A"/>
    <w:rsid w:val="009C0110"/>
    <w:rsid w:val="009C14DC"/>
    <w:rsid w:val="009C2AF5"/>
    <w:rsid w:val="009C6404"/>
    <w:rsid w:val="009C7768"/>
    <w:rsid w:val="009D0142"/>
    <w:rsid w:val="009D078A"/>
    <w:rsid w:val="009D194E"/>
    <w:rsid w:val="009D2232"/>
    <w:rsid w:val="009D2EA3"/>
    <w:rsid w:val="009D5380"/>
    <w:rsid w:val="009D6F17"/>
    <w:rsid w:val="009D7164"/>
    <w:rsid w:val="009E0E5F"/>
    <w:rsid w:val="009E11DE"/>
    <w:rsid w:val="009E1383"/>
    <w:rsid w:val="009E37F2"/>
    <w:rsid w:val="009E5C52"/>
    <w:rsid w:val="009E645F"/>
    <w:rsid w:val="009E6C4C"/>
    <w:rsid w:val="009E6DF2"/>
    <w:rsid w:val="009E6F36"/>
    <w:rsid w:val="009E745E"/>
    <w:rsid w:val="009F0251"/>
    <w:rsid w:val="009F08F1"/>
    <w:rsid w:val="009F15A3"/>
    <w:rsid w:val="009F1DCB"/>
    <w:rsid w:val="009F2719"/>
    <w:rsid w:val="009F2800"/>
    <w:rsid w:val="009F2E3C"/>
    <w:rsid w:val="009F3868"/>
    <w:rsid w:val="009F40AC"/>
    <w:rsid w:val="009F44A5"/>
    <w:rsid w:val="009F44EE"/>
    <w:rsid w:val="009F450E"/>
    <w:rsid w:val="009F4A9C"/>
    <w:rsid w:val="009F4D08"/>
    <w:rsid w:val="009F5B4F"/>
    <w:rsid w:val="009F6DBE"/>
    <w:rsid w:val="00A00E05"/>
    <w:rsid w:val="00A01EAC"/>
    <w:rsid w:val="00A02448"/>
    <w:rsid w:val="00A0286B"/>
    <w:rsid w:val="00A0297E"/>
    <w:rsid w:val="00A029C1"/>
    <w:rsid w:val="00A03273"/>
    <w:rsid w:val="00A06170"/>
    <w:rsid w:val="00A066C8"/>
    <w:rsid w:val="00A06994"/>
    <w:rsid w:val="00A07E7C"/>
    <w:rsid w:val="00A1109D"/>
    <w:rsid w:val="00A113A8"/>
    <w:rsid w:val="00A11AA5"/>
    <w:rsid w:val="00A138D5"/>
    <w:rsid w:val="00A140EB"/>
    <w:rsid w:val="00A146BE"/>
    <w:rsid w:val="00A15F82"/>
    <w:rsid w:val="00A166D6"/>
    <w:rsid w:val="00A16BDB"/>
    <w:rsid w:val="00A17557"/>
    <w:rsid w:val="00A17E03"/>
    <w:rsid w:val="00A17E67"/>
    <w:rsid w:val="00A20177"/>
    <w:rsid w:val="00A203E2"/>
    <w:rsid w:val="00A2139A"/>
    <w:rsid w:val="00A21F4D"/>
    <w:rsid w:val="00A21F5E"/>
    <w:rsid w:val="00A21F72"/>
    <w:rsid w:val="00A22125"/>
    <w:rsid w:val="00A221A4"/>
    <w:rsid w:val="00A2253F"/>
    <w:rsid w:val="00A232BF"/>
    <w:rsid w:val="00A24A0E"/>
    <w:rsid w:val="00A25BB2"/>
    <w:rsid w:val="00A27A2D"/>
    <w:rsid w:val="00A310BE"/>
    <w:rsid w:val="00A31777"/>
    <w:rsid w:val="00A324EA"/>
    <w:rsid w:val="00A33D8B"/>
    <w:rsid w:val="00A35B20"/>
    <w:rsid w:val="00A366BF"/>
    <w:rsid w:val="00A3764B"/>
    <w:rsid w:val="00A37A21"/>
    <w:rsid w:val="00A40638"/>
    <w:rsid w:val="00A4195E"/>
    <w:rsid w:val="00A451AF"/>
    <w:rsid w:val="00A4549C"/>
    <w:rsid w:val="00A47102"/>
    <w:rsid w:val="00A50558"/>
    <w:rsid w:val="00A5121E"/>
    <w:rsid w:val="00A5182E"/>
    <w:rsid w:val="00A52C4D"/>
    <w:rsid w:val="00A52D5F"/>
    <w:rsid w:val="00A534C7"/>
    <w:rsid w:val="00A5486B"/>
    <w:rsid w:val="00A54E14"/>
    <w:rsid w:val="00A5763C"/>
    <w:rsid w:val="00A609DE"/>
    <w:rsid w:val="00A60BFB"/>
    <w:rsid w:val="00A6200D"/>
    <w:rsid w:val="00A62CB6"/>
    <w:rsid w:val="00A63841"/>
    <w:rsid w:val="00A64DCF"/>
    <w:rsid w:val="00A651AE"/>
    <w:rsid w:val="00A669FA"/>
    <w:rsid w:val="00A673CE"/>
    <w:rsid w:val="00A675BA"/>
    <w:rsid w:val="00A71713"/>
    <w:rsid w:val="00A73EFD"/>
    <w:rsid w:val="00A74249"/>
    <w:rsid w:val="00A74423"/>
    <w:rsid w:val="00A74BC1"/>
    <w:rsid w:val="00A76228"/>
    <w:rsid w:val="00A76AF5"/>
    <w:rsid w:val="00A81731"/>
    <w:rsid w:val="00A81839"/>
    <w:rsid w:val="00A81B57"/>
    <w:rsid w:val="00A81C23"/>
    <w:rsid w:val="00A81E8A"/>
    <w:rsid w:val="00A822D8"/>
    <w:rsid w:val="00A827A0"/>
    <w:rsid w:val="00A82E3B"/>
    <w:rsid w:val="00A83462"/>
    <w:rsid w:val="00A84670"/>
    <w:rsid w:val="00A84EAA"/>
    <w:rsid w:val="00A84FCB"/>
    <w:rsid w:val="00A862C6"/>
    <w:rsid w:val="00A87E60"/>
    <w:rsid w:val="00A9031D"/>
    <w:rsid w:val="00A91A1C"/>
    <w:rsid w:val="00A92848"/>
    <w:rsid w:val="00A934BC"/>
    <w:rsid w:val="00A93620"/>
    <w:rsid w:val="00A94AF1"/>
    <w:rsid w:val="00A94EA3"/>
    <w:rsid w:val="00A951B6"/>
    <w:rsid w:val="00A95C06"/>
    <w:rsid w:val="00A961F9"/>
    <w:rsid w:val="00A9685E"/>
    <w:rsid w:val="00A9698F"/>
    <w:rsid w:val="00AA1C0D"/>
    <w:rsid w:val="00AA1D35"/>
    <w:rsid w:val="00AA3242"/>
    <w:rsid w:val="00AA337F"/>
    <w:rsid w:val="00AA34C6"/>
    <w:rsid w:val="00AA48D7"/>
    <w:rsid w:val="00AA53AD"/>
    <w:rsid w:val="00AA55AA"/>
    <w:rsid w:val="00AA7D92"/>
    <w:rsid w:val="00AB0092"/>
    <w:rsid w:val="00AB2923"/>
    <w:rsid w:val="00AB2A8E"/>
    <w:rsid w:val="00AB37F0"/>
    <w:rsid w:val="00AB430E"/>
    <w:rsid w:val="00AB72EF"/>
    <w:rsid w:val="00AB7BE9"/>
    <w:rsid w:val="00AC02E5"/>
    <w:rsid w:val="00AC27BA"/>
    <w:rsid w:val="00AC2E2B"/>
    <w:rsid w:val="00AC3D61"/>
    <w:rsid w:val="00AC3DFD"/>
    <w:rsid w:val="00AC46A0"/>
    <w:rsid w:val="00AC489D"/>
    <w:rsid w:val="00AC57C1"/>
    <w:rsid w:val="00AC5CB4"/>
    <w:rsid w:val="00AC5FAD"/>
    <w:rsid w:val="00AC7647"/>
    <w:rsid w:val="00AC7AB0"/>
    <w:rsid w:val="00AC7F48"/>
    <w:rsid w:val="00AD18AD"/>
    <w:rsid w:val="00AD3AA3"/>
    <w:rsid w:val="00AD4454"/>
    <w:rsid w:val="00AD4863"/>
    <w:rsid w:val="00AD60D4"/>
    <w:rsid w:val="00AD6AE9"/>
    <w:rsid w:val="00AD6BA7"/>
    <w:rsid w:val="00AD6E59"/>
    <w:rsid w:val="00AD7167"/>
    <w:rsid w:val="00AE06A7"/>
    <w:rsid w:val="00AE18A6"/>
    <w:rsid w:val="00AE2B46"/>
    <w:rsid w:val="00AE320C"/>
    <w:rsid w:val="00AE3BB0"/>
    <w:rsid w:val="00AE3C45"/>
    <w:rsid w:val="00AE3CDF"/>
    <w:rsid w:val="00AE412F"/>
    <w:rsid w:val="00AE45CE"/>
    <w:rsid w:val="00AE65E7"/>
    <w:rsid w:val="00AE6899"/>
    <w:rsid w:val="00AF0661"/>
    <w:rsid w:val="00AF0E62"/>
    <w:rsid w:val="00AF1B9E"/>
    <w:rsid w:val="00AF1E16"/>
    <w:rsid w:val="00AF28DC"/>
    <w:rsid w:val="00AF3442"/>
    <w:rsid w:val="00AF388A"/>
    <w:rsid w:val="00AF4D21"/>
    <w:rsid w:val="00B01CEE"/>
    <w:rsid w:val="00B01CFF"/>
    <w:rsid w:val="00B050B9"/>
    <w:rsid w:val="00B0532B"/>
    <w:rsid w:val="00B05548"/>
    <w:rsid w:val="00B0564F"/>
    <w:rsid w:val="00B05CE3"/>
    <w:rsid w:val="00B0674A"/>
    <w:rsid w:val="00B07D05"/>
    <w:rsid w:val="00B10052"/>
    <w:rsid w:val="00B10B72"/>
    <w:rsid w:val="00B10C05"/>
    <w:rsid w:val="00B11004"/>
    <w:rsid w:val="00B13C0E"/>
    <w:rsid w:val="00B14505"/>
    <w:rsid w:val="00B14EF0"/>
    <w:rsid w:val="00B15143"/>
    <w:rsid w:val="00B157E6"/>
    <w:rsid w:val="00B15931"/>
    <w:rsid w:val="00B15EC1"/>
    <w:rsid w:val="00B17811"/>
    <w:rsid w:val="00B17958"/>
    <w:rsid w:val="00B17B2B"/>
    <w:rsid w:val="00B223B0"/>
    <w:rsid w:val="00B22B32"/>
    <w:rsid w:val="00B22B99"/>
    <w:rsid w:val="00B23BDB"/>
    <w:rsid w:val="00B2418E"/>
    <w:rsid w:val="00B242D1"/>
    <w:rsid w:val="00B243FD"/>
    <w:rsid w:val="00B26D97"/>
    <w:rsid w:val="00B27779"/>
    <w:rsid w:val="00B30169"/>
    <w:rsid w:val="00B31CC4"/>
    <w:rsid w:val="00B32FF3"/>
    <w:rsid w:val="00B33E13"/>
    <w:rsid w:val="00B34A76"/>
    <w:rsid w:val="00B35224"/>
    <w:rsid w:val="00B3526D"/>
    <w:rsid w:val="00B36939"/>
    <w:rsid w:val="00B379C0"/>
    <w:rsid w:val="00B400D6"/>
    <w:rsid w:val="00B41044"/>
    <w:rsid w:val="00B4273F"/>
    <w:rsid w:val="00B43305"/>
    <w:rsid w:val="00B43C78"/>
    <w:rsid w:val="00B43E26"/>
    <w:rsid w:val="00B4685E"/>
    <w:rsid w:val="00B47C1E"/>
    <w:rsid w:val="00B50BDB"/>
    <w:rsid w:val="00B5111E"/>
    <w:rsid w:val="00B51D9B"/>
    <w:rsid w:val="00B51F1B"/>
    <w:rsid w:val="00B523F4"/>
    <w:rsid w:val="00B53A26"/>
    <w:rsid w:val="00B53D50"/>
    <w:rsid w:val="00B53E1F"/>
    <w:rsid w:val="00B54A3A"/>
    <w:rsid w:val="00B55BF9"/>
    <w:rsid w:val="00B56179"/>
    <w:rsid w:val="00B57FCA"/>
    <w:rsid w:val="00B60EA2"/>
    <w:rsid w:val="00B61A99"/>
    <w:rsid w:val="00B62304"/>
    <w:rsid w:val="00B62ADC"/>
    <w:rsid w:val="00B63135"/>
    <w:rsid w:val="00B63C0E"/>
    <w:rsid w:val="00B64B6F"/>
    <w:rsid w:val="00B64CCB"/>
    <w:rsid w:val="00B654A6"/>
    <w:rsid w:val="00B67B2D"/>
    <w:rsid w:val="00B67F60"/>
    <w:rsid w:val="00B71B60"/>
    <w:rsid w:val="00B72EB2"/>
    <w:rsid w:val="00B72FBD"/>
    <w:rsid w:val="00B73637"/>
    <w:rsid w:val="00B73E67"/>
    <w:rsid w:val="00B8008C"/>
    <w:rsid w:val="00B80F9E"/>
    <w:rsid w:val="00B81A87"/>
    <w:rsid w:val="00B81AD7"/>
    <w:rsid w:val="00B81FBB"/>
    <w:rsid w:val="00B82897"/>
    <w:rsid w:val="00B82AF8"/>
    <w:rsid w:val="00B8377B"/>
    <w:rsid w:val="00B83A4F"/>
    <w:rsid w:val="00B83B81"/>
    <w:rsid w:val="00B84C9C"/>
    <w:rsid w:val="00B855A5"/>
    <w:rsid w:val="00B863F5"/>
    <w:rsid w:val="00B91DF7"/>
    <w:rsid w:val="00B9306E"/>
    <w:rsid w:val="00B93E45"/>
    <w:rsid w:val="00B952F5"/>
    <w:rsid w:val="00BA00EE"/>
    <w:rsid w:val="00BA0675"/>
    <w:rsid w:val="00BA1328"/>
    <w:rsid w:val="00BA1566"/>
    <w:rsid w:val="00BA1C2A"/>
    <w:rsid w:val="00BA2335"/>
    <w:rsid w:val="00BA3628"/>
    <w:rsid w:val="00BA5ACA"/>
    <w:rsid w:val="00BA6210"/>
    <w:rsid w:val="00BA78D9"/>
    <w:rsid w:val="00BA7C0D"/>
    <w:rsid w:val="00BA7E23"/>
    <w:rsid w:val="00BB2FDD"/>
    <w:rsid w:val="00BB44AC"/>
    <w:rsid w:val="00BB589F"/>
    <w:rsid w:val="00BB66EA"/>
    <w:rsid w:val="00BB6DAC"/>
    <w:rsid w:val="00BB7BCF"/>
    <w:rsid w:val="00BC0019"/>
    <w:rsid w:val="00BC062F"/>
    <w:rsid w:val="00BC0D48"/>
    <w:rsid w:val="00BC3D03"/>
    <w:rsid w:val="00BC424C"/>
    <w:rsid w:val="00BC5157"/>
    <w:rsid w:val="00BC5189"/>
    <w:rsid w:val="00BC530A"/>
    <w:rsid w:val="00BC7A7F"/>
    <w:rsid w:val="00BD0006"/>
    <w:rsid w:val="00BD0FDA"/>
    <w:rsid w:val="00BD1F0D"/>
    <w:rsid w:val="00BD485A"/>
    <w:rsid w:val="00BD4898"/>
    <w:rsid w:val="00BD530A"/>
    <w:rsid w:val="00BD639F"/>
    <w:rsid w:val="00BD6995"/>
    <w:rsid w:val="00BE0EEB"/>
    <w:rsid w:val="00BE1287"/>
    <w:rsid w:val="00BE345B"/>
    <w:rsid w:val="00BE3986"/>
    <w:rsid w:val="00BE4A4C"/>
    <w:rsid w:val="00BE5BBC"/>
    <w:rsid w:val="00BE7FD0"/>
    <w:rsid w:val="00BF0249"/>
    <w:rsid w:val="00BF2458"/>
    <w:rsid w:val="00BF2B66"/>
    <w:rsid w:val="00BF3149"/>
    <w:rsid w:val="00BF40FC"/>
    <w:rsid w:val="00BF4631"/>
    <w:rsid w:val="00BF6548"/>
    <w:rsid w:val="00BF78B5"/>
    <w:rsid w:val="00C015C2"/>
    <w:rsid w:val="00C04D12"/>
    <w:rsid w:val="00C077AB"/>
    <w:rsid w:val="00C07F13"/>
    <w:rsid w:val="00C10454"/>
    <w:rsid w:val="00C1111F"/>
    <w:rsid w:val="00C11C94"/>
    <w:rsid w:val="00C12030"/>
    <w:rsid w:val="00C12A5D"/>
    <w:rsid w:val="00C13654"/>
    <w:rsid w:val="00C14099"/>
    <w:rsid w:val="00C14996"/>
    <w:rsid w:val="00C16549"/>
    <w:rsid w:val="00C17AFD"/>
    <w:rsid w:val="00C200CF"/>
    <w:rsid w:val="00C20360"/>
    <w:rsid w:val="00C20FE3"/>
    <w:rsid w:val="00C220B9"/>
    <w:rsid w:val="00C25585"/>
    <w:rsid w:val="00C26738"/>
    <w:rsid w:val="00C26A61"/>
    <w:rsid w:val="00C319F5"/>
    <w:rsid w:val="00C31A55"/>
    <w:rsid w:val="00C31AD4"/>
    <w:rsid w:val="00C32360"/>
    <w:rsid w:val="00C32820"/>
    <w:rsid w:val="00C33C9B"/>
    <w:rsid w:val="00C33F93"/>
    <w:rsid w:val="00C34570"/>
    <w:rsid w:val="00C35123"/>
    <w:rsid w:val="00C3598D"/>
    <w:rsid w:val="00C3672E"/>
    <w:rsid w:val="00C37A99"/>
    <w:rsid w:val="00C41151"/>
    <w:rsid w:val="00C414A0"/>
    <w:rsid w:val="00C41522"/>
    <w:rsid w:val="00C41CF4"/>
    <w:rsid w:val="00C42693"/>
    <w:rsid w:val="00C428D1"/>
    <w:rsid w:val="00C43060"/>
    <w:rsid w:val="00C43841"/>
    <w:rsid w:val="00C44021"/>
    <w:rsid w:val="00C44461"/>
    <w:rsid w:val="00C44DAF"/>
    <w:rsid w:val="00C47D16"/>
    <w:rsid w:val="00C50713"/>
    <w:rsid w:val="00C508C9"/>
    <w:rsid w:val="00C51ED9"/>
    <w:rsid w:val="00C524FA"/>
    <w:rsid w:val="00C5428A"/>
    <w:rsid w:val="00C54F12"/>
    <w:rsid w:val="00C5525E"/>
    <w:rsid w:val="00C55A95"/>
    <w:rsid w:val="00C56CE4"/>
    <w:rsid w:val="00C57004"/>
    <w:rsid w:val="00C57751"/>
    <w:rsid w:val="00C57F05"/>
    <w:rsid w:val="00C60969"/>
    <w:rsid w:val="00C60C5B"/>
    <w:rsid w:val="00C61AC0"/>
    <w:rsid w:val="00C61C5E"/>
    <w:rsid w:val="00C61D52"/>
    <w:rsid w:val="00C631E0"/>
    <w:rsid w:val="00C64DBD"/>
    <w:rsid w:val="00C667E7"/>
    <w:rsid w:val="00C66A19"/>
    <w:rsid w:val="00C66AAF"/>
    <w:rsid w:val="00C66FEA"/>
    <w:rsid w:val="00C67690"/>
    <w:rsid w:val="00C67E09"/>
    <w:rsid w:val="00C7035C"/>
    <w:rsid w:val="00C71F4B"/>
    <w:rsid w:val="00C73FBA"/>
    <w:rsid w:val="00C74022"/>
    <w:rsid w:val="00C74CCD"/>
    <w:rsid w:val="00C7585F"/>
    <w:rsid w:val="00C7656F"/>
    <w:rsid w:val="00C77B5B"/>
    <w:rsid w:val="00C80327"/>
    <w:rsid w:val="00C807A8"/>
    <w:rsid w:val="00C80DBD"/>
    <w:rsid w:val="00C8141A"/>
    <w:rsid w:val="00C81E78"/>
    <w:rsid w:val="00C831D5"/>
    <w:rsid w:val="00C841D2"/>
    <w:rsid w:val="00C84D79"/>
    <w:rsid w:val="00C86A09"/>
    <w:rsid w:val="00C86BDC"/>
    <w:rsid w:val="00C86C9B"/>
    <w:rsid w:val="00C8722B"/>
    <w:rsid w:val="00C872B7"/>
    <w:rsid w:val="00C90222"/>
    <w:rsid w:val="00C90BE1"/>
    <w:rsid w:val="00C9167B"/>
    <w:rsid w:val="00C9221B"/>
    <w:rsid w:val="00C92895"/>
    <w:rsid w:val="00C92D82"/>
    <w:rsid w:val="00C94B21"/>
    <w:rsid w:val="00C94DEE"/>
    <w:rsid w:val="00C95294"/>
    <w:rsid w:val="00C95CAE"/>
    <w:rsid w:val="00C967B5"/>
    <w:rsid w:val="00C9786D"/>
    <w:rsid w:val="00CA0948"/>
    <w:rsid w:val="00CA144D"/>
    <w:rsid w:val="00CA26C6"/>
    <w:rsid w:val="00CA27DE"/>
    <w:rsid w:val="00CA2F25"/>
    <w:rsid w:val="00CA372D"/>
    <w:rsid w:val="00CA43E5"/>
    <w:rsid w:val="00CA488F"/>
    <w:rsid w:val="00CA4F8E"/>
    <w:rsid w:val="00CA581F"/>
    <w:rsid w:val="00CB08EB"/>
    <w:rsid w:val="00CB1CFE"/>
    <w:rsid w:val="00CB1E8F"/>
    <w:rsid w:val="00CB3465"/>
    <w:rsid w:val="00CB3A5B"/>
    <w:rsid w:val="00CB571A"/>
    <w:rsid w:val="00CB599F"/>
    <w:rsid w:val="00CB643B"/>
    <w:rsid w:val="00CB74EB"/>
    <w:rsid w:val="00CB79FA"/>
    <w:rsid w:val="00CB7FDB"/>
    <w:rsid w:val="00CC002D"/>
    <w:rsid w:val="00CC0FB1"/>
    <w:rsid w:val="00CC23C9"/>
    <w:rsid w:val="00CC3AD7"/>
    <w:rsid w:val="00CC3C93"/>
    <w:rsid w:val="00CC4B93"/>
    <w:rsid w:val="00CC59E3"/>
    <w:rsid w:val="00CC6484"/>
    <w:rsid w:val="00CC69AA"/>
    <w:rsid w:val="00CC74FC"/>
    <w:rsid w:val="00CD0EAC"/>
    <w:rsid w:val="00CD1842"/>
    <w:rsid w:val="00CD2200"/>
    <w:rsid w:val="00CD327A"/>
    <w:rsid w:val="00CD33AA"/>
    <w:rsid w:val="00CD3750"/>
    <w:rsid w:val="00CD3DEB"/>
    <w:rsid w:val="00CD48D7"/>
    <w:rsid w:val="00CD5D52"/>
    <w:rsid w:val="00CD6C88"/>
    <w:rsid w:val="00CD77F2"/>
    <w:rsid w:val="00CD7E87"/>
    <w:rsid w:val="00CD7F19"/>
    <w:rsid w:val="00CE01C0"/>
    <w:rsid w:val="00CE0DA5"/>
    <w:rsid w:val="00CE16DE"/>
    <w:rsid w:val="00CE1C2A"/>
    <w:rsid w:val="00CE1D05"/>
    <w:rsid w:val="00CE2865"/>
    <w:rsid w:val="00CE5D4A"/>
    <w:rsid w:val="00CE647D"/>
    <w:rsid w:val="00CE74DA"/>
    <w:rsid w:val="00CE75B9"/>
    <w:rsid w:val="00CE794A"/>
    <w:rsid w:val="00CF1408"/>
    <w:rsid w:val="00CF1C87"/>
    <w:rsid w:val="00CF229B"/>
    <w:rsid w:val="00CF2AEE"/>
    <w:rsid w:val="00CF30C5"/>
    <w:rsid w:val="00CF3CF0"/>
    <w:rsid w:val="00CF5CA7"/>
    <w:rsid w:val="00D00A82"/>
    <w:rsid w:val="00D01A04"/>
    <w:rsid w:val="00D01E11"/>
    <w:rsid w:val="00D01E1E"/>
    <w:rsid w:val="00D02DDD"/>
    <w:rsid w:val="00D049BE"/>
    <w:rsid w:val="00D06B51"/>
    <w:rsid w:val="00D06FC4"/>
    <w:rsid w:val="00D0766A"/>
    <w:rsid w:val="00D077D2"/>
    <w:rsid w:val="00D1213D"/>
    <w:rsid w:val="00D1275B"/>
    <w:rsid w:val="00D12DC5"/>
    <w:rsid w:val="00D13D01"/>
    <w:rsid w:val="00D14531"/>
    <w:rsid w:val="00D14A21"/>
    <w:rsid w:val="00D1644F"/>
    <w:rsid w:val="00D173BA"/>
    <w:rsid w:val="00D21542"/>
    <w:rsid w:val="00D21A6F"/>
    <w:rsid w:val="00D22112"/>
    <w:rsid w:val="00D2294E"/>
    <w:rsid w:val="00D24541"/>
    <w:rsid w:val="00D24CBB"/>
    <w:rsid w:val="00D25560"/>
    <w:rsid w:val="00D25B3E"/>
    <w:rsid w:val="00D26659"/>
    <w:rsid w:val="00D26D13"/>
    <w:rsid w:val="00D277E6"/>
    <w:rsid w:val="00D303E5"/>
    <w:rsid w:val="00D31ECF"/>
    <w:rsid w:val="00D326AD"/>
    <w:rsid w:val="00D32FAF"/>
    <w:rsid w:val="00D3317E"/>
    <w:rsid w:val="00D33298"/>
    <w:rsid w:val="00D336D8"/>
    <w:rsid w:val="00D33870"/>
    <w:rsid w:val="00D348BF"/>
    <w:rsid w:val="00D351F8"/>
    <w:rsid w:val="00D355FB"/>
    <w:rsid w:val="00D36B0D"/>
    <w:rsid w:val="00D37330"/>
    <w:rsid w:val="00D375D1"/>
    <w:rsid w:val="00D37D4F"/>
    <w:rsid w:val="00D419E5"/>
    <w:rsid w:val="00D42BEB"/>
    <w:rsid w:val="00D43BDF"/>
    <w:rsid w:val="00D440BB"/>
    <w:rsid w:val="00D447EB"/>
    <w:rsid w:val="00D44A68"/>
    <w:rsid w:val="00D470B2"/>
    <w:rsid w:val="00D47459"/>
    <w:rsid w:val="00D47A3C"/>
    <w:rsid w:val="00D50BFD"/>
    <w:rsid w:val="00D5104A"/>
    <w:rsid w:val="00D514DD"/>
    <w:rsid w:val="00D51DEB"/>
    <w:rsid w:val="00D54C6F"/>
    <w:rsid w:val="00D5689B"/>
    <w:rsid w:val="00D56D9D"/>
    <w:rsid w:val="00D56F66"/>
    <w:rsid w:val="00D57727"/>
    <w:rsid w:val="00D61435"/>
    <w:rsid w:val="00D622CD"/>
    <w:rsid w:val="00D62F17"/>
    <w:rsid w:val="00D6345F"/>
    <w:rsid w:val="00D636A7"/>
    <w:rsid w:val="00D643EE"/>
    <w:rsid w:val="00D64742"/>
    <w:rsid w:val="00D65714"/>
    <w:rsid w:val="00D6699F"/>
    <w:rsid w:val="00D669F0"/>
    <w:rsid w:val="00D66C3C"/>
    <w:rsid w:val="00D67107"/>
    <w:rsid w:val="00D76AB0"/>
    <w:rsid w:val="00D80143"/>
    <w:rsid w:val="00D804EC"/>
    <w:rsid w:val="00D81370"/>
    <w:rsid w:val="00D81515"/>
    <w:rsid w:val="00D81DE4"/>
    <w:rsid w:val="00D81E43"/>
    <w:rsid w:val="00D82234"/>
    <w:rsid w:val="00D826CD"/>
    <w:rsid w:val="00D828ED"/>
    <w:rsid w:val="00D82D3B"/>
    <w:rsid w:val="00D8329B"/>
    <w:rsid w:val="00D8389D"/>
    <w:rsid w:val="00D83B62"/>
    <w:rsid w:val="00D83CB9"/>
    <w:rsid w:val="00D83FC4"/>
    <w:rsid w:val="00D84236"/>
    <w:rsid w:val="00D84401"/>
    <w:rsid w:val="00D85549"/>
    <w:rsid w:val="00D85B24"/>
    <w:rsid w:val="00D86B7F"/>
    <w:rsid w:val="00D9010B"/>
    <w:rsid w:val="00D90640"/>
    <w:rsid w:val="00D909CB"/>
    <w:rsid w:val="00D917B5"/>
    <w:rsid w:val="00D925BC"/>
    <w:rsid w:val="00D940BF"/>
    <w:rsid w:val="00D9665D"/>
    <w:rsid w:val="00D97C4E"/>
    <w:rsid w:val="00DA087C"/>
    <w:rsid w:val="00DA13CC"/>
    <w:rsid w:val="00DA41C3"/>
    <w:rsid w:val="00DA468B"/>
    <w:rsid w:val="00DA5A09"/>
    <w:rsid w:val="00DA5B2D"/>
    <w:rsid w:val="00DA69CC"/>
    <w:rsid w:val="00DA7CBA"/>
    <w:rsid w:val="00DB05FC"/>
    <w:rsid w:val="00DB075A"/>
    <w:rsid w:val="00DB0F9A"/>
    <w:rsid w:val="00DB368B"/>
    <w:rsid w:val="00DB3763"/>
    <w:rsid w:val="00DB38D3"/>
    <w:rsid w:val="00DB3B8F"/>
    <w:rsid w:val="00DB3E4B"/>
    <w:rsid w:val="00DB4289"/>
    <w:rsid w:val="00DB4395"/>
    <w:rsid w:val="00DB4A3F"/>
    <w:rsid w:val="00DB649B"/>
    <w:rsid w:val="00DB7037"/>
    <w:rsid w:val="00DC17D5"/>
    <w:rsid w:val="00DC1800"/>
    <w:rsid w:val="00DC2403"/>
    <w:rsid w:val="00DC2405"/>
    <w:rsid w:val="00DC3027"/>
    <w:rsid w:val="00DC30A0"/>
    <w:rsid w:val="00DC3F23"/>
    <w:rsid w:val="00DC4872"/>
    <w:rsid w:val="00DC51E6"/>
    <w:rsid w:val="00DC6638"/>
    <w:rsid w:val="00DC766E"/>
    <w:rsid w:val="00DD25BE"/>
    <w:rsid w:val="00DD4CCD"/>
    <w:rsid w:val="00DD4E69"/>
    <w:rsid w:val="00DD52D9"/>
    <w:rsid w:val="00DD5787"/>
    <w:rsid w:val="00DD647C"/>
    <w:rsid w:val="00DD6596"/>
    <w:rsid w:val="00DE0C1B"/>
    <w:rsid w:val="00DE2427"/>
    <w:rsid w:val="00DE2CC1"/>
    <w:rsid w:val="00DE3635"/>
    <w:rsid w:val="00DE39DA"/>
    <w:rsid w:val="00DE4095"/>
    <w:rsid w:val="00DE422C"/>
    <w:rsid w:val="00DE4349"/>
    <w:rsid w:val="00DE50B3"/>
    <w:rsid w:val="00DE5F7F"/>
    <w:rsid w:val="00DF0810"/>
    <w:rsid w:val="00DF0EC3"/>
    <w:rsid w:val="00DF10A8"/>
    <w:rsid w:val="00DF2CBC"/>
    <w:rsid w:val="00DF5305"/>
    <w:rsid w:val="00DF5B63"/>
    <w:rsid w:val="00DF5C67"/>
    <w:rsid w:val="00DF62D2"/>
    <w:rsid w:val="00DF68EB"/>
    <w:rsid w:val="00DF6BBD"/>
    <w:rsid w:val="00DF75C5"/>
    <w:rsid w:val="00E0037C"/>
    <w:rsid w:val="00E031AA"/>
    <w:rsid w:val="00E03794"/>
    <w:rsid w:val="00E04AD8"/>
    <w:rsid w:val="00E04FF8"/>
    <w:rsid w:val="00E05358"/>
    <w:rsid w:val="00E065B3"/>
    <w:rsid w:val="00E06AC7"/>
    <w:rsid w:val="00E1130E"/>
    <w:rsid w:val="00E11A4F"/>
    <w:rsid w:val="00E124F5"/>
    <w:rsid w:val="00E1444A"/>
    <w:rsid w:val="00E14C6B"/>
    <w:rsid w:val="00E15368"/>
    <w:rsid w:val="00E16756"/>
    <w:rsid w:val="00E170F0"/>
    <w:rsid w:val="00E17956"/>
    <w:rsid w:val="00E179EE"/>
    <w:rsid w:val="00E17B8C"/>
    <w:rsid w:val="00E206D7"/>
    <w:rsid w:val="00E20AE5"/>
    <w:rsid w:val="00E21708"/>
    <w:rsid w:val="00E22361"/>
    <w:rsid w:val="00E22E8F"/>
    <w:rsid w:val="00E23B6C"/>
    <w:rsid w:val="00E23D61"/>
    <w:rsid w:val="00E25682"/>
    <w:rsid w:val="00E25D25"/>
    <w:rsid w:val="00E26B05"/>
    <w:rsid w:val="00E26E05"/>
    <w:rsid w:val="00E2767E"/>
    <w:rsid w:val="00E27CE5"/>
    <w:rsid w:val="00E300F8"/>
    <w:rsid w:val="00E30604"/>
    <w:rsid w:val="00E33948"/>
    <w:rsid w:val="00E340C2"/>
    <w:rsid w:val="00E34A30"/>
    <w:rsid w:val="00E34D9B"/>
    <w:rsid w:val="00E35BA0"/>
    <w:rsid w:val="00E36229"/>
    <w:rsid w:val="00E366F0"/>
    <w:rsid w:val="00E369C9"/>
    <w:rsid w:val="00E4054B"/>
    <w:rsid w:val="00E4080D"/>
    <w:rsid w:val="00E40BBC"/>
    <w:rsid w:val="00E40E0A"/>
    <w:rsid w:val="00E43E59"/>
    <w:rsid w:val="00E43EC4"/>
    <w:rsid w:val="00E471D0"/>
    <w:rsid w:val="00E47711"/>
    <w:rsid w:val="00E50AC5"/>
    <w:rsid w:val="00E53AA4"/>
    <w:rsid w:val="00E5453C"/>
    <w:rsid w:val="00E54AC3"/>
    <w:rsid w:val="00E579CA"/>
    <w:rsid w:val="00E62414"/>
    <w:rsid w:val="00E62A51"/>
    <w:rsid w:val="00E6434E"/>
    <w:rsid w:val="00E64D54"/>
    <w:rsid w:val="00E6602E"/>
    <w:rsid w:val="00E66096"/>
    <w:rsid w:val="00E66DF5"/>
    <w:rsid w:val="00E70596"/>
    <w:rsid w:val="00E70E3C"/>
    <w:rsid w:val="00E716F3"/>
    <w:rsid w:val="00E71CBE"/>
    <w:rsid w:val="00E72D76"/>
    <w:rsid w:val="00E73E5B"/>
    <w:rsid w:val="00E743E2"/>
    <w:rsid w:val="00E74D80"/>
    <w:rsid w:val="00E7515E"/>
    <w:rsid w:val="00E75338"/>
    <w:rsid w:val="00E756DE"/>
    <w:rsid w:val="00E758C6"/>
    <w:rsid w:val="00E760B2"/>
    <w:rsid w:val="00E82F6E"/>
    <w:rsid w:val="00E8338D"/>
    <w:rsid w:val="00E83D45"/>
    <w:rsid w:val="00E85855"/>
    <w:rsid w:val="00E8671B"/>
    <w:rsid w:val="00E87663"/>
    <w:rsid w:val="00E87E21"/>
    <w:rsid w:val="00E90780"/>
    <w:rsid w:val="00E911EF"/>
    <w:rsid w:val="00E91200"/>
    <w:rsid w:val="00E91797"/>
    <w:rsid w:val="00E918AD"/>
    <w:rsid w:val="00E92832"/>
    <w:rsid w:val="00E92AA5"/>
    <w:rsid w:val="00E93486"/>
    <w:rsid w:val="00E949E1"/>
    <w:rsid w:val="00E951D9"/>
    <w:rsid w:val="00E95B7D"/>
    <w:rsid w:val="00E962EC"/>
    <w:rsid w:val="00E96D59"/>
    <w:rsid w:val="00E96E82"/>
    <w:rsid w:val="00E97294"/>
    <w:rsid w:val="00E97461"/>
    <w:rsid w:val="00E97AA8"/>
    <w:rsid w:val="00EA0F7B"/>
    <w:rsid w:val="00EA29B0"/>
    <w:rsid w:val="00EA3ECA"/>
    <w:rsid w:val="00EA422F"/>
    <w:rsid w:val="00EA4BE8"/>
    <w:rsid w:val="00EA5E6B"/>
    <w:rsid w:val="00EA71EC"/>
    <w:rsid w:val="00EA7F7F"/>
    <w:rsid w:val="00EB0412"/>
    <w:rsid w:val="00EB0A77"/>
    <w:rsid w:val="00EB2297"/>
    <w:rsid w:val="00EB48FA"/>
    <w:rsid w:val="00EB4920"/>
    <w:rsid w:val="00EB753C"/>
    <w:rsid w:val="00EC042E"/>
    <w:rsid w:val="00EC0566"/>
    <w:rsid w:val="00EC1817"/>
    <w:rsid w:val="00EC1883"/>
    <w:rsid w:val="00EC24E4"/>
    <w:rsid w:val="00EC394B"/>
    <w:rsid w:val="00EC4C0B"/>
    <w:rsid w:val="00EC5169"/>
    <w:rsid w:val="00EC5585"/>
    <w:rsid w:val="00EC5EFF"/>
    <w:rsid w:val="00EC644B"/>
    <w:rsid w:val="00EC6EE2"/>
    <w:rsid w:val="00EC76E7"/>
    <w:rsid w:val="00EC7DE6"/>
    <w:rsid w:val="00ED011A"/>
    <w:rsid w:val="00ED0369"/>
    <w:rsid w:val="00ED12CE"/>
    <w:rsid w:val="00ED13F4"/>
    <w:rsid w:val="00ED148A"/>
    <w:rsid w:val="00ED18DC"/>
    <w:rsid w:val="00ED233D"/>
    <w:rsid w:val="00ED2CDA"/>
    <w:rsid w:val="00ED2EB4"/>
    <w:rsid w:val="00ED332A"/>
    <w:rsid w:val="00ED3795"/>
    <w:rsid w:val="00ED3B4E"/>
    <w:rsid w:val="00ED4988"/>
    <w:rsid w:val="00ED4F5D"/>
    <w:rsid w:val="00ED6E80"/>
    <w:rsid w:val="00ED7BDD"/>
    <w:rsid w:val="00EE01E6"/>
    <w:rsid w:val="00EE15DD"/>
    <w:rsid w:val="00EE1A6B"/>
    <w:rsid w:val="00EE1C2C"/>
    <w:rsid w:val="00EE3410"/>
    <w:rsid w:val="00EE45DC"/>
    <w:rsid w:val="00EE49ED"/>
    <w:rsid w:val="00EE4DBC"/>
    <w:rsid w:val="00EE52D3"/>
    <w:rsid w:val="00EE55CC"/>
    <w:rsid w:val="00EE56A8"/>
    <w:rsid w:val="00EE5846"/>
    <w:rsid w:val="00EE6554"/>
    <w:rsid w:val="00EE74CF"/>
    <w:rsid w:val="00EE7921"/>
    <w:rsid w:val="00EF0034"/>
    <w:rsid w:val="00EF0ACA"/>
    <w:rsid w:val="00EF17B6"/>
    <w:rsid w:val="00EF1BE0"/>
    <w:rsid w:val="00EF1FA6"/>
    <w:rsid w:val="00EF21C1"/>
    <w:rsid w:val="00EF2BDD"/>
    <w:rsid w:val="00EF345D"/>
    <w:rsid w:val="00EF51DC"/>
    <w:rsid w:val="00EF5FBC"/>
    <w:rsid w:val="00EF6C60"/>
    <w:rsid w:val="00EF780A"/>
    <w:rsid w:val="00EF79E9"/>
    <w:rsid w:val="00F00CD6"/>
    <w:rsid w:val="00F00E4A"/>
    <w:rsid w:val="00F01594"/>
    <w:rsid w:val="00F01944"/>
    <w:rsid w:val="00F01EE5"/>
    <w:rsid w:val="00F02548"/>
    <w:rsid w:val="00F0339C"/>
    <w:rsid w:val="00F034FC"/>
    <w:rsid w:val="00F03CBF"/>
    <w:rsid w:val="00F04AE1"/>
    <w:rsid w:val="00F05AE7"/>
    <w:rsid w:val="00F06D4A"/>
    <w:rsid w:val="00F11461"/>
    <w:rsid w:val="00F11E45"/>
    <w:rsid w:val="00F11F99"/>
    <w:rsid w:val="00F12D7B"/>
    <w:rsid w:val="00F12F79"/>
    <w:rsid w:val="00F13E2D"/>
    <w:rsid w:val="00F13FF4"/>
    <w:rsid w:val="00F15BAB"/>
    <w:rsid w:val="00F17D7C"/>
    <w:rsid w:val="00F206A7"/>
    <w:rsid w:val="00F20A17"/>
    <w:rsid w:val="00F20F60"/>
    <w:rsid w:val="00F21589"/>
    <w:rsid w:val="00F21FF2"/>
    <w:rsid w:val="00F2290E"/>
    <w:rsid w:val="00F23D85"/>
    <w:rsid w:val="00F254DF"/>
    <w:rsid w:val="00F260B8"/>
    <w:rsid w:val="00F3082B"/>
    <w:rsid w:val="00F321E7"/>
    <w:rsid w:val="00F32956"/>
    <w:rsid w:val="00F34B0F"/>
    <w:rsid w:val="00F35D08"/>
    <w:rsid w:val="00F36125"/>
    <w:rsid w:val="00F364C2"/>
    <w:rsid w:val="00F36D1A"/>
    <w:rsid w:val="00F377DA"/>
    <w:rsid w:val="00F402CB"/>
    <w:rsid w:val="00F40353"/>
    <w:rsid w:val="00F4079F"/>
    <w:rsid w:val="00F4138C"/>
    <w:rsid w:val="00F41E57"/>
    <w:rsid w:val="00F42DE9"/>
    <w:rsid w:val="00F435BD"/>
    <w:rsid w:val="00F46A93"/>
    <w:rsid w:val="00F52191"/>
    <w:rsid w:val="00F52407"/>
    <w:rsid w:val="00F530E7"/>
    <w:rsid w:val="00F53CD4"/>
    <w:rsid w:val="00F54591"/>
    <w:rsid w:val="00F54B0B"/>
    <w:rsid w:val="00F54B12"/>
    <w:rsid w:val="00F561DE"/>
    <w:rsid w:val="00F56B6A"/>
    <w:rsid w:val="00F6094C"/>
    <w:rsid w:val="00F66814"/>
    <w:rsid w:val="00F66B9C"/>
    <w:rsid w:val="00F67455"/>
    <w:rsid w:val="00F67C41"/>
    <w:rsid w:val="00F67C76"/>
    <w:rsid w:val="00F7020E"/>
    <w:rsid w:val="00F71093"/>
    <w:rsid w:val="00F71814"/>
    <w:rsid w:val="00F71F56"/>
    <w:rsid w:val="00F728FB"/>
    <w:rsid w:val="00F72EF5"/>
    <w:rsid w:val="00F73665"/>
    <w:rsid w:val="00F73BFB"/>
    <w:rsid w:val="00F7468B"/>
    <w:rsid w:val="00F74C4F"/>
    <w:rsid w:val="00F762FC"/>
    <w:rsid w:val="00F80DD2"/>
    <w:rsid w:val="00F814D1"/>
    <w:rsid w:val="00F81A80"/>
    <w:rsid w:val="00F81ADC"/>
    <w:rsid w:val="00F81D74"/>
    <w:rsid w:val="00F81F70"/>
    <w:rsid w:val="00F82439"/>
    <w:rsid w:val="00F8279C"/>
    <w:rsid w:val="00F8288B"/>
    <w:rsid w:val="00F82B11"/>
    <w:rsid w:val="00F83459"/>
    <w:rsid w:val="00F861EE"/>
    <w:rsid w:val="00F86255"/>
    <w:rsid w:val="00F86637"/>
    <w:rsid w:val="00F8695E"/>
    <w:rsid w:val="00F86DF3"/>
    <w:rsid w:val="00F90C16"/>
    <w:rsid w:val="00F91CE5"/>
    <w:rsid w:val="00F91EDB"/>
    <w:rsid w:val="00F923BC"/>
    <w:rsid w:val="00F93DCA"/>
    <w:rsid w:val="00F95460"/>
    <w:rsid w:val="00F95EAC"/>
    <w:rsid w:val="00F96EB6"/>
    <w:rsid w:val="00F96F4C"/>
    <w:rsid w:val="00F97012"/>
    <w:rsid w:val="00FA261D"/>
    <w:rsid w:val="00FA32DC"/>
    <w:rsid w:val="00FA3A59"/>
    <w:rsid w:val="00FA3AA6"/>
    <w:rsid w:val="00FA3BB6"/>
    <w:rsid w:val="00FA56C4"/>
    <w:rsid w:val="00FB0D98"/>
    <w:rsid w:val="00FB0EE1"/>
    <w:rsid w:val="00FB1F93"/>
    <w:rsid w:val="00FB3D29"/>
    <w:rsid w:val="00FB4E42"/>
    <w:rsid w:val="00FB4FF8"/>
    <w:rsid w:val="00FB6218"/>
    <w:rsid w:val="00FB70EF"/>
    <w:rsid w:val="00FB7869"/>
    <w:rsid w:val="00FC0BC2"/>
    <w:rsid w:val="00FC30AC"/>
    <w:rsid w:val="00FC354B"/>
    <w:rsid w:val="00FC38F8"/>
    <w:rsid w:val="00FC4252"/>
    <w:rsid w:val="00FC55E6"/>
    <w:rsid w:val="00FC64A0"/>
    <w:rsid w:val="00FC72B9"/>
    <w:rsid w:val="00FC7402"/>
    <w:rsid w:val="00FC76D1"/>
    <w:rsid w:val="00FC7CB8"/>
    <w:rsid w:val="00FD126D"/>
    <w:rsid w:val="00FD1695"/>
    <w:rsid w:val="00FD2D02"/>
    <w:rsid w:val="00FD37E4"/>
    <w:rsid w:val="00FD4ABD"/>
    <w:rsid w:val="00FD4C57"/>
    <w:rsid w:val="00FD4C59"/>
    <w:rsid w:val="00FD5838"/>
    <w:rsid w:val="00FD631D"/>
    <w:rsid w:val="00FD649D"/>
    <w:rsid w:val="00FD6873"/>
    <w:rsid w:val="00FE0C7E"/>
    <w:rsid w:val="00FE135C"/>
    <w:rsid w:val="00FE1EFE"/>
    <w:rsid w:val="00FE23BD"/>
    <w:rsid w:val="00FE57BA"/>
    <w:rsid w:val="00FE61C7"/>
    <w:rsid w:val="00FE66A7"/>
    <w:rsid w:val="00FF00AE"/>
    <w:rsid w:val="00FF082F"/>
    <w:rsid w:val="00FF08A6"/>
    <w:rsid w:val="00FF0DDE"/>
    <w:rsid w:val="00FF1357"/>
    <w:rsid w:val="00FF1C4B"/>
    <w:rsid w:val="00FF2ACE"/>
    <w:rsid w:val="00FF30EE"/>
    <w:rsid w:val="00FF3D83"/>
    <w:rsid w:val="00FF5A5D"/>
    <w:rsid w:val="00FF5B5F"/>
    <w:rsid w:val="00FF630C"/>
    <w:rsid w:val="00FF651B"/>
    <w:rsid w:val="00FF6AD7"/>
    <w:rsid w:val="00FF747C"/>
    <w:rsid w:val="00FF7896"/>
    <w:rsid w:val="13DDFEA6"/>
    <w:rsid w:val="207833A6"/>
    <w:rsid w:val="234D9C67"/>
    <w:rsid w:val="23C3A98D"/>
    <w:rsid w:val="46071A0E"/>
    <w:rsid w:val="4A4A81C8"/>
    <w:rsid w:val="4B5E524D"/>
    <w:rsid w:val="4CA6750B"/>
    <w:rsid w:val="4E520E0E"/>
    <w:rsid w:val="4E84EA0E"/>
    <w:rsid w:val="50245D0E"/>
    <w:rsid w:val="502BE4F2"/>
    <w:rsid w:val="5350D34D"/>
    <w:rsid w:val="58A853D0"/>
    <w:rsid w:val="6C29F07B"/>
    <w:rsid w:val="75A1D16E"/>
    <w:rsid w:val="77C40E70"/>
    <w:rsid w:val="79C4D187"/>
    <w:rsid w:val="7A6E73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35756C"/>
  <w15:docId w15:val="{23F595E3-EFD5-4AB0-8821-097CFD695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249"/>
    <w:pPr>
      <w:spacing w:after="0"/>
    </w:pPr>
    <w:rPr>
      <w:rFonts w:ascii="Verdana" w:hAnsi="Verdana"/>
      <w:sz w:val="20"/>
      <w:szCs w:val="20"/>
      <w:lang w:val="es-CR"/>
    </w:rPr>
  </w:style>
  <w:style w:type="paragraph" w:styleId="Ttulo1">
    <w:name w:val="heading 1"/>
    <w:basedOn w:val="Normal"/>
    <w:next w:val="Normal"/>
    <w:link w:val="Ttulo1Car"/>
    <w:uiPriority w:val="9"/>
    <w:qFormat/>
    <w:rsid w:val="006637F7"/>
    <w:pPr>
      <w:keepNext/>
      <w:numPr>
        <w:numId w:val="2"/>
      </w:numPr>
      <w:tabs>
        <w:tab w:val="left" w:pos="567"/>
      </w:tabs>
      <w:spacing w:line="240" w:lineRule="auto"/>
      <w:jc w:val="both"/>
      <w:outlineLvl w:val="0"/>
    </w:pPr>
    <w:rPr>
      <w:rFonts w:eastAsia="Calibri" w:cs="Verdana"/>
      <w:b/>
      <w:bCs/>
      <w:i/>
      <w:iCs/>
    </w:rPr>
  </w:style>
  <w:style w:type="paragraph" w:styleId="Ttulo2">
    <w:name w:val="heading 2"/>
    <w:basedOn w:val="Normal"/>
    <w:next w:val="Normal"/>
    <w:link w:val="Ttulo2Car"/>
    <w:uiPriority w:val="9"/>
    <w:unhideWhenUsed/>
    <w:qFormat/>
    <w:rsid w:val="00450A75"/>
    <w:pPr>
      <w:keepNext/>
      <w:keepLines/>
      <w:spacing w:before="40"/>
      <w:ind w:left="1276"/>
      <w:outlineLvl w:val="1"/>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Párrafo de lista1,Colorful List - Accent 11,List Paragraph11,Subtle Emphasis1,Footnote1,Parrafos"/>
    <w:basedOn w:val="Normal"/>
    <w:link w:val="PrrafodelistaCar"/>
    <w:uiPriority w:val="34"/>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6A0BE5"/>
    <w:pPr>
      <w:spacing w:line="240" w:lineRule="auto"/>
    </w:p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nhideWhenUsed/>
    <w:qFormat/>
    <w:rsid w:val="003678AE"/>
    <w:rPr>
      <w:rFonts w:ascii="Verdana" w:hAnsi="Verdana"/>
      <w:sz w:val="16"/>
      <w:szCs w:val="16"/>
      <w:vertAlign w:val="superscript"/>
      <w:lang w:val="es-CR"/>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uiPriority w:val="99"/>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450A75"/>
    <w:rPr>
      <w:rFonts w:ascii="Verdana" w:eastAsiaTheme="majorEastAsia" w:hAnsi="Verdana" w:cstheme="majorBidi"/>
      <w:b/>
      <w:sz w:val="20"/>
      <w:szCs w:val="20"/>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paragraph" w:styleId="Ttulo">
    <w:name w:val="Title"/>
    <w:basedOn w:val="Normal"/>
    <w:link w:val="TtuloCar"/>
    <w:uiPriority w:val="99"/>
    <w:qFormat/>
    <w:rsid w:val="00796E22"/>
    <w:pPr>
      <w:spacing w:line="240" w:lineRule="auto"/>
      <w:jc w:val="center"/>
    </w:pPr>
    <w:rPr>
      <w:rFonts w:ascii="Garamond" w:eastAsia="Times New Roman" w:hAnsi="Garamond" w:cs="Times New Roman"/>
      <w:b/>
      <w:sz w:val="32"/>
      <w:lang w:val="es-ES_tradnl" w:eastAsia="es-ES"/>
    </w:rPr>
  </w:style>
  <w:style w:type="character" w:customStyle="1" w:styleId="TtuloCar">
    <w:name w:val="Título Car"/>
    <w:basedOn w:val="Fuentedeprrafopredeter"/>
    <w:link w:val="Ttulo"/>
    <w:uiPriority w:val="99"/>
    <w:rsid w:val="00796E22"/>
    <w:rPr>
      <w:rFonts w:ascii="Garamond" w:eastAsia="Times New Roman" w:hAnsi="Garamond" w:cs="Times New Roman"/>
      <w:b/>
      <w:sz w:val="32"/>
      <w:szCs w:val="20"/>
      <w:lang w:val="es-ES_tradnl" w:eastAsia="es-ES"/>
    </w:rPr>
  </w:style>
  <w:style w:type="character" w:styleId="nfasissutil">
    <w:name w:val="Subtle Emphasis"/>
    <w:uiPriority w:val="19"/>
    <w:qFormat/>
    <w:rsid w:val="00796E22"/>
    <w:rPr>
      <w:rFonts w:ascii="Verdana" w:hAnsi="Verdana"/>
      <w:i/>
      <w:iCs/>
      <w:color w:val="808080"/>
      <w:sz w:val="20"/>
      <w:u w:val="single"/>
    </w:rPr>
  </w:style>
  <w:style w:type="paragraph" w:customStyle="1" w:styleId="PrrafodeSentencia">
    <w:name w:val="*. Párrafo de Sentencia"/>
    <w:basedOn w:val="Normal"/>
    <w:rsid w:val="00AC5CB4"/>
    <w:pPr>
      <w:numPr>
        <w:numId w:val="3"/>
      </w:numPr>
    </w:pPr>
  </w:style>
  <w:style w:type="character" w:customStyle="1" w:styleId="PrrafodelistaCar">
    <w:name w:val="Párrafo de lista Car"/>
    <w:aliases w:val="Footnote Car,List Paragraph2 Car,List Paragraph1 Car,Lista vistosa - Énfasis 11 Car,Párrafo de lista1 Car,Colorful List - Accent 11 Car,List Paragraph11 Car,Subtle Emphasis1 Car,Footnote1 Car,Parrafos Car"/>
    <w:link w:val="Prrafodelista"/>
    <w:uiPriority w:val="99"/>
    <w:locked/>
    <w:rsid w:val="00C33F9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Textonotapie"/>
    <w:link w:val="Refdenotaalpie"/>
    <w:autoRedefine/>
    <w:uiPriority w:val="99"/>
    <w:qFormat/>
    <w:rsid w:val="003678AE"/>
    <w:pPr>
      <w:jc w:val="both"/>
    </w:pPr>
    <w:rPr>
      <w:sz w:val="16"/>
      <w:szCs w:val="16"/>
      <w:vertAlign w:val="superscript"/>
    </w:rPr>
  </w:style>
  <w:style w:type="paragraph" w:styleId="Sinespaciado">
    <w:name w:val="No Spacing"/>
    <w:basedOn w:val="Prrafodelista"/>
    <w:link w:val="SinespaciadoCar"/>
    <w:uiPriority w:val="1"/>
    <w:qFormat/>
    <w:rsid w:val="00F81ADC"/>
    <w:pPr>
      <w:widowControl w:val="0"/>
      <w:numPr>
        <w:numId w:val="12"/>
      </w:numPr>
      <w:tabs>
        <w:tab w:val="left" w:pos="0"/>
        <w:tab w:val="left" w:pos="567"/>
      </w:tabs>
      <w:autoSpaceDE w:val="0"/>
      <w:autoSpaceDN w:val="0"/>
      <w:adjustRightInd w:val="0"/>
      <w:spacing w:line="240" w:lineRule="auto"/>
      <w:ind w:right="22"/>
      <w:jc w:val="both"/>
    </w:pPr>
    <w:rPr>
      <w:bCs/>
      <w:iCs/>
    </w:rPr>
  </w:style>
  <w:style w:type="paragraph" w:styleId="HTMLconformatoprevio">
    <w:name w:val="HTML Preformatted"/>
    <w:basedOn w:val="Normal"/>
    <w:link w:val="HTMLconformatoprevioCar"/>
    <w:uiPriority w:val="99"/>
    <w:unhideWhenUsed/>
    <w:rsid w:val="00CE1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es-CR"/>
    </w:rPr>
  </w:style>
  <w:style w:type="character" w:customStyle="1" w:styleId="HTMLconformatoprevioCar">
    <w:name w:val="HTML con formato previo Car"/>
    <w:basedOn w:val="Fuentedeprrafopredeter"/>
    <w:link w:val="HTMLconformatoprevio"/>
    <w:uiPriority w:val="99"/>
    <w:rsid w:val="00CE16DE"/>
    <w:rPr>
      <w:rFonts w:ascii="Courier New" w:eastAsia="Times New Roman" w:hAnsi="Courier New" w:cs="Courier New"/>
      <w:sz w:val="20"/>
      <w:szCs w:val="20"/>
      <w:lang w:val="es-CR" w:eastAsia="es-CR"/>
    </w:rPr>
  </w:style>
  <w:style w:type="paragraph" w:customStyle="1" w:styleId="Default">
    <w:name w:val="Default"/>
    <w:rsid w:val="00E14C6B"/>
    <w:pPr>
      <w:autoSpaceDE w:val="0"/>
      <w:autoSpaceDN w:val="0"/>
      <w:adjustRightInd w:val="0"/>
      <w:spacing w:after="0" w:line="240" w:lineRule="auto"/>
    </w:pPr>
    <w:rPr>
      <w:rFonts w:ascii="Times New Roman" w:hAnsi="Times New Roman" w:cs="Times New Roman"/>
      <w:color w:val="000000"/>
      <w:sz w:val="24"/>
      <w:szCs w:val="24"/>
      <w:lang w:val="es-CR"/>
    </w:rPr>
  </w:style>
  <w:style w:type="paragraph" w:styleId="Revisin">
    <w:name w:val="Revision"/>
    <w:hidden/>
    <w:uiPriority w:val="99"/>
    <w:semiHidden/>
    <w:rsid w:val="00B93E45"/>
    <w:pPr>
      <w:spacing w:after="0" w:line="240" w:lineRule="auto"/>
    </w:pPr>
    <w:rPr>
      <w:rFonts w:ascii="Verdana" w:hAnsi="Verdana"/>
      <w:sz w:val="20"/>
      <w:szCs w:val="20"/>
      <w:lang w:val="es-CR"/>
    </w:rPr>
  </w:style>
  <w:style w:type="character" w:customStyle="1" w:styleId="markedcontent">
    <w:name w:val="markedcontent"/>
    <w:basedOn w:val="Fuentedeprrafopredeter"/>
    <w:rsid w:val="00081A2A"/>
  </w:style>
  <w:style w:type="character" w:customStyle="1" w:styleId="highlight">
    <w:name w:val="highlight"/>
    <w:basedOn w:val="Fuentedeprrafopredeter"/>
    <w:rsid w:val="00081A2A"/>
  </w:style>
  <w:style w:type="character" w:styleId="nfasis">
    <w:name w:val="Emphasis"/>
    <w:uiPriority w:val="20"/>
    <w:qFormat/>
    <w:rsid w:val="007752BC"/>
    <w:rPr>
      <w:i/>
      <w:iCs/>
    </w:rPr>
  </w:style>
  <w:style w:type="paragraph" w:customStyle="1" w:styleId="Footnotes">
    <w:name w:val="**. Footnotes"/>
    <w:basedOn w:val="Textonotapie"/>
    <w:link w:val="FootnotesChar"/>
    <w:qFormat/>
    <w:rsid w:val="00DC2405"/>
    <w:pPr>
      <w:spacing w:beforeLines="40" w:before="96" w:after="40"/>
      <w:jc w:val="both"/>
    </w:pPr>
    <w:rPr>
      <w:sz w:val="16"/>
      <w:szCs w:val="16"/>
    </w:rPr>
  </w:style>
  <w:style w:type="character" w:customStyle="1" w:styleId="FootnotesChar">
    <w:name w:val="**. Footnotes Char"/>
    <w:basedOn w:val="Fuentedeprrafopredeter"/>
    <w:link w:val="Footnotes"/>
    <w:rsid w:val="00DC2405"/>
    <w:rPr>
      <w:rFonts w:ascii="Verdana" w:hAnsi="Verdana"/>
      <w:sz w:val="16"/>
      <w:szCs w:val="16"/>
      <w:lang w:val="es-CR"/>
    </w:rPr>
  </w:style>
  <w:style w:type="paragraph" w:styleId="Subttulo">
    <w:name w:val="Subtitle"/>
    <w:basedOn w:val="Normal"/>
    <w:next w:val="Normal"/>
    <w:link w:val="SubttuloCar"/>
    <w:uiPriority w:val="11"/>
    <w:qFormat/>
    <w:rsid w:val="009E745E"/>
    <w:pPr>
      <w:spacing w:line="240" w:lineRule="auto"/>
      <w:ind w:left="708" w:firstLine="2"/>
      <w:contextualSpacing/>
      <w:jc w:val="both"/>
    </w:pPr>
    <w:rPr>
      <w:rFonts w:eastAsia="Times New Roman" w:cs="Times New Roman"/>
      <w:bCs/>
      <w:u w:val="single"/>
      <w:lang w:val="es-ES_tradnl" w:eastAsia="es-MX"/>
    </w:rPr>
  </w:style>
  <w:style w:type="character" w:customStyle="1" w:styleId="SubttuloCar">
    <w:name w:val="Subtítulo Car"/>
    <w:basedOn w:val="Fuentedeprrafopredeter"/>
    <w:link w:val="Subttulo"/>
    <w:uiPriority w:val="11"/>
    <w:rsid w:val="009E745E"/>
    <w:rPr>
      <w:rFonts w:ascii="Verdana" w:eastAsia="Times New Roman" w:hAnsi="Verdana" w:cs="Times New Roman"/>
      <w:bCs/>
      <w:sz w:val="20"/>
      <w:szCs w:val="20"/>
      <w:u w:val="single"/>
      <w:lang w:val="es-ES_tradnl" w:eastAsia="es-MX"/>
    </w:rPr>
  </w:style>
  <w:style w:type="character" w:styleId="Referenciaintensa">
    <w:name w:val="Intense Reference"/>
    <w:basedOn w:val="Fuentedeprrafopredeter"/>
    <w:uiPriority w:val="32"/>
    <w:qFormat/>
    <w:rsid w:val="009E745E"/>
    <w:rPr>
      <w:b/>
      <w:bCs/>
      <w:smallCaps/>
      <w:color w:val="4F81BD" w:themeColor="accent1"/>
      <w:spacing w:val="5"/>
    </w:rPr>
  </w:style>
  <w:style w:type="character" w:customStyle="1" w:styleId="apple-converted-space">
    <w:name w:val="apple-converted-space"/>
    <w:basedOn w:val="Fuentedeprrafopredeter"/>
    <w:rsid w:val="00304F9B"/>
  </w:style>
  <w:style w:type="table" w:styleId="Tablaconcuadrcula">
    <w:name w:val="Table Grid"/>
    <w:basedOn w:val="Tablanormal"/>
    <w:uiPriority w:val="59"/>
    <w:rsid w:val="00660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stilo1">
    <w:name w:val="Estilo1"/>
    <w:basedOn w:val="Normal"/>
    <w:link w:val="Estilo1Car"/>
    <w:qFormat/>
    <w:rsid w:val="00FC64A0"/>
    <w:pPr>
      <w:widowControl w:val="0"/>
      <w:tabs>
        <w:tab w:val="left" w:pos="567"/>
        <w:tab w:val="left" w:pos="1134"/>
        <w:tab w:val="num" w:pos="6042"/>
      </w:tabs>
      <w:adjustRightInd w:val="0"/>
      <w:spacing w:after="120" w:line="240" w:lineRule="auto"/>
      <w:jc w:val="both"/>
    </w:pPr>
    <w:rPr>
      <w:b/>
      <w:i/>
      <w:sz w:val="22"/>
      <w:szCs w:val="22"/>
      <w:lang w:val="en-US"/>
    </w:rPr>
  </w:style>
  <w:style w:type="character" w:customStyle="1" w:styleId="Estilo1Car">
    <w:name w:val="Estilo1 Car"/>
    <w:link w:val="Estilo1"/>
    <w:rsid w:val="00FC64A0"/>
    <w:rPr>
      <w:rFonts w:ascii="Verdana" w:hAnsi="Verdana"/>
      <w:b/>
      <w:i/>
    </w:rPr>
  </w:style>
  <w:style w:type="character" w:customStyle="1" w:styleId="SinespaciadoCar">
    <w:name w:val="Sin espaciado Car"/>
    <w:basedOn w:val="Fuentedeprrafopredeter"/>
    <w:link w:val="Sinespaciado"/>
    <w:uiPriority w:val="1"/>
    <w:rsid w:val="00FC64A0"/>
    <w:rPr>
      <w:rFonts w:ascii="Verdana" w:hAnsi="Verdana"/>
      <w:bCs/>
      <w:iCs/>
      <w:sz w:val="20"/>
      <w:szCs w:val="20"/>
      <w:lang w:val="es-CR"/>
    </w:rPr>
  </w:style>
  <w:style w:type="paragraph" w:customStyle="1" w:styleId="Estilo3">
    <w:name w:val="Estilo3"/>
    <w:basedOn w:val="Prrafodelista"/>
    <w:rsid w:val="00FC64A0"/>
    <w:pPr>
      <w:widowControl w:val="0"/>
      <w:numPr>
        <w:ilvl w:val="4"/>
        <w:numId w:val="34"/>
      </w:numPr>
      <w:adjustRightInd w:val="0"/>
      <w:spacing w:after="120" w:line="216" w:lineRule="auto"/>
      <w:ind w:right="17"/>
      <w:jc w:val="both"/>
    </w:pPr>
    <w:rPr>
      <w:rFonts w:eastAsia="Calibri" w:cs="Times New Roman"/>
      <w:spacing w:val="-2"/>
      <w:lang w:eastAsia="x-none"/>
    </w:rPr>
  </w:style>
  <w:style w:type="paragraph" w:customStyle="1" w:styleId="Estilo5">
    <w:name w:val="Estilo5"/>
    <w:basedOn w:val="Prrafodelista"/>
    <w:rsid w:val="00FC64A0"/>
    <w:pPr>
      <w:widowControl w:val="0"/>
      <w:numPr>
        <w:numId w:val="34"/>
      </w:numPr>
      <w:adjustRightInd w:val="0"/>
      <w:spacing w:after="120" w:line="216" w:lineRule="auto"/>
      <w:ind w:right="18"/>
      <w:jc w:val="both"/>
    </w:pPr>
    <w:rPr>
      <w:rFonts w:eastAsia="Calibri" w:cs="Times New Roman"/>
      <w:spacing w:val="-2"/>
      <w:lang w:eastAsia="x-none"/>
    </w:rPr>
  </w:style>
  <w:style w:type="paragraph" w:customStyle="1" w:styleId="Estilo8">
    <w:name w:val="Estilo8"/>
    <w:basedOn w:val="Estilo3"/>
    <w:rsid w:val="00FC64A0"/>
    <w:pPr>
      <w:numPr>
        <w:ilvl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170874060">
              <w:marLeft w:val="0"/>
              <w:marRight w:val="0"/>
              <w:marTop w:val="0"/>
              <w:marBottom w:val="0"/>
              <w:divBdr>
                <w:top w:val="none" w:sz="0" w:space="0" w:color="auto"/>
                <w:left w:val="none" w:sz="0" w:space="0" w:color="auto"/>
                <w:bottom w:val="none" w:sz="0" w:space="0" w:color="auto"/>
                <w:right w:val="none" w:sz="0" w:space="0" w:color="auto"/>
              </w:divBdr>
            </w:div>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300110341">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1258248776">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404642281">
              <w:marLeft w:val="0"/>
              <w:marRight w:val="0"/>
              <w:marTop w:val="0"/>
              <w:marBottom w:val="0"/>
              <w:divBdr>
                <w:top w:val="none" w:sz="0" w:space="0" w:color="auto"/>
                <w:left w:val="none" w:sz="0" w:space="0" w:color="auto"/>
                <w:bottom w:val="none" w:sz="0" w:space="0" w:color="auto"/>
                <w:right w:val="none" w:sz="0" w:space="0" w:color="auto"/>
              </w:divBdr>
              <w:divsChild>
                <w:div w:id="203370792">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19184646">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sChild>
                </w:div>
                <w:div w:id="1975981605">
                  <w:marLeft w:val="0"/>
                  <w:marRight w:val="0"/>
                  <w:marTop w:val="0"/>
                  <w:marBottom w:val="0"/>
                  <w:divBdr>
                    <w:top w:val="none" w:sz="0" w:space="0" w:color="auto"/>
                    <w:left w:val="none" w:sz="0" w:space="0" w:color="auto"/>
                    <w:bottom w:val="none" w:sz="0" w:space="0" w:color="auto"/>
                    <w:right w:val="none" w:sz="0" w:space="0" w:color="auto"/>
                  </w:divBdr>
                </w:div>
              </w:divsChild>
            </w:div>
            <w:div w:id="1681466465">
              <w:marLeft w:val="0"/>
              <w:marRight w:val="0"/>
              <w:marTop w:val="0"/>
              <w:marBottom w:val="0"/>
              <w:divBdr>
                <w:top w:val="none" w:sz="0" w:space="0" w:color="auto"/>
                <w:left w:val="none" w:sz="0" w:space="0" w:color="auto"/>
                <w:bottom w:val="none" w:sz="0" w:space="0" w:color="auto"/>
                <w:right w:val="none" w:sz="0" w:space="0" w:color="auto"/>
              </w:divBdr>
            </w:div>
          </w:divsChild>
        </w:div>
        <w:div w:id="1860198233">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2013101181">
          <w:marLeft w:val="0"/>
          <w:marRight w:val="0"/>
          <w:marTop w:val="0"/>
          <w:marBottom w:val="0"/>
          <w:divBdr>
            <w:top w:val="none" w:sz="0" w:space="0" w:color="auto"/>
            <w:left w:val="none" w:sz="0" w:space="0" w:color="auto"/>
            <w:bottom w:val="none" w:sz="0" w:space="0" w:color="auto"/>
            <w:right w:val="none" w:sz="0" w:space="0" w:color="auto"/>
          </w:divBdr>
        </w:div>
      </w:divsChild>
    </w:div>
    <w:div w:id="50034432">
      <w:bodyDiv w:val="1"/>
      <w:marLeft w:val="0"/>
      <w:marRight w:val="0"/>
      <w:marTop w:val="0"/>
      <w:marBottom w:val="0"/>
      <w:divBdr>
        <w:top w:val="none" w:sz="0" w:space="0" w:color="auto"/>
        <w:left w:val="none" w:sz="0" w:space="0" w:color="auto"/>
        <w:bottom w:val="none" w:sz="0" w:space="0" w:color="auto"/>
        <w:right w:val="none" w:sz="0" w:space="0" w:color="auto"/>
      </w:divBdr>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5201">
      <w:bodyDiv w:val="1"/>
      <w:marLeft w:val="0"/>
      <w:marRight w:val="0"/>
      <w:marTop w:val="0"/>
      <w:marBottom w:val="0"/>
      <w:divBdr>
        <w:top w:val="none" w:sz="0" w:space="0" w:color="auto"/>
        <w:left w:val="none" w:sz="0" w:space="0" w:color="auto"/>
        <w:bottom w:val="none" w:sz="0" w:space="0" w:color="auto"/>
        <w:right w:val="none" w:sz="0" w:space="0" w:color="auto"/>
      </w:divBdr>
      <w:divsChild>
        <w:div w:id="1954631125">
          <w:marLeft w:val="0"/>
          <w:marRight w:val="0"/>
          <w:marTop w:val="0"/>
          <w:marBottom w:val="0"/>
          <w:divBdr>
            <w:top w:val="none" w:sz="0" w:space="0" w:color="auto"/>
            <w:left w:val="none" w:sz="0" w:space="0" w:color="auto"/>
            <w:bottom w:val="none" w:sz="0" w:space="0" w:color="auto"/>
            <w:right w:val="none" w:sz="0" w:space="0" w:color="auto"/>
          </w:divBdr>
          <w:divsChild>
            <w:div w:id="450438453">
              <w:marLeft w:val="0"/>
              <w:marRight w:val="0"/>
              <w:marTop w:val="0"/>
              <w:marBottom w:val="0"/>
              <w:divBdr>
                <w:top w:val="none" w:sz="0" w:space="0" w:color="auto"/>
                <w:left w:val="none" w:sz="0" w:space="0" w:color="auto"/>
                <w:bottom w:val="none" w:sz="0" w:space="0" w:color="auto"/>
                <w:right w:val="none" w:sz="0" w:space="0" w:color="auto"/>
              </w:divBdr>
              <w:divsChild>
                <w:div w:id="1204101885">
                  <w:marLeft w:val="0"/>
                  <w:marRight w:val="0"/>
                  <w:marTop w:val="0"/>
                  <w:marBottom w:val="0"/>
                  <w:divBdr>
                    <w:top w:val="none" w:sz="0" w:space="0" w:color="auto"/>
                    <w:left w:val="none" w:sz="0" w:space="0" w:color="auto"/>
                    <w:bottom w:val="none" w:sz="0" w:space="0" w:color="auto"/>
                    <w:right w:val="none" w:sz="0" w:space="0" w:color="auto"/>
                  </w:divBdr>
                  <w:divsChild>
                    <w:div w:id="947541583">
                      <w:marLeft w:val="0"/>
                      <w:marRight w:val="0"/>
                      <w:marTop w:val="0"/>
                      <w:marBottom w:val="0"/>
                      <w:divBdr>
                        <w:top w:val="none" w:sz="0" w:space="0" w:color="auto"/>
                        <w:left w:val="none" w:sz="0" w:space="0" w:color="auto"/>
                        <w:bottom w:val="none" w:sz="0" w:space="0" w:color="auto"/>
                        <w:right w:val="none" w:sz="0" w:space="0" w:color="auto"/>
                      </w:divBdr>
                      <w:divsChild>
                        <w:div w:id="7301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12875">
                  <w:marLeft w:val="0"/>
                  <w:marRight w:val="0"/>
                  <w:marTop w:val="0"/>
                  <w:marBottom w:val="0"/>
                  <w:divBdr>
                    <w:top w:val="none" w:sz="0" w:space="0" w:color="auto"/>
                    <w:left w:val="none" w:sz="0" w:space="0" w:color="auto"/>
                    <w:bottom w:val="none" w:sz="0" w:space="0" w:color="auto"/>
                    <w:right w:val="none" w:sz="0" w:space="0" w:color="auto"/>
                  </w:divBdr>
                  <w:divsChild>
                    <w:div w:id="864638585">
                      <w:marLeft w:val="0"/>
                      <w:marRight w:val="0"/>
                      <w:marTop w:val="0"/>
                      <w:marBottom w:val="0"/>
                      <w:divBdr>
                        <w:top w:val="none" w:sz="0" w:space="0" w:color="auto"/>
                        <w:left w:val="none" w:sz="0" w:space="0" w:color="auto"/>
                        <w:bottom w:val="none" w:sz="0" w:space="0" w:color="auto"/>
                        <w:right w:val="none" w:sz="0" w:space="0" w:color="auto"/>
                      </w:divBdr>
                      <w:divsChild>
                        <w:div w:id="12562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941046">
      <w:bodyDiv w:val="1"/>
      <w:marLeft w:val="0"/>
      <w:marRight w:val="0"/>
      <w:marTop w:val="0"/>
      <w:marBottom w:val="0"/>
      <w:divBdr>
        <w:top w:val="none" w:sz="0" w:space="0" w:color="auto"/>
        <w:left w:val="none" w:sz="0" w:space="0" w:color="auto"/>
        <w:bottom w:val="none" w:sz="0" w:space="0" w:color="auto"/>
        <w:right w:val="none" w:sz="0" w:space="0" w:color="auto"/>
      </w:divBdr>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280311183">
      <w:bodyDiv w:val="1"/>
      <w:marLeft w:val="0"/>
      <w:marRight w:val="0"/>
      <w:marTop w:val="0"/>
      <w:marBottom w:val="0"/>
      <w:divBdr>
        <w:top w:val="none" w:sz="0" w:space="0" w:color="auto"/>
        <w:left w:val="none" w:sz="0" w:space="0" w:color="auto"/>
        <w:bottom w:val="none" w:sz="0" w:space="0" w:color="auto"/>
        <w:right w:val="none" w:sz="0" w:space="0" w:color="auto"/>
      </w:divBdr>
    </w:div>
    <w:div w:id="295724844">
      <w:bodyDiv w:val="1"/>
      <w:marLeft w:val="0"/>
      <w:marRight w:val="0"/>
      <w:marTop w:val="0"/>
      <w:marBottom w:val="0"/>
      <w:divBdr>
        <w:top w:val="none" w:sz="0" w:space="0" w:color="auto"/>
        <w:left w:val="none" w:sz="0" w:space="0" w:color="auto"/>
        <w:bottom w:val="none" w:sz="0" w:space="0" w:color="auto"/>
        <w:right w:val="none" w:sz="0" w:space="0" w:color="auto"/>
      </w:divBdr>
    </w:div>
    <w:div w:id="306975770">
      <w:bodyDiv w:val="1"/>
      <w:marLeft w:val="0"/>
      <w:marRight w:val="0"/>
      <w:marTop w:val="0"/>
      <w:marBottom w:val="0"/>
      <w:divBdr>
        <w:top w:val="none" w:sz="0" w:space="0" w:color="auto"/>
        <w:left w:val="none" w:sz="0" w:space="0" w:color="auto"/>
        <w:bottom w:val="none" w:sz="0" w:space="0" w:color="auto"/>
        <w:right w:val="none" w:sz="0" w:space="0" w:color="auto"/>
      </w:divBdr>
      <w:divsChild>
        <w:div w:id="303236164">
          <w:marLeft w:val="0"/>
          <w:marRight w:val="0"/>
          <w:marTop w:val="0"/>
          <w:marBottom w:val="0"/>
          <w:divBdr>
            <w:top w:val="none" w:sz="0" w:space="0" w:color="auto"/>
            <w:left w:val="none" w:sz="0" w:space="0" w:color="auto"/>
            <w:bottom w:val="none" w:sz="0" w:space="0" w:color="auto"/>
            <w:right w:val="none" w:sz="0" w:space="0" w:color="auto"/>
          </w:divBdr>
          <w:divsChild>
            <w:div w:id="400908248">
              <w:marLeft w:val="0"/>
              <w:marRight w:val="0"/>
              <w:marTop w:val="0"/>
              <w:marBottom w:val="0"/>
              <w:divBdr>
                <w:top w:val="none" w:sz="0" w:space="0" w:color="auto"/>
                <w:left w:val="none" w:sz="0" w:space="0" w:color="auto"/>
                <w:bottom w:val="none" w:sz="0" w:space="0" w:color="auto"/>
                <w:right w:val="none" w:sz="0" w:space="0" w:color="auto"/>
              </w:divBdr>
              <w:divsChild>
                <w:div w:id="769393278">
                  <w:marLeft w:val="0"/>
                  <w:marRight w:val="0"/>
                  <w:marTop w:val="0"/>
                  <w:marBottom w:val="0"/>
                  <w:divBdr>
                    <w:top w:val="none" w:sz="0" w:space="0" w:color="auto"/>
                    <w:left w:val="none" w:sz="0" w:space="0" w:color="auto"/>
                    <w:bottom w:val="none" w:sz="0" w:space="0" w:color="auto"/>
                    <w:right w:val="none" w:sz="0" w:space="0" w:color="auto"/>
                  </w:divBdr>
                </w:div>
              </w:divsChild>
            </w:div>
            <w:div w:id="1681157142">
              <w:marLeft w:val="0"/>
              <w:marRight w:val="0"/>
              <w:marTop w:val="0"/>
              <w:marBottom w:val="0"/>
              <w:divBdr>
                <w:top w:val="none" w:sz="0" w:space="0" w:color="auto"/>
                <w:left w:val="none" w:sz="0" w:space="0" w:color="auto"/>
                <w:bottom w:val="none" w:sz="0" w:space="0" w:color="auto"/>
                <w:right w:val="none" w:sz="0" w:space="0" w:color="auto"/>
              </w:divBdr>
              <w:divsChild>
                <w:div w:id="2248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137573">
          <w:marLeft w:val="0"/>
          <w:marRight w:val="0"/>
          <w:marTop w:val="0"/>
          <w:marBottom w:val="0"/>
          <w:divBdr>
            <w:top w:val="none" w:sz="0" w:space="0" w:color="auto"/>
            <w:left w:val="none" w:sz="0" w:space="0" w:color="auto"/>
            <w:bottom w:val="none" w:sz="0" w:space="0" w:color="auto"/>
            <w:right w:val="none" w:sz="0" w:space="0" w:color="auto"/>
          </w:divBdr>
          <w:divsChild>
            <w:div w:id="666445111">
              <w:marLeft w:val="0"/>
              <w:marRight w:val="0"/>
              <w:marTop w:val="0"/>
              <w:marBottom w:val="0"/>
              <w:divBdr>
                <w:top w:val="none" w:sz="0" w:space="0" w:color="auto"/>
                <w:left w:val="none" w:sz="0" w:space="0" w:color="auto"/>
                <w:bottom w:val="none" w:sz="0" w:space="0" w:color="auto"/>
                <w:right w:val="none" w:sz="0" w:space="0" w:color="auto"/>
              </w:divBdr>
              <w:divsChild>
                <w:div w:id="6105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98730">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361437330">
      <w:bodyDiv w:val="1"/>
      <w:marLeft w:val="0"/>
      <w:marRight w:val="0"/>
      <w:marTop w:val="0"/>
      <w:marBottom w:val="0"/>
      <w:divBdr>
        <w:top w:val="none" w:sz="0" w:space="0" w:color="auto"/>
        <w:left w:val="none" w:sz="0" w:space="0" w:color="auto"/>
        <w:bottom w:val="none" w:sz="0" w:space="0" w:color="auto"/>
        <w:right w:val="none" w:sz="0" w:space="0" w:color="auto"/>
      </w:divBdr>
    </w:div>
    <w:div w:id="409890146">
      <w:bodyDiv w:val="1"/>
      <w:marLeft w:val="0"/>
      <w:marRight w:val="0"/>
      <w:marTop w:val="0"/>
      <w:marBottom w:val="0"/>
      <w:divBdr>
        <w:top w:val="none" w:sz="0" w:space="0" w:color="auto"/>
        <w:left w:val="none" w:sz="0" w:space="0" w:color="auto"/>
        <w:bottom w:val="none" w:sz="0" w:space="0" w:color="auto"/>
        <w:right w:val="none" w:sz="0" w:space="0" w:color="auto"/>
      </w:divBdr>
      <w:divsChild>
        <w:div w:id="944574709">
          <w:marLeft w:val="0"/>
          <w:marRight w:val="0"/>
          <w:marTop w:val="0"/>
          <w:marBottom w:val="0"/>
          <w:divBdr>
            <w:top w:val="none" w:sz="0" w:space="0" w:color="auto"/>
            <w:left w:val="none" w:sz="0" w:space="0" w:color="auto"/>
            <w:bottom w:val="none" w:sz="0" w:space="0" w:color="auto"/>
            <w:right w:val="none" w:sz="0" w:space="0" w:color="auto"/>
          </w:divBdr>
          <w:divsChild>
            <w:div w:id="1842312211">
              <w:marLeft w:val="0"/>
              <w:marRight w:val="0"/>
              <w:marTop w:val="0"/>
              <w:marBottom w:val="0"/>
              <w:divBdr>
                <w:top w:val="none" w:sz="0" w:space="0" w:color="auto"/>
                <w:left w:val="none" w:sz="0" w:space="0" w:color="auto"/>
                <w:bottom w:val="none" w:sz="0" w:space="0" w:color="auto"/>
                <w:right w:val="none" w:sz="0" w:space="0" w:color="auto"/>
              </w:divBdr>
              <w:divsChild>
                <w:div w:id="20001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7111">
      <w:bodyDiv w:val="1"/>
      <w:marLeft w:val="0"/>
      <w:marRight w:val="0"/>
      <w:marTop w:val="0"/>
      <w:marBottom w:val="0"/>
      <w:divBdr>
        <w:top w:val="none" w:sz="0" w:space="0" w:color="auto"/>
        <w:left w:val="none" w:sz="0" w:space="0" w:color="auto"/>
        <w:bottom w:val="none" w:sz="0" w:space="0" w:color="auto"/>
        <w:right w:val="none" w:sz="0" w:space="0" w:color="auto"/>
      </w:divBdr>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436069">
      <w:bodyDiv w:val="1"/>
      <w:marLeft w:val="0"/>
      <w:marRight w:val="0"/>
      <w:marTop w:val="0"/>
      <w:marBottom w:val="0"/>
      <w:divBdr>
        <w:top w:val="none" w:sz="0" w:space="0" w:color="auto"/>
        <w:left w:val="none" w:sz="0" w:space="0" w:color="auto"/>
        <w:bottom w:val="none" w:sz="0" w:space="0" w:color="auto"/>
        <w:right w:val="none" w:sz="0" w:space="0" w:color="auto"/>
      </w:divBdr>
    </w:div>
    <w:div w:id="519318760">
      <w:bodyDiv w:val="1"/>
      <w:marLeft w:val="0"/>
      <w:marRight w:val="0"/>
      <w:marTop w:val="0"/>
      <w:marBottom w:val="0"/>
      <w:divBdr>
        <w:top w:val="none" w:sz="0" w:space="0" w:color="auto"/>
        <w:left w:val="none" w:sz="0" w:space="0" w:color="auto"/>
        <w:bottom w:val="none" w:sz="0" w:space="0" w:color="auto"/>
        <w:right w:val="none" w:sz="0" w:space="0" w:color="auto"/>
      </w:divBdr>
    </w:div>
    <w:div w:id="539830079">
      <w:bodyDiv w:val="1"/>
      <w:marLeft w:val="0"/>
      <w:marRight w:val="0"/>
      <w:marTop w:val="0"/>
      <w:marBottom w:val="0"/>
      <w:divBdr>
        <w:top w:val="none" w:sz="0" w:space="0" w:color="auto"/>
        <w:left w:val="none" w:sz="0" w:space="0" w:color="auto"/>
        <w:bottom w:val="none" w:sz="0" w:space="0" w:color="auto"/>
        <w:right w:val="none" w:sz="0" w:space="0" w:color="auto"/>
      </w:divBdr>
      <w:divsChild>
        <w:div w:id="1290867037">
          <w:marLeft w:val="0"/>
          <w:marRight w:val="0"/>
          <w:marTop w:val="0"/>
          <w:marBottom w:val="0"/>
          <w:divBdr>
            <w:top w:val="none" w:sz="0" w:space="0" w:color="auto"/>
            <w:left w:val="none" w:sz="0" w:space="0" w:color="auto"/>
            <w:bottom w:val="none" w:sz="0" w:space="0" w:color="auto"/>
            <w:right w:val="none" w:sz="0" w:space="0" w:color="auto"/>
          </w:divBdr>
          <w:divsChild>
            <w:div w:id="839855727">
              <w:marLeft w:val="0"/>
              <w:marRight w:val="0"/>
              <w:marTop w:val="0"/>
              <w:marBottom w:val="0"/>
              <w:divBdr>
                <w:top w:val="none" w:sz="0" w:space="0" w:color="auto"/>
                <w:left w:val="none" w:sz="0" w:space="0" w:color="auto"/>
                <w:bottom w:val="none" w:sz="0" w:space="0" w:color="auto"/>
                <w:right w:val="none" w:sz="0" w:space="0" w:color="auto"/>
              </w:divBdr>
              <w:divsChild>
                <w:div w:id="1417435941">
                  <w:marLeft w:val="0"/>
                  <w:marRight w:val="0"/>
                  <w:marTop w:val="0"/>
                  <w:marBottom w:val="0"/>
                  <w:divBdr>
                    <w:top w:val="none" w:sz="0" w:space="0" w:color="auto"/>
                    <w:left w:val="none" w:sz="0" w:space="0" w:color="auto"/>
                    <w:bottom w:val="none" w:sz="0" w:space="0" w:color="auto"/>
                    <w:right w:val="none" w:sz="0" w:space="0" w:color="auto"/>
                  </w:divBdr>
                  <w:divsChild>
                    <w:div w:id="11455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83545">
              <w:marLeft w:val="0"/>
              <w:marRight w:val="0"/>
              <w:marTop w:val="0"/>
              <w:marBottom w:val="0"/>
              <w:divBdr>
                <w:top w:val="none" w:sz="0" w:space="0" w:color="auto"/>
                <w:left w:val="none" w:sz="0" w:space="0" w:color="auto"/>
                <w:bottom w:val="none" w:sz="0" w:space="0" w:color="auto"/>
                <w:right w:val="none" w:sz="0" w:space="0" w:color="auto"/>
              </w:divBdr>
              <w:divsChild>
                <w:div w:id="15341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534513">
      <w:bodyDiv w:val="1"/>
      <w:marLeft w:val="0"/>
      <w:marRight w:val="0"/>
      <w:marTop w:val="0"/>
      <w:marBottom w:val="0"/>
      <w:divBdr>
        <w:top w:val="none" w:sz="0" w:space="0" w:color="auto"/>
        <w:left w:val="none" w:sz="0" w:space="0" w:color="auto"/>
        <w:bottom w:val="none" w:sz="0" w:space="0" w:color="auto"/>
        <w:right w:val="none" w:sz="0" w:space="0" w:color="auto"/>
      </w:divBdr>
      <w:divsChild>
        <w:div w:id="24644329">
          <w:marLeft w:val="0"/>
          <w:marRight w:val="0"/>
          <w:marTop w:val="0"/>
          <w:marBottom w:val="0"/>
          <w:divBdr>
            <w:top w:val="none" w:sz="0" w:space="0" w:color="auto"/>
            <w:left w:val="none" w:sz="0" w:space="0" w:color="auto"/>
            <w:bottom w:val="none" w:sz="0" w:space="0" w:color="auto"/>
            <w:right w:val="none" w:sz="0" w:space="0" w:color="auto"/>
          </w:divBdr>
          <w:divsChild>
            <w:div w:id="196627921">
              <w:marLeft w:val="0"/>
              <w:marRight w:val="0"/>
              <w:marTop w:val="0"/>
              <w:marBottom w:val="0"/>
              <w:divBdr>
                <w:top w:val="none" w:sz="0" w:space="0" w:color="auto"/>
                <w:left w:val="none" w:sz="0" w:space="0" w:color="auto"/>
                <w:bottom w:val="none" w:sz="0" w:space="0" w:color="auto"/>
                <w:right w:val="none" w:sz="0" w:space="0" w:color="auto"/>
              </w:divBdr>
              <w:divsChild>
                <w:div w:id="1732576293">
                  <w:marLeft w:val="0"/>
                  <w:marRight w:val="0"/>
                  <w:marTop w:val="0"/>
                  <w:marBottom w:val="0"/>
                  <w:divBdr>
                    <w:top w:val="none" w:sz="0" w:space="0" w:color="auto"/>
                    <w:left w:val="none" w:sz="0" w:space="0" w:color="auto"/>
                    <w:bottom w:val="none" w:sz="0" w:space="0" w:color="auto"/>
                    <w:right w:val="none" w:sz="0" w:space="0" w:color="auto"/>
                  </w:divBdr>
                </w:div>
              </w:divsChild>
            </w:div>
            <w:div w:id="1028872207">
              <w:marLeft w:val="0"/>
              <w:marRight w:val="0"/>
              <w:marTop w:val="0"/>
              <w:marBottom w:val="0"/>
              <w:divBdr>
                <w:top w:val="none" w:sz="0" w:space="0" w:color="auto"/>
                <w:left w:val="none" w:sz="0" w:space="0" w:color="auto"/>
                <w:bottom w:val="none" w:sz="0" w:space="0" w:color="auto"/>
                <w:right w:val="none" w:sz="0" w:space="0" w:color="auto"/>
              </w:divBdr>
              <w:divsChild>
                <w:div w:id="6537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100828">
      <w:bodyDiv w:val="1"/>
      <w:marLeft w:val="0"/>
      <w:marRight w:val="0"/>
      <w:marTop w:val="0"/>
      <w:marBottom w:val="0"/>
      <w:divBdr>
        <w:top w:val="none" w:sz="0" w:space="0" w:color="auto"/>
        <w:left w:val="none" w:sz="0" w:space="0" w:color="auto"/>
        <w:bottom w:val="none" w:sz="0" w:space="0" w:color="auto"/>
        <w:right w:val="none" w:sz="0" w:space="0" w:color="auto"/>
      </w:divBdr>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961840">
      <w:bodyDiv w:val="1"/>
      <w:marLeft w:val="0"/>
      <w:marRight w:val="0"/>
      <w:marTop w:val="0"/>
      <w:marBottom w:val="0"/>
      <w:divBdr>
        <w:top w:val="none" w:sz="0" w:space="0" w:color="auto"/>
        <w:left w:val="none" w:sz="0" w:space="0" w:color="auto"/>
        <w:bottom w:val="none" w:sz="0" w:space="0" w:color="auto"/>
        <w:right w:val="none" w:sz="0" w:space="0" w:color="auto"/>
      </w:divBdr>
      <w:divsChild>
        <w:div w:id="341707974">
          <w:marLeft w:val="0"/>
          <w:marRight w:val="0"/>
          <w:marTop w:val="0"/>
          <w:marBottom w:val="0"/>
          <w:divBdr>
            <w:top w:val="none" w:sz="0" w:space="0" w:color="auto"/>
            <w:left w:val="none" w:sz="0" w:space="0" w:color="auto"/>
            <w:bottom w:val="none" w:sz="0" w:space="0" w:color="auto"/>
            <w:right w:val="none" w:sz="0" w:space="0" w:color="auto"/>
          </w:divBdr>
          <w:divsChild>
            <w:div w:id="2021658655">
              <w:marLeft w:val="0"/>
              <w:marRight w:val="0"/>
              <w:marTop w:val="0"/>
              <w:marBottom w:val="0"/>
              <w:divBdr>
                <w:top w:val="none" w:sz="0" w:space="0" w:color="auto"/>
                <w:left w:val="none" w:sz="0" w:space="0" w:color="auto"/>
                <w:bottom w:val="none" w:sz="0" w:space="0" w:color="auto"/>
                <w:right w:val="none" w:sz="0" w:space="0" w:color="auto"/>
              </w:divBdr>
              <w:divsChild>
                <w:div w:id="97926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5546">
      <w:bodyDiv w:val="1"/>
      <w:marLeft w:val="0"/>
      <w:marRight w:val="0"/>
      <w:marTop w:val="0"/>
      <w:marBottom w:val="0"/>
      <w:divBdr>
        <w:top w:val="none" w:sz="0" w:space="0" w:color="auto"/>
        <w:left w:val="none" w:sz="0" w:space="0" w:color="auto"/>
        <w:bottom w:val="none" w:sz="0" w:space="0" w:color="auto"/>
        <w:right w:val="none" w:sz="0" w:space="0" w:color="auto"/>
      </w:divBdr>
      <w:divsChild>
        <w:div w:id="1038090518">
          <w:marLeft w:val="0"/>
          <w:marRight w:val="0"/>
          <w:marTop w:val="0"/>
          <w:marBottom w:val="0"/>
          <w:divBdr>
            <w:top w:val="none" w:sz="0" w:space="0" w:color="auto"/>
            <w:left w:val="none" w:sz="0" w:space="0" w:color="auto"/>
            <w:bottom w:val="none" w:sz="0" w:space="0" w:color="auto"/>
            <w:right w:val="none" w:sz="0" w:space="0" w:color="auto"/>
          </w:divBdr>
          <w:divsChild>
            <w:div w:id="1707102012">
              <w:marLeft w:val="0"/>
              <w:marRight w:val="0"/>
              <w:marTop w:val="0"/>
              <w:marBottom w:val="0"/>
              <w:divBdr>
                <w:top w:val="none" w:sz="0" w:space="0" w:color="auto"/>
                <w:left w:val="none" w:sz="0" w:space="0" w:color="auto"/>
                <w:bottom w:val="none" w:sz="0" w:space="0" w:color="auto"/>
                <w:right w:val="none" w:sz="0" w:space="0" w:color="auto"/>
              </w:divBdr>
              <w:divsChild>
                <w:div w:id="1516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638056">
      <w:bodyDiv w:val="1"/>
      <w:marLeft w:val="0"/>
      <w:marRight w:val="0"/>
      <w:marTop w:val="0"/>
      <w:marBottom w:val="0"/>
      <w:divBdr>
        <w:top w:val="none" w:sz="0" w:space="0" w:color="auto"/>
        <w:left w:val="none" w:sz="0" w:space="0" w:color="auto"/>
        <w:bottom w:val="none" w:sz="0" w:space="0" w:color="auto"/>
        <w:right w:val="none" w:sz="0" w:space="0" w:color="auto"/>
      </w:divBdr>
    </w:div>
    <w:div w:id="716852903">
      <w:bodyDiv w:val="1"/>
      <w:marLeft w:val="0"/>
      <w:marRight w:val="0"/>
      <w:marTop w:val="0"/>
      <w:marBottom w:val="0"/>
      <w:divBdr>
        <w:top w:val="none" w:sz="0" w:space="0" w:color="auto"/>
        <w:left w:val="none" w:sz="0" w:space="0" w:color="auto"/>
        <w:bottom w:val="none" w:sz="0" w:space="0" w:color="auto"/>
        <w:right w:val="none" w:sz="0" w:space="0" w:color="auto"/>
      </w:divBdr>
      <w:divsChild>
        <w:div w:id="1939096842">
          <w:marLeft w:val="0"/>
          <w:marRight w:val="0"/>
          <w:marTop w:val="0"/>
          <w:marBottom w:val="0"/>
          <w:divBdr>
            <w:top w:val="none" w:sz="0" w:space="0" w:color="auto"/>
            <w:left w:val="none" w:sz="0" w:space="0" w:color="auto"/>
            <w:bottom w:val="none" w:sz="0" w:space="0" w:color="auto"/>
            <w:right w:val="none" w:sz="0" w:space="0" w:color="auto"/>
          </w:divBdr>
          <w:divsChild>
            <w:div w:id="278494633">
              <w:marLeft w:val="0"/>
              <w:marRight w:val="0"/>
              <w:marTop w:val="0"/>
              <w:marBottom w:val="0"/>
              <w:divBdr>
                <w:top w:val="none" w:sz="0" w:space="0" w:color="auto"/>
                <w:left w:val="none" w:sz="0" w:space="0" w:color="auto"/>
                <w:bottom w:val="none" w:sz="0" w:space="0" w:color="auto"/>
                <w:right w:val="none" w:sz="0" w:space="0" w:color="auto"/>
              </w:divBdr>
              <w:divsChild>
                <w:div w:id="75964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04212">
      <w:bodyDiv w:val="1"/>
      <w:marLeft w:val="0"/>
      <w:marRight w:val="0"/>
      <w:marTop w:val="0"/>
      <w:marBottom w:val="0"/>
      <w:divBdr>
        <w:top w:val="none" w:sz="0" w:space="0" w:color="auto"/>
        <w:left w:val="none" w:sz="0" w:space="0" w:color="auto"/>
        <w:bottom w:val="none" w:sz="0" w:space="0" w:color="auto"/>
        <w:right w:val="none" w:sz="0" w:space="0" w:color="auto"/>
      </w:divBdr>
    </w:div>
    <w:div w:id="817965806">
      <w:bodyDiv w:val="1"/>
      <w:marLeft w:val="0"/>
      <w:marRight w:val="0"/>
      <w:marTop w:val="0"/>
      <w:marBottom w:val="0"/>
      <w:divBdr>
        <w:top w:val="none" w:sz="0" w:space="0" w:color="auto"/>
        <w:left w:val="none" w:sz="0" w:space="0" w:color="auto"/>
        <w:bottom w:val="none" w:sz="0" w:space="0" w:color="auto"/>
        <w:right w:val="none" w:sz="0" w:space="0" w:color="auto"/>
      </w:divBdr>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86714">
      <w:bodyDiv w:val="1"/>
      <w:marLeft w:val="0"/>
      <w:marRight w:val="0"/>
      <w:marTop w:val="0"/>
      <w:marBottom w:val="0"/>
      <w:divBdr>
        <w:top w:val="none" w:sz="0" w:space="0" w:color="auto"/>
        <w:left w:val="none" w:sz="0" w:space="0" w:color="auto"/>
        <w:bottom w:val="none" w:sz="0" w:space="0" w:color="auto"/>
        <w:right w:val="none" w:sz="0" w:space="0" w:color="auto"/>
      </w:divBdr>
      <w:divsChild>
        <w:div w:id="723599940">
          <w:marLeft w:val="0"/>
          <w:marRight w:val="0"/>
          <w:marTop w:val="0"/>
          <w:marBottom w:val="0"/>
          <w:divBdr>
            <w:top w:val="none" w:sz="0" w:space="0" w:color="auto"/>
            <w:left w:val="none" w:sz="0" w:space="0" w:color="auto"/>
            <w:bottom w:val="none" w:sz="0" w:space="0" w:color="auto"/>
            <w:right w:val="none" w:sz="0" w:space="0" w:color="auto"/>
          </w:divBdr>
          <w:divsChild>
            <w:div w:id="1686444699">
              <w:marLeft w:val="0"/>
              <w:marRight w:val="0"/>
              <w:marTop w:val="0"/>
              <w:marBottom w:val="0"/>
              <w:divBdr>
                <w:top w:val="none" w:sz="0" w:space="0" w:color="auto"/>
                <w:left w:val="none" w:sz="0" w:space="0" w:color="auto"/>
                <w:bottom w:val="none" w:sz="0" w:space="0" w:color="auto"/>
                <w:right w:val="none" w:sz="0" w:space="0" w:color="auto"/>
              </w:divBdr>
              <w:divsChild>
                <w:div w:id="51078015">
                  <w:marLeft w:val="0"/>
                  <w:marRight w:val="0"/>
                  <w:marTop w:val="0"/>
                  <w:marBottom w:val="0"/>
                  <w:divBdr>
                    <w:top w:val="none" w:sz="0" w:space="0" w:color="auto"/>
                    <w:left w:val="none" w:sz="0" w:space="0" w:color="auto"/>
                    <w:bottom w:val="none" w:sz="0" w:space="0" w:color="auto"/>
                    <w:right w:val="none" w:sz="0" w:space="0" w:color="auto"/>
                  </w:divBdr>
                  <w:divsChild>
                    <w:div w:id="1391684809">
                      <w:marLeft w:val="0"/>
                      <w:marRight w:val="0"/>
                      <w:marTop w:val="0"/>
                      <w:marBottom w:val="0"/>
                      <w:divBdr>
                        <w:top w:val="none" w:sz="0" w:space="0" w:color="auto"/>
                        <w:left w:val="none" w:sz="0" w:space="0" w:color="auto"/>
                        <w:bottom w:val="none" w:sz="0" w:space="0" w:color="auto"/>
                        <w:right w:val="none" w:sz="0" w:space="0" w:color="auto"/>
                      </w:divBdr>
                      <w:divsChild>
                        <w:div w:id="26269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52086">
                  <w:marLeft w:val="0"/>
                  <w:marRight w:val="0"/>
                  <w:marTop w:val="0"/>
                  <w:marBottom w:val="0"/>
                  <w:divBdr>
                    <w:top w:val="none" w:sz="0" w:space="0" w:color="auto"/>
                    <w:left w:val="none" w:sz="0" w:space="0" w:color="auto"/>
                    <w:bottom w:val="none" w:sz="0" w:space="0" w:color="auto"/>
                    <w:right w:val="none" w:sz="0" w:space="0" w:color="auto"/>
                  </w:divBdr>
                  <w:divsChild>
                    <w:div w:id="329263184">
                      <w:marLeft w:val="0"/>
                      <w:marRight w:val="0"/>
                      <w:marTop w:val="0"/>
                      <w:marBottom w:val="0"/>
                      <w:divBdr>
                        <w:top w:val="none" w:sz="0" w:space="0" w:color="auto"/>
                        <w:left w:val="none" w:sz="0" w:space="0" w:color="auto"/>
                        <w:bottom w:val="none" w:sz="0" w:space="0" w:color="auto"/>
                        <w:right w:val="none" w:sz="0" w:space="0" w:color="auto"/>
                      </w:divBdr>
                      <w:divsChild>
                        <w:div w:id="8852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794760">
      <w:bodyDiv w:val="1"/>
      <w:marLeft w:val="0"/>
      <w:marRight w:val="0"/>
      <w:marTop w:val="0"/>
      <w:marBottom w:val="0"/>
      <w:divBdr>
        <w:top w:val="none" w:sz="0" w:space="0" w:color="auto"/>
        <w:left w:val="none" w:sz="0" w:space="0" w:color="auto"/>
        <w:bottom w:val="none" w:sz="0" w:space="0" w:color="auto"/>
        <w:right w:val="none" w:sz="0" w:space="0" w:color="auto"/>
      </w:divBdr>
    </w:div>
    <w:div w:id="978919537">
      <w:bodyDiv w:val="1"/>
      <w:marLeft w:val="0"/>
      <w:marRight w:val="0"/>
      <w:marTop w:val="0"/>
      <w:marBottom w:val="0"/>
      <w:divBdr>
        <w:top w:val="none" w:sz="0" w:space="0" w:color="auto"/>
        <w:left w:val="none" w:sz="0" w:space="0" w:color="auto"/>
        <w:bottom w:val="none" w:sz="0" w:space="0" w:color="auto"/>
        <w:right w:val="none" w:sz="0" w:space="0" w:color="auto"/>
      </w:divBdr>
    </w:div>
    <w:div w:id="1005329277">
      <w:bodyDiv w:val="1"/>
      <w:marLeft w:val="0"/>
      <w:marRight w:val="0"/>
      <w:marTop w:val="0"/>
      <w:marBottom w:val="0"/>
      <w:divBdr>
        <w:top w:val="none" w:sz="0" w:space="0" w:color="auto"/>
        <w:left w:val="none" w:sz="0" w:space="0" w:color="auto"/>
        <w:bottom w:val="none" w:sz="0" w:space="0" w:color="auto"/>
        <w:right w:val="none" w:sz="0" w:space="0" w:color="auto"/>
      </w:divBdr>
      <w:divsChild>
        <w:div w:id="299114336">
          <w:marLeft w:val="0"/>
          <w:marRight w:val="0"/>
          <w:marTop w:val="0"/>
          <w:marBottom w:val="0"/>
          <w:divBdr>
            <w:top w:val="none" w:sz="0" w:space="0" w:color="auto"/>
            <w:left w:val="none" w:sz="0" w:space="0" w:color="auto"/>
            <w:bottom w:val="none" w:sz="0" w:space="0" w:color="auto"/>
            <w:right w:val="none" w:sz="0" w:space="0" w:color="auto"/>
          </w:divBdr>
          <w:divsChild>
            <w:div w:id="1066106499">
              <w:marLeft w:val="0"/>
              <w:marRight w:val="0"/>
              <w:marTop w:val="0"/>
              <w:marBottom w:val="0"/>
              <w:divBdr>
                <w:top w:val="none" w:sz="0" w:space="0" w:color="auto"/>
                <w:left w:val="none" w:sz="0" w:space="0" w:color="auto"/>
                <w:bottom w:val="none" w:sz="0" w:space="0" w:color="auto"/>
                <w:right w:val="none" w:sz="0" w:space="0" w:color="auto"/>
              </w:divBdr>
              <w:divsChild>
                <w:div w:id="20598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0805">
      <w:bodyDiv w:val="1"/>
      <w:marLeft w:val="0"/>
      <w:marRight w:val="0"/>
      <w:marTop w:val="0"/>
      <w:marBottom w:val="0"/>
      <w:divBdr>
        <w:top w:val="none" w:sz="0" w:space="0" w:color="auto"/>
        <w:left w:val="none" w:sz="0" w:space="0" w:color="auto"/>
        <w:bottom w:val="none" w:sz="0" w:space="0" w:color="auto"/>
        <w:right w:val="none" w:sz="0" w:space="0" w:color="auto"/>
      </w:divBdr>
    </w:div>
    <w:div w:id="1080172794">
      <w:bodyDiv w:val="1"/>
      <w:marLeft w:val="0"/>
      <w:marRight w:val="0"/>
      <w:marTop w:val="0"/>
      <w:marBottom w:val="0"/>
      <w:divBdr>
        <w:top w:val="none" w:sz="0" w:space="0" w:color="auto"/>
        <w:left w:val="none" w:sz="0" w:space="0" w:color="auto"/>
        <w:bottom w:val="none" w:sz="0" w:space="0" w:color="auto"/>
        <w:right w:val="none" w:sz="0" w:space="0" w:color="auto"/>
      </w:divBdr>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303439">
      <w:bodyDiv w:val="1"/>
      <w:marLeft w:val="0"/>
      <w:marRight w:val="0"/>
      <w:marTop w:val="0"/>
      <w:marBottom w:val="0"/>
      <w:divBdr>
        <w:top w:val="none" w:sz="0" w:space="0" w:color="auto"/>
        <w:left w:val="none" w:sz="0" w:space="0" w:color="auto"/>
        <w:bottom w:val="none" w:sz="0" w:space="0" w:color="auto"/>
        <w:right w:val="none" w:sz="0" w:space="0" w:color="auto"/>
      </w:divBdr>
      <w:divsChild>
        <w:div w:id="61802168">
          <w:marLeft w:val="0"/>
          <w:marRight w:val="0"/>
          <w:marTop w:val="0"/>
          <w:marBottom w:val="0"/>
          <w:divBdr>
            <w:top w:val="none" w:sz="0" w:space="0" w:color="auto"/>
            <w:left w:val="none" w:sz="0" w:space="0" w:color="auto"/>
            <w:bottom w:val="none" w:sz="0" w:space="0" w:color="auto"/>
            <w:right w:val="none" w:sz="0" w:space="0" w:color="auto"/>
          </w:divBdr>
          <w:divsChild>
            <w:div w:id="993877712">
              <w:marLeft w:val="0"/>
              <w:marRight w:val="0"/>
              <w:marTop w:val="0"/>
              <w:marBottom w:val="0"/>
              <w:divBdr>
                <w:top w:val="none" w:sz="0" w:space="0" w:color="auto"/>
                <w:left w:val="none" w:sz="0" w:space="0" w:color="auto"/>
                <w:bottom w:val="none" w:sz="0" w:space="0" w:color="auto"/>
                <w:right w:val="none" w:sz="0" w:space="0" w:color="auto"/>
              </w:divBdr>
              <w:divsChild>
                <w:div w:id="1173838606">
                  <w:marLeft w:val="0"/>
                  <w:marRight w:val="0"/>
                  <w:marTop w:val="0"/>
                  <w:marBottom w:val="0"/>
                  <w:divBdr>
                    <w:top w:val="none" w:sz="0" w:space="0" w:color="auto"/>
                    <w:left w:val="none" w:sz="0" w:space="0" w:color="auto"/>
                    <w:bottom w:val="none" w:sz="0" w:space="0" w:color="auto"/>
                    <w:right w:val="none" w:sz="0" w:space="0" w:color="auto"/>
                  </w:divBdr>
                </w:div>
              </w:divsChild>
            </w:div>
            <w:div w:id="1285887691">
              <w:marLeft w:val="0"/>
              <w:marRight w:val="0"/>
              <w:marTop w:val="0"/>
              <w:marBottom w:val="0"/>
              <w:divBdr>
                <w:top w:val="none" w:sz="0" w:space="0" w:color="auto"/>
                <w:left w:val="none" w:sz="0" w:space="0" w:color="auto"/>
                <w:bottom w:val="none" w:sz="0" w:space="0" w:color="auto"/>
                <w:right w:val="none" w:sz="0" w:space="0" w:color="auto"/>
              </w:divBdr>
              <w:divsChild>
                <w:div w:id="945499795">
                  <w:marLeft w:val="0"/>
                  <w:marRight w:val="0"/>
                  <w:marTop w:val="0"/>
                  <w:marBottom w:val="0"/>
                  <w:divBdr>
                    <w:top w:val="none" w:sz="0" w:space="0" w:color="auto"/>
                    <w:left w:val="none" w:sz="0" w:space="0" w:color="auto"/>
                    <w:bottom w:val="none" w:sz="0" w:space="0" w:color="auto"/>
                    <w:right w:val="none" w:sz="0" w:space="0" w:color="auto"/>
                  </w:divBdr>
                </w:div>
              </w:divsChild>
            </w:div>
            <w:div w:id="1667904147">
              <w:marLeft w:val="0"/>
              <w:marRight w:val="0"/>
              <w:marTop w:val="0"/>
              <w:marBottom w:val="0"/>
              <w:divBdr>
                <w:top w:val="none" w:sz="0" w:space="0" w:color="auto"/>
                <w:left w:val="none" w:sz="0" w:space="0" w:color="auto"/>
                <w:bottom w:val="none" w:sz="0" w:space="0" w:color="auto"/>
                <w:right w:val="none" w:sz="0" w:space="0" w:color="auto"/>
              </w:divBdr>
              <w:divsChild>
                <w:div w:id="1778719295">
                  <w:marLeft w:val="0"/>
                  <w:marRight w:val="0"/>
                  <w:marTop w:val="0"/>
                  <w:marBottom w:val="0"/>
                  <w:divBdr>
                    <w:top w:val="none" w:sz="0" w:space="0" w:color="auto"/>
                    <w:left w:val="none" w:sz="0" w:space="0" w:color="auto"/>
                    <w:bottom w:val="none" w:sz="0" w:space="0" w:color="auto"/>
                    <w:right w:val="none" w:sz="0" w:space="0" w:color="auto"/>
                  </w:divBdr>
                </w:div>
              </w:divsChild>
            </w:div>
            <w:div w:id="1676761960">
              <w:marLeft w:val="0"/>
              <w:marRight w:val="0"/>
              <w:marTop w:val="0"/>
              <w:marBottom w:val="0"/>
              <w:divBdr>
                <w:top w:val="none" w:sz="0" w:space="0" w:color="auto"/>
                <w:left w:val="none" w:sz="0" w:space="0" w:color="auto"/>
                <w:bottom w:val="none" w:sz="0" w:space="0" w:color="auto"/>
                <w:right w:val="none" w:sz="0" w:space="0" w:color="auto"/>
              </w:divBdr>
              <w:divsChild>
                <w:div w:id="2072345308">
                  <w:marLeft w:val="0"/>
                  <w:marRight w:val="0"/>
                  <w:marTop w:val="0"/>
                  <w:marBottom w:val="0"/>
                  <w:divBdr>
                    <w:top w:val="none" w:sz="0" w:space="0" w:color="auto"/>
                    <w:left w:val="none" w:sz="0" w:space="0" w:color="auto"/>
                    <w:bottom w:val="none" w:sz="0" w:space="0" w:color="auto"/>
                    <w:right w:val="none" w:sz="0" w:space="0" w:color="auto"/>
                  </w:divBdr>
                </w:div>
              </w:divsChild>
            </w:div>
            <w:div w:id="1816414706">
              <w:marLeft w:val="0"/>
              <w:marRight w:val="0"/>
              <w:marTop w:val="0"/>
              <w:marBottom w:val="0"/>
              <w:divBdr>
                <w:top w:val="none" w:sz="0" w:space="0" w:color="auto"/>
                <w:left w:val="none" w:sz="0" w:space="0" w:color="auto"/>
                <w:bottom w:val="none" w:sz="0" w:space="0" w:color="auto"/>
                <w:right w:val="none" w:sz="0" w:space="0" w:color="auto"/>
              </w:divBdr>
              <w:divsChild>
                <w:div w:id="9799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227302377">
      <w:bodyDiv w:val="1"/>
      <w:marLeft w:val="0"/>
      <w:marRight w:val="0"/>
      <w:marTop w:val="0"/>
      <w:marBottom w:val="0"/>
      <w:divBdr>
        <w:top w:val="none" w:sz="0" w:space="0" w:color="auto"/>
        <w:left w:val="none" w:sz="0" w:space="0" w:color="auto"/>
        <w:bottom w:val="none" w:sz="0" w:space="0" w:color="auto"/>
        <w:right w:val="none" w:sz="0" w:space="0" w:color="auto"/>
      </w:divBdr>
    </w:div>
    <w:div w:id="1267737826">
      <w:bodyDiv w:val="1"/>
      <w:marLeft w:val="0"/>
      <w:marRight w:val="0"/>
      <w:marTop w:val="0"/>
      <w:marBottom w:val="0"/>
      <w:divBdr>
        <w:top w:val="none" w:sz="0" w:space="0" w:color="auto"/>
        <w:left w:val="none" w:sz="0" w:space="0" w:color="auto"/>
        <w:bottom w:val="none" w:sz="0" w:space="0" w:color="auto"/>
        <w:right w:val="none" w:sz="0" w:space="0" w:color="auto"/>
      </w:divBdr>
    </w:div>
    <w:div w:id="1273243385">
      <w:bodyDiv w:val="1"/>
      <w:marLeft w:val="0"/>
      <w:marRight w:val="0"/>
      <w:marTop w:val="0"/>
      <w:marBottom w:val="0"/>
      <w:divBdr>
        <w:top w:val="none" w:sz="0" w:space="0" w:color="auto"/>
        <w:left w:val="none" w:sz="0" w:space="0" w:color="auto"/>
        <w:bottom w:val="none" w:sz="0" w:space="0" w:color="auto"/>
        <w:right w:val="none" w:sz="0" w:space="0" w:color="auto"/>
      </w:divBdr>
      <w:divsChild>
        <w:div w:id="2065904198">
          <w:marLeft w:val="0"/>
          <w:marRight w:val="0"/>
          <w:marTop w:val="0"/>
          <w:marBottom w:val="0"/>
          <w:divBdr>
            <w:top w:val="none" w:sz="0" w:space="0" w:color="auto"/>
            <w:left w:val="none" w:sz="0" w:space="0" w:color="auto"/>
            <w:bottom w:val="none" w:sz="0" w:space="0" w:color="auto"/>
            <w:right w:val="none" w:sz="0" w:space="0" w:color="auto"/>
          </w:divBdr>
          <w:divsChild>
            <w:div w:id="2029142264">
              <w:marLeft w:val="0"/>
              <w:marRight w:val="0"/>
              <w:marTop w:val="0"/>
              <w:marBottom w:val="0"/>
              <w:divBdr>
                <w:top w:val="none" w:sz="0" w:space="0" w:color="auto"/>
                <w:left w:val="none" w:sz="0" w:space="0" w:color="auto"/>
                <w:bottom w:val="none" w:sz="0" w:space="0" w:color="auto"/>
                <w:right w:val="none" w:sz="0" w:space="0" w:color="auto"/>
              </w:divBdr>
              <w:divsChild>
                <w:div w:id="74260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03572">
      <w:bodyDiv w:val="1"/>
      <w:marLeft w:val="0"/>
      <w:marRight w:val="0"/>
      <w:marTop w:val="0"/>
      <w:marBottom w:val="0"/>
      <w:divBdr>
        <w:top w:val="none" w:sz="0" w:space="0" w:color="auto"/>
        <w:left w:val="none" w:sz="0" w:space="0" w:color="auto"/>
        <w:bottom w:val="none" w:sz="0" w:space="0" w:color="auto"/>
        <w:right w:val="none" w:sz="0" w:space="0" w:color="auto"/>
      </w:divBdr>
    </w:div>
    <w:div w:id="132147026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870435">
      <w:bodyDiv w:val="1"/>
      <w:marLeft w:val="0"/>
      <w:marRight w:val="0"/>
      <w:marTop w:val="0"/>
      <w:marBottom w:val="0"/>
      <w:divBdr>
        <w:top w:val="none" w:sz="0" w:space="0" w:color="auto"/>
        <w:left w:val="none" w:sz="0" w:space="0" w:color="auto"/>
        <w:bottom w:val="none" w:sz="0" w:space="0" w:color="auto"/>
        <w:right w:val="none" w:sz="0" w:space="0" w:color="auto"/>
      </w:divBdr>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17885">
      <w:bodyDiv w:val="1"/>
      <w:marLeft w:val="0"/>
      <w:marRight w:val="0"/>
      <w:marTop w:val="0"/>
      <w:marBottom w:val="0"/>
      <w:divBdr>
        <w:top w:val="none" w:sz="0" w:space="0" w:color="auto"/>
        <w:left w:val="none" w:sz="0" w:space="0" w:color="auto"/>
        <w:bottom w:val="none" w:sz="0" w:space="0" w:color="auto"/>
        <w:right w:val="none" w:sz="0" w:space="0" w:color="auto"/>
      </w:divBdr>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83415">
      <w:bodyDiv w:val="1"/>
      <w:marLeft w:val="0"/>
      <w:marRight w:val="0"/>
      <w:marTop w:val="0"/>
      <w:marBottom w:val="0"/>
      <w:divBdr>
        <w:top w:val="none" w:sz="0" w:space="0" w:color="auto"/>
        <w:left w:val="none" w:sz="0" w:space="0" w:color="auto"/>
        <w:bottom w:val="none" w:sz="0" w:space="0" w:color="auto"/>
        <w:right w:val="none" w:sz="0" w:space="0" w:color="auto"/>
      </w:divBdr>
      <w:divsChild>
        <w:div w:id="775054295">
          <w:marLeft w:val="0"/>
          <w:marRight w:val="0"/>
          <w:marTop w:val="0"/>
          <w:marBottom w:val="0"/>
          <w:divBdr>
            <w:top w:val="none" w:sz="0" w:space="0" w:color="auto"/>
            <w:left w:val="none" w:sz="0" w:space="0" w:color="auto"/>
            <w:bottom w:val="none" w:sz="0" w:space="0" w:color="auto"/>
            <w:right w:val="none" w:sz="0" w:space="0" w:color="auto"/>
          </w:divBdr>
          <w:divsChild>
            <w:div w:id="869533137">
              <w:marLeft w:val="0"/>
              <w:marRight w:val="0"/>
              <w:marTop w:val="0"/>
              <w:marBottom w:val="0"/>
              <w:divBdr>
                <w:top w:val="none" w:sz="0" w:space="0" w:color="auto"/>
                <w:left w:val="none" w:sz="0" w:space="0" w:color="auto"/>
                <w:bottom w:val="none" w:sz="0" w:space="0" w:color="auto"/>
                <w:right w:val="none" w:sz="0" w:space="0" w:color="auto"/>
              </w:divBdr>
              <w:divsChild>
                <w:div w:id="36020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344289">
      <w:bodyDiv w:val="1"/>
      <w:marLeft w:val="0"/>
      <w:marRight w:val="0"/>
      <w:marTop w:val="0"/>
      <w:marBottom w:val="0"/>
      <w:divBdr>
        <w:top w:val="none" w:sz="0" w:space="0" w:color="auto"/>
        <w:left w:val="none" w:sz="0" w:space="0" w:color="auto"/>
        <w:bottom w:val="none" w:sz="0" w:space="0" w:color="auto"/>
        <w:right w:val="none" w:sz="0" w:space="0" w:color="auto"/>
      </w:divBdr>
      <w:divsChild>
        <w:div w:id="1319502207">
          <w:marLeft w:val="0"/>
          <w:marRight w:val="0"/>
          <w:marTop w:val="0"/>
          <w:marBottom w:val="0"/>
          <w:divBdr>
            <w:top w:val="none" w:sz="0" w:space="0" w:color="auto"/>
            <w:left w:val="none" w:sz="0" w:space="0" w:color="auto"/>
            <w:bottom w:val="none" w:sz="0" w:space="0" w:color="auto"/>
            <w:right w:val="none" w:sz="0" w:space="0" w:color="auto"/>
          </w:divBdr>
          <w:divsChild>
            <w:div w:id="1988823530">
              <w:marLeft w:val="0"/>
              <w:marRight w:val="0"/>
              <w:marTop w:val="0"/>
              <w:marBottom w:val="0"/>
              <w:divBdr>
                <w:top w:val="none" w:sz="0" w:space="0" w:color="auto"/>
                <w:left w:val="none" w:sz="0" w:space="0" w:color="auto"/>
                <w:bottom w:val="none" w:sz="0" w:space="0" w:color="auto"/>
                <w:right w:val="none" w:sz="0" w:space="0" w:color="auto"/>
              </w:divBdr>
              <w:divsChild>
                <w:div w:id="1211068414">
                  <w:marLeft w:val="0"/>
                  <w:marRight w:val="0"/>
                  <w:marTop w:val="0"/>
                  <w:marBottom w:val="0"/>
                  <w:divBdr>
                    <w:top w:val="none" w:sz="0" w:space="0" w:color="auto"/>
                    <w:left w:val="none" w:sz="0" w:space="0" w:color="auto"/>
                    <w:bottom w:val="none" w:sz="0" w:space="0" w:color="auto"/>
                    <w:right w:val="none" w:sz="0" w:space="0" w:color="auto"/>
                  </w:divBdr>
                  <w:divsChild>
                    <w:div w:id="1477334337">
                      <w:marLeft w:val="0"/>
                      <w:marRight w:val="0"/>
                      <w:marTop w:val="0"/>
                      <w:marBottom w:val="0"/>
                      <w:divBdr>
                        <w:top w:val="none" w:sz="0" w:space="0" w:color="auto"/>
                        <w:left w:val="none" w:sz="0" w:space="0" w:color="auto"/>
                        <w:bottom w:val="none" w:sz="0" w:space="0" w:color="auto"/>
                        <w:right w:val="none" w:sz="0" w:space="0" w:color="auto"/>
                      </w:divBdr>
                      <w:divsChild>
                        <w:div w:id="16829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885045">
                  <w:marLeft w:val="0"/>
                  <w:marRight w:val="0"/>
                  <w:marTop w:val="0"/>
                  <w:marBottom w:val="0"/>
                  <w:divBdr>
                    <w:top w:val="none" w:sz="0" w:space="0" w:color="auto"/>
                    <w:left w:val="none" w:sz="0" w:space="0" w:color="auto"/>
                    <w:bottom w:val="none" w:sz="0" w:space="0" w:color="auto"/>
                    <w:right w:val="none" w:sz="0" w:space="0" w:color="auto"/>
                  </w:divBdr>
                  <w:divsChild>
                    <w:div w:id="1774125839">
                      <w:marLeft w:val="0"/>
                      <w:marRight w:val="0"/>
                      <w:marTop w:val="0"/>
                      <w:marBottom w:val="0"/>
                      <w:divBdr>
                        <w:top w:val="none" w:sz="0" w:space="0" w:color="auto"/>
                        <w:left w:val="none" w:sz="0" w:space="0" w:color="auto"/>
                        <w:bottom w:val="none" w:sz="0" w:space="0" w:color="auto"/>
                        <w:right w:val="none" w:sz="0" w:space="0" w:color="auto"/>
                      </w:divBdr>
                      <w:divsChild>
                        <w:div w:id="2080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813826">
      <w:bodyDiv w:val="1"/>
      <w:marLeft w:val="0"/>
      <w:marRight w:val="0"/>
      <w:marTop w:val="0"/>
      <w:marBottom w:val="0"/>
      <w:divBdr>
        <w:top w:val="none" w:sz="0" w:space="0" w:color="auto"/>
        <w:left w:val="none" w:sz="0" w:space="0" w:color="auto"/>
        <w:bottom w:val="none" w:sz="0" w:space="0" w:color="auto"/>
        <w:right w:val="none" w:sz="0" w:space="0" w:color="auto"/>
      </w:divBdr>
      <w:divsChild>
        <w:div w:id="912853042">
          <w:marLeft w:val="0"/>
          <w:marRight w:val="0"/>
          <w:marTop w:val="0"/>
          <w:marBottom w:val="0"/>
          <w:divBdr>
            <w:top w:val="none" w:sz="0" w:space="0" w:color="auto"/>
            <w:left w:val="none" w:sz="0" w:space="0" w:color="auto"/>
            <w:bottom w:val="none" w:sz="0" w:space="0" w:color="auto"/>
            <w:right w:val="none" w:sz="0" w:space="0" w:color="auto"/>
          </w:divBdr>
          <w:divsChild>
            <w:div w:id="1913157735">
              <w:marLeft w:val="0"/>
              <w:marRight w:val="0"/>
              <w:marTop w:val="0"/>
              <w:marBottom w:val="0"/>
              <w:divBdr>
                <w:top w:val="none" w:sz="0" w:space="0" w:color="auto"/>
                <w:left w:val="none" w:sz="0" w:space="0" w:color="auto"/>
                <w:bottom w:val="none" w:sz="0" w:space="0" w:color="auto"/>
                <w:right w:val="none" w:sz="0" w:space="0" w:color="auto"/>
              </w:divBdr>
              <w:divsChild>
                <w:div w:id="166030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629975">
      <w:bodyDiv w:val="1"/>
      <w:marLeft w:val="0"/>
      <w:marRight w:val="0"/>
      <w:marTop w:val="0"/>
      <w:marBottom w:val="0"/>
      <w:divBdr>
        <w:top w:val="none" w:sz="0" w:space="0" w:color="auto"/>
        <w:left w:val="none" w:sz="0" w:space="0" w:color="auto"/>
        <w:bottom w:val="none" w:sz="0" w:space="0" w:color="auto"/>
        <w:right w:val="none" w:sz="0" w:space="0" w:color="auto"/>
      </w:divBdr>
      <w:divsChild>
        <w:div w:id="422261820">
          <w:marLeft w:val="0"/>
          <w:marRight w:val="0"/>
          <w:marTop w:val="0"/>
          <w:marBottom w:val="0"/>
          <w:divBdr>
            <w:top w:val="none" w:sz="0" w:space="0" w:color="auto"/>
            <w:left w:val="none" w:sz="0" w:space="0" w:color="auto"/>
            <w:bottom w:val="none" w:sz="0" w:space="0" w:color="auto"/>
            <w:right w:val="none" w:sz="0" w:space="0" w:color="auto"/>
          </w:divBdr>
          <w:divsChild>
            <w:div w:id="875121046">
              <w:marLeft w:val="0"/>
              <w:marRight w:val="0"/>
              <w:marTop w:val="0"/>
              <w:marBottom w:val="0"/>
              <w:divBdr>
                <w:top w:val="none" w:sz="0" w:space="0" w:color="auto"/>
                <w:left w:val="none" w:sz="0" w:space="0" w:color="auto"/>
                <w:bottom w:val="none" w:sz="0" w:space="0" w:color="auto"/>
                <w:right w:val="none" w:sz="0" w:space="0" w:color="auto"/>
              </w:divBdr>
              <w:divsChild>
                <w:div w:id="29703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5845">
      <w:bodyDiv w:val="1"/>
      <w:marLeft w:val="0"/>
      <w:marRight w:val="0"/>
      <w:marTop w:val="0"/>
      <w:marBottom w:val="0"/>
      <w:divBdr>
        <w:top w:val="none" w:sz="0" w:space="0" w:color="auto"/>
        <w:left w:val="none" w:sz="0" w:space="0" w:color="auto"/>
        <w:bottom w:val="none" w:sz="0" w:space="0" w:color="auto"/>
        <w:right w:val="none" w:sz="0" w:space="0" w:color="auto"/>
      </w:divBdr>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662719">
      <w:bodyDiv w:val="1"/>
      <w:marLeft w:val="0"/>
      <w:marRight w:val="0"/>
      <w:marTop w:val="0"/>
      <w:marBottom w:val="0"/>
      <w:divBdr>
        <w:top w:val="none" w:sz="0" w:space="0" w:color="auto"/>
        <w:left w:val="none" w:sz="0" w:space="0" w:color="auto"/>
        <w:bottom w:val="none" w:sz="0" w:space="0" w:color="auto"/>
        <w:right w:val="none" w:sz="0" w:space="0" w:color="auto"/>
      </w:divBdr>
      <w:divsChild>
        <w:div w:id="986208528">
          <w:marLeft w:val="0"/>
          <w:marRight w:val="0"/>
          <w:marTop w:val="0"/>
          <w:marBottom w:val="0"/>
          <w:divBdr>
            <w:top w:val="none" w:sz="0" w:space="0" w:color="auto"/>
            <w:left w:val="none" w:sz="0" w:space="0" w:color="auto"/>
            <w:bottom w:val="none" w:sz="0" w:space="0" w:color="auto"/>
            <w:right w:val="none" w:sz="0" w:space="0" w:color="auto"/>
          </w:divBdr>
          <w:divsChild>
            <w:div w:id="2145466153">
              <w:marLeft w:val="0"/>
              <w:marRight w:val="0"/>
              <w:marTop w:val="0"/>
              <w:marBottom w:val="0"/>
              <w:divBdr>
                <w:top w:val="none" w:sz="0" w:space="0" w:color="auto"/>
                <w:left w:val="none" w:sz="0" w:space="0" w:color="auto"/>
                <w:bottom w:val="none" w:sz="0" w:space="0" w:color="auto"/>
                <w:right w:val="none" w:sz="0" w:space="0" w:color="auto"/>
              </w:divBdr>
              <w:divsChild>
                <w:div w:id="16108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816557841">
      <w:bodyDiv w:val="1"/>
      <w:marLeft w:val="0"/>
      <w:marRight w:val="0"/>
      <w:marTop w:val="0"/>
      <w:marBottom w:val="0"/>
      <w:divBdr>
        <w:top w:val="none" w:sz="0" w:space="0" w:color="auto"/>
        <w:left w:val="none" w:sz="0" w:space="0" w:color="auto"/>
        <w:bottom w:val="none" w:sz="0" w:space="0" w:color="auto"/>
        <w:right w:val="none" w:sz="0" w:space="0" w:color="auto"/>
      </w:divBdr>
    </w:div>
    <w:div w:id="1840196841">
      <w:bodyDiv w:val="1"/>
      <w:marLeft w:val="0"/>
      <w:marRight w:val="0"/>
      <w:marTop w:val="0"/>
      <w:marBottom w:val="0"/>
      <w:divBdr>
        <w:top w:val="none" w:sz="0" w:space="0" w:color="auto"/>
        <w:left w:val="none" w:sz="0" w:space="0" w:color="auto"/>
        <w:bottom w:val="none" w:sz="0" w:space="0" w:color="auto"/>
        <w:right w:val="none" w:sz="0" w:space="0" w:color="auto"/>
      </w:divBdr>
    </w:div>
    <w:div w:id="1861550136">
      <w:bodyDiv w:val="1"/>
      <w:marLeft w:val="0"/>
      <w:marRight w:val="0"/>
      <w:marTop w:val="0"/>
      <w:marBottom w:val="0"/>
      <w:divBdr>
        <w:top w:val="none" w:sz="0" w:space="0" w:color="auto"/>
        <w:left w:val="none" w:sz="0" w:space="0" w:color="auto"/>
        <w:bottom w:val="none" w:sz="0" w:space="0" w:color="auto"/>
        <w:right w:val="none" w:sz="0" w:space="0" w:color="auto"/>
      </w:divBdr>
      <w:divsChild>
        <w:div w:id="667632811">
          <w:marLeft w:val="0"/>
          <w:marRight w:val="0"/>
          <w:marTop w:val="0"/>
          <w:marBottom w:val="0"/>
          <w:divBdr>
            <w:top w:val="none" w:sz="0" w:space="0" w:color="auto"/>
            <w:left w:val="none" w:sz="0" w:space="0" w:color="auto"/>
            <w:bottom w:val="none" w:sz="0" w:space="0" w:color="auto"/>
            <w:right w:val="none" w:sz="0" w:space="0" w:color="auto"/>
          </w:divBdr>
          <w:divsChild>
            <w:div w:id="125314822">
              <w:marLeft w:val="0"/>
              <w:marRight w:val="0"/>
              <w:marTop w:val="0"/>
              <w:marBottom w:val="0"/>
              <w:divBdr>
                <w:top w:val="none" w:sz="0" w:space="0" w:color="auto"/>
                <w:left w:val="none" w:sz="0" w:space="0" w:color="auto"/>
                <w:bottom w:val="none" w:sz="0" w:space="0" w:color="auto"/>
                <w:right w:val="none" w:sz="0" w:space="0" w:color="auto"/>
              </w:divBdr>
              <w:divsChild>
                <w:div w:id="10278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104348">
      <w:bodyDiv w:val="1"/>
      <w:marLeft w:val="0"/>
      <w:marRight w:val="0"/>
      <w:marTop w:val="0"/>
      <w:marBottom w:val="0"/>
      <w:divBdr>
        <w:top w:val="none" w:sz="0" w:space="0" w:color="auto"/>
        <w:left w:val="none" w:sz="0" w:space="0" w:color="auto"/>
        <w:bottom w:val="none" w:sz="0" w:space="0" w:color="auto"/>
        <w:right w:val="none" w:sz="0" w:space="0" w:color="auto"/>
      </w:divBdr>
    </w:div>
    <w:div w:id="1918052123">
      <w:bodyDiv w:val="1"/>
      <w:marLeft w:val="0"/>
      <w:marRight w:val="0"/>
      <w:marTop w:val="0"/>
      <w:marBottom w:val="0"/>
      <w:divBdr>
        <w:top w:val="none" w:sz="0" w:space="0" w:color="auto"/>
        <w:left w:val="none" w:sz="0" w:space="0" w:color="auto"/>
        <w:bottom w:val="none" w:sz="0" w:space="0" w:color="auto"/>
        <w:right w:val="none" w:sz="0" w:space="0" w:color="auto"/>
      </w:divBdr>
      <w:divsChild>
        <w:div w:id="523204609">
          <w:marLeft w:val="0"/>
          <w:marRight w:val="0"/>
          <w:marTop w:val="0"/>
          <w:marBottom w:val="0"/>
          <w:divBdr>
            <w:top w:val="none" w:sz="0" w:space="0" w:color="auto"/>
            <w:left w:val="none" w:sz="0" w:space="0" w:color="auto"/>
            <w:bottom w:val="none" w:sz="0" w:space="0" w:color="auto"/>
            <w:right w:val="none" w:sz="0" w:space="0" w:color="auto"/>
          </w:divBdr>
          <w:divsChild>
            <w:div w:id="2086871877">
              <w:marLeft w:val="0"/>
              <w:marRight w:val="0"/>
              <w:marTop w:val="0"/>
              <w:marBottom w:val="0"/>
              <w:divBdr>
                <w:top w:val="none" w:sz="0" w:space="0" w:color="auto"/>
                <w:left w:val="none" w:sz="0" w:space="0" w:color="auto"/>
                <w:bottom w:val="none" w:sz="0" w:space="0" w:color="auto"/>
                <w:right w:val="none" w:sz="0" w:space="0" w:color="auto"/>
              </w:divBdr>
              <w:divsChild>
                <w:div w:id="69928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3802661">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8130">
      <w:bodyDiv w:val="1"/>
      <w:marLeft w:val="0"/>
      <w:marRight w:val="0"/>
      <w:marTop w:val="0"/>
      <w:marBottom w:val="0"/>
      <w:divBdr>
        <w:top w:val="none" w:sz="0" w:space="0" w:color="auto"/>
        <w:left w:val="none" w:sz="0" w:space="0" w:color="auto"/>
        <w:bottom w:val="none" w:sz="0" w:space="0" w:color="auto"/>
        <w:right w:val="none" w:sz="0" w:space="0" w:color="auto"/>
      </w:divBdr>
      <w:divsChild>
        <w:div w:id="1138887036">
          <w:marLeft w:val="0"/>
          <w:marRight w:val="0"/>
          <w:marTop w:val="0"/>
          <w:marBottom w:val="0"/>
          <w:divBdr>
            <w:top w:val="none" w:sz="0" w:space="0" w:color="auto"/>
            <w:left w:val="none" w:sz="0" w:space="0" w:color="auto"/>
            <w:bottom w:val="none" w:sz="0" w:space="0" w:color="auto"/>
            <w:right w:val="none" w:sz="0" w:space="0" w:color="auto"/>
          </w:divBdr>
          <w:divsChild>
            <w:div w:id="392697026">
              <w:marLeft w:val="0"/>
              <w:marRight w:val="0"/>
              <w:marTop w:val="0"/>
              <w:marBottom w:val="0"/>
              <w:divBdr>
                <w:top w:val="none" w:sz="0" w:space="0" w:color="auto"/>
                <w:left w:val="none" w:sz="0" w:space="0" w:color="auto"/>
                <w:bottom w:val="none" w:sz="0" w:space="0" w:color="auto"/>
                <w:right w:val="none" w:sz="0" w:space="0" w:color="auto"/>
              </w:divBdr>
              <w:divsChild>
                <w:div w:id="1700350521">
                  <w:marLeft w:val="0"/>
                  <w:marRight w:val="0"/>
                  <w:marTop w:val="0"/>
                  <w:marBottom w:val="0"/>
                  <w:divBdr>
                    <w:top w:val="none" w:sz="0" w:space="0" w:color="auto"/>
                    <w:left w:val="none" w:sz="0" w:space="0" w:color="auto"/>
                    <w:bottom w:val="none" w:sz="0" w:space="0" w:color="auto"/>
                    <w:right w:val="none" w:sz="0" w:space="0" w:color="auto"/>
                  </w:divBdr>
                  <w:divsChild>
                    <w:div w:id="38687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84142">
              <w:marLeft w:val="0"/>
              <w:marRight w:val="0"/>
              <w:marTop w:val="0"/>
              <w:marBottom w:val="0"/>
              <w:divBdr>
                <w:top w:val="none" w:sz="0" w:space="0" w:color="auto"/>
                <w:left w:val="none" w:sz="0" w:space="0" w:color="auto"/>
                <w:bottom w:val="none" w:sz="0" w:space="0" w:color="auto"/>
                <w:right w:val="none" w:sz="0" w:space="0" w:color="auto"/>
              </w:divBdr>
              <w:divsChild>
                <w:div w:id="14213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0951">
      <w:bodyDiv w:val="1"/>
      <w:marLeft w:val="0"/>
      <w:marRight w:val="0"/>
      <w:marTop w:val="0"/>
      <w:marBottom w:val="0"/>
      <w:divBdr>
        <w:top w:val="none" w:sz="0" w:space="0" w:color="auto"/>
        <w:left w:val="none" w:sz="0" w:space="0" w:color="auto"/>
        <w:bottom w:val="none" w:sz="0" w:space="0" w:color="auto"/>
        <w:right w:val="none" w:sz="0" w:space="0" w:color="auto"/>
      </w:divBdr>
    </w:div>
    <w:div w:id="2022929243">
      <w:bodyDiv w:val="1"/>
      <w:marLeft w:val="0"/>
      <w:marRight w:val="0"/>
      <w:marTop w:val="0"/>
      <w:marBottom w:val="0"/>
      <w:divBdr>
        <w:top w:val="none" w:sz="0" w:space="0" w:color="auto"/>
        <w:left w:val="none" w:sz="0" w:space="0" w:color="auto"/>
        <w:bottom w:val="none" w:sz="0" w:space="0" w:color="auto"/>
        <w:right w:val="none" w:sz="0" w:space="0" w:color="auto"/>
      </w:divBdr>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 w:id="2031949609">
      <w:bodyDiv w:val="1"/>
      <w:marLeft w:val="0"/>
      <w:marRight w:val="0"/>
      <w:marTop w:val="0"/>
      <w:marBottom w:val="0"/>
      <w:divBdr>
        <w:top w:val="none" w:sz="0" w:space="0" w:color="auto"/>
        <w:left w:val="none" w:sz="0" w:space="0" w:color="auto"/>
        <w:bottom w:val="none" w:sz="0" w:space="0" w:color="auto"/>
        <w:right w:val="none" w:sz="0" w:space="0" w:color="auto"/>
      </w:divBdr>
      <w:divsChild>
        <w:div w:id="1332560023">
          <w:marLeft w:val="0"/>
          <w:marRight w:val="0"/>
          <w:marTop w:val="0"/>
          <w:marBottom w:val="0"/>
          <w:divBdr>
            <w:top w:val="none" w:sz="0" w:space="0" w:color="auto"/>
            <w:left w:val="none" w:sz="0" w:space="0" w:color="auto"/>
            <w:bottom w:val="none" w:sz="0" w:space="0" w:color="auto"/>
            <w:right w:val="none" w:sz="0" w:space="0" w:color="auto"/>
          </w:divBdr>
          <w:divsChild>
            <w:div w:id="275868462">
              <w:marLeft w:val="0"/>
              <w:marRight w:val="0"/>
              <w:marTop w:val="0"/>
              <w:marBottom w:val="0"/>
              <w:divBdr>
                <w:top w:val="none" w:sz="0" w:space="0" w:color="auto"/>
                <w:left w:val="none" w:sz="0" w:space="0" w:color="auto"/>
                <w:bottom w:val="none" w:sz="0" w:space="0" w:color="auto"/>
                <w:right w:val="none" w:sz="0" w:space="0" w:color="auto"/>
              </w:divBdr>
              <w:divsChild>
                <w:div w:id="81804433">
                  <w:marLeft w:val="0"/>
                  <w:marRight w:val="0"/>
                  <w:marTop w:val="0"/>
                  <w:marBottom w:val="0"/>
                  <w:divBdr>
                    <w:top w:val="none" w:sz="0" w:space="0" w:color="auto"/>
                    <w:left w:val="none" w:sz="0" w:space="0" w:color="auto"/>
                    <w:bottom w:val="none" w:sz="0" w:space="0" w:color="auto"/>
                    <w:right w:val="none" w:sz="0" w:space="0" w:color="auto"/>
                  </w:divBdr>
                  <w:divsChild>
                    <w:div w:id="76631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35052">
              <w:marLeft w:val="0"/>
              <w:marRight w:val="0"/>
              <w:marTop w:val="0"/>
              <w:marBottom w:val="0"/>
              <w:divBdr>
                <w:top w:val="none" w:sz="0" w:space="0" w:color="auto"/>
                <w:left w:val="none" w:sz="0" w:space="0" w:color="auto"/>
                <w:bottom w:val="none" w:sz="0" w:space="0" w:color="auto"/>
                <w:right w:val="none" w:sz="0" w:space="0" w:color="auto"/>
              </w:divBdr>
              <w:divsChild>
                <w:div w:id="199120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35411">
      <w:bodyDiv w:val="1"/>
      <w:marLeft w:val="0"/>
      <w:marRight w:val="0"/>
      <w:marTop w:val="0"/>
      <w:marBottom w:val="0"/>
      <w:divBdr>
        <w:top w:val="none" w:sz="0" w:space="0" w:color="auto"/>
        <w:left w:val="none" w:sz="0" w:space="0" w:color="auto"/>
        <w:bottom w:val="none" w:sz="0" w:space="0" w:color="auto"/>
        <w:right w:val="none" w:sz="0" w:space="0" w:color="auto"/>
      </w:divBdr>
      <w:divsChild>
        <w:div w:id="1491017893">
          <w:marLeft w:val="0"/>
          <w:marRight w:val="0"/>
          <w:marTop w:val="0"/>
          <w:marBottom w:val="0"/>
          <w:divBdr>
            <w:top w:val="none" w:sz="0" w:space="0" w:color="auto"/>
            <w:left w:val="none" w:sz="0" w:space="0" w:color="auto"/>
            <w:bottom w:val="none" w:sz="0" w:space="0" w:color="auto"/>
            <w:right w:val="none" w:sz="0" w:space="0" w:color="auto"/>
          </w:divBdr>
          <w:divsChild>
            <w:div w:id="463624116">
              <w:marLeft w:val="0"/>
              <w:marRight w:val="0"/>
              <w:marTop w:val="0"/>
              <w:marBottom w:val="0"/>
              <w:divBdr>
                <w:top w:val="none" w:sz="0" w:space="0" w:color="auto"/>
                <w:left w:val="none" w:sz="0" w:space="0" w:color="auto"/>
                <w:bottom w:val="none" w:sz="0" w:space="0" w:color="auto"/>
                <w:right w:val="none" w:sz="0" w:space="0" w:color="auto"/>
              </w:divBdr>
              <w:divsChild>
                <w:div w:id="2027054708">
                  <w:marLeft w:val="0"/>
                  <w:marRight w:val="0"/>
                  <w:marTop w:val="0"/>
                  <w:marBottom w:val="0"/>
                  <w:divBdr>
                    <w:top w:val="none" w:sz="0" w:space="0" w:color="auto"/>
                    <w:left w:val="none" w:sz="0" w:space="0" w:color="auto"/>
                    <w:bottom w:val="none" w:sz="0" w:space="0" w:color="auto"/>
                    <w:right w:val="none" w:sz="0" w:space="0" w:color="auto"/>
                  </w:divBdr>
                </w:div>
              </w:divsChild>
            </w:div>
            <w:div w:id="940380848">
              <w:marLeft w:val="0"/>
              <w:marRight w:val="0"/>
              <w:marTop w:val="0"/>
              <w:marBottom w:val="0"/>
              <w:divBdr>
                <w:top w:val="none" w:sz="0" w:space="0" w:color="auto"/>
                <w:left w:val="none" w:sz="0" w:space="0" w:color="auto"/>
                <w:bottom w:val="none" w:sz="0" w:space="0" w:color="auto"/>
                <w:right w:val="none" w:sz="0" w:space="0" w:color="auto"/>
              </w:divBdr>
              <w:divsChild>
                <w:div w:id="134316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82532">
      <w:bodyDiv w:val="1"/>
      <w:marLeft w:val="0"/>
      <w:marRight w:val="0"/>
      <w:marTop w:val="0"/>
      <w:marBottom w:val="0"/>
      <w:divBdr>
        <w:top w:val="none" w:sz="0" w:space="0" w:color="auto"/>
        <w:left w:val="none" w:sz="0" w:space="0" w:color="auto"/>
        <w:bottom w:val="none" w:sz="0" w:space="0" w:color="auto"/>
        <w:right w:val="none" w:sz="0" w:space="0" w:color="auto"/>
      </w:divBdr>
      <w:divsChild>
        <w:div w:id="52236442">
          <w:marLeft w:val="0"/>
          <w:marRight w:val="0"/>
          <w:marTop w:val="0"/>
          <w:marBottom w:val="0"/>
          <w:divBdr>
            <w:top w:val="none" w:sz="0" w:space="0" w:color="auto"/>
            <w:left w:val="none" w:sz="0" w:space="0" w:color="auto"/>
            <w:bottom w:val="none" w:sz="0" w:space="0" w:color="auto"/>
            <w:right w:val="none" w:sz="0" w:space="0" w:color="auto"/>
          </w:divBdr>
          <w:divsChild>
            <w:div w:id="979845972">
              <w:marLeft w:val="0"/>
              <w:marRight w:val="0"/>
              <w:marTop w:val="0"/>
              <w:marBottom w:val="0"/>
              <w:divBdr>
                <w:top w:val="none" w:sz="0" w:space="0" w:color="auto"/>
                <w:left w:val="none" w:sz="0" w:space="0" w:color="auto"/>
                <w:bottom w:val="none" w:sz="0" w:space="0" w:color="auto"/>
                <w:right w:val="none" w:sz="0" w:space="0" w:color="auto"/>
              </w:divBdr>
              <w:divsChild>
                <w:div w:id="39671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94360">
          <w:marLeft w:val="0"/>
          <w:marRight w:val="0"/>
          <w:marTop w:val="0"/>
          <w:marBottom w:val="0"/>
          <w:divBdr>
            <w:top w:val="none" w:sz="0" w:space="0" w:color="auto"/>
            <w:left w:val="none" w:sz="0" w:space="0" w:color="auto"/>
            <w:bottom w:val="none" w:sz="0" w:space="0" w:color="auto"/>
            <w:right w:val="none" w:sz="0" w:space="0" w:color="auto"/>
          </w:divBdr>
          <w:divsChild>
            <w:div w:id="76365837">
              <w:marLeft w:val="0"/>
              <w:marRight w:val="0"/>
              <w:marTop w:val="0"/>
              <w:marBottom w:val="0"/>
              <w:divBdr>
                <w:top w:val="none" w:sz="0" w:space="0" w:color="auto"/>
                <w:left w:val="none" w:sz="0" w:space="0" w:color="auto"/>
                <w:bottom w:val="none" w:sz="0" w:space="0" w:color="auto"/>
                <w:right w:val="none" w:sz="0" w:space="0" w:color="auto"/>
              </w:divBdr>
              <w:divsChild>
                <w:div w:id="1990788170">
                  <w:marLeft w:val="0"/>
                  <w:marRight w:val="0"/>
                  <w:marTop w:val="0"/>
                  <w:marBottom w:val="0"/>
                  <w:divBdr>
                    <w:top w:val="none" w:sz="0" w:space="0" w:color="auto"/>
                    <w:left w:val="none" w:sz="0" w:space="0" w:color="auto"/>
                    <w:bottom w:val="none" w:sz="0" w:space="0" w:color="auto"/>
                    <w:right w:val="none" w:sz="0" w:space="0" w:color="auto"/>
                  </w:divBdr>
                </w:div>
              </w:divsChild>
            </w:div>
            <w:div w:id="222298678">
              <w:marLeft w:val="0"/>
              <w:marRight w:val="0"/>
              <w:marTop w:val="0"/>
              <w:marBottom w:val="0"/>
              <w:divBdr>
                <w:top w:val="none" w:sz="0" w:space="0" w:color="auto"/>
                <w:left w:val="none" w:sz="0" w:space="0" w:color="auto"/>
                <w:bottom w:val="none" w:sz="0" w:space="0" w:color="auto"/>
                <w:right w:val="none" w:sz="0" w:space="0" w:color="auto"/>
              </w:divBdr>
              <w:divsChild>
                <w:div w:id="147144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98735">
      <w:bodyDiv w:val="1"/>
      <w:marLeft w:val="0"/>
      <w:marRight w:val="0"/>
      <w:marTop w:val="0"/>
      <w:marBottom w:val="0"/>
      <w:divBdr>
        <w:top w:val="none" w:sz="0" w:space="0" w:color="auto"/>
        <w:left w:val="none" w:sz="0" w:space="0" w:color="auto"/>
        <w:bottom w:val="none" w:sz="0" w:space="0" w:color="auto"/>
        <w:right w:val="none" w:sz="0" w:space="0" w:color="auto"/>
      </w:divBdr>
      <w:divsChild>
        <w:div w:id="94792067">
          <w:marLeft w:val="0"/>
          <w:marRight w:val="0"/>
          <w:marTop w:val="0"/>
          <w:marBottom w:val="0"/>
          <w:divBdr>
            <w:top w:val="none" w:sz="0" w:space="0" w:color="auto"/>
            <w:left w:val="none" w:sz="0" w:space="0" w:color="auto"/>
            <w:bottom w:val="none" w:sz="0" w:space="0" w:color="auto"/>
            <w:right w:val="none" w:sz="0" w:space="0" w:color="auto"/>
          </w:divBdr>
          <w:divsChild>
            <w:div w:id="1079640181">
              <w:marLeft w:val="0"/>
              <w:marRight w:val="0"/>
              <w:marTop w:val="0"/>
              <w:marBottom w:val="0"/>
              <w:divBdr>
                <w:top w:val="none" w:sz="0" w:space="0" w:color="auto"/>
                <w:left w:val="none" w:sz="0" w:space="0" w:color="auto"/>
                <w:bottom w:val="none" w:sz="0" w:space="0" w:color="auto"/>
                <w:right w:val="none" w:sz="0" w:space="0" w:color="auto"/>
              </w:divBdr>
              <w:divsChild>
                <w:div w:id="85965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B99FC-7A66-43E9-A643-533FC4950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2590</Words>
  <Characters>14251</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cp:lastModifiedBy>Liliana Tojo</cp:lastModifiedBy>
  <cp:revision>2</cp:revision>
  <cp:lastPrinted>2023-11-27T15:55:00Z</cp:lastPrinted>
  <dcterms:created xsi:type="dcterms:W3CDTF">2023-12-19T16:18:00Z</dcterms:created>
  <dcterms:modified xsi:type="dcterms:W3CDTF">2023-12-19T16:18:00Z</dcterms:modified>
</cp:coreProperties>
</file>