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E26962" w14:textId="3F8FE0A7" w:rsidR="00BA723D" w:rsidRPr="00112300" w:rsidRDefault="00BA723D" w:rsidP="00224977">
      <w:pPr>
        <w:tabs>
          <w:tab w:val="left" w:pos="720"/>
        </w:tabs>
        <w:jc w:val="center"/>
        <w:rPr>
          <w:rFonts w:ascii="Verdana" w:hAnsi="Verdana"/>
          <w:b/>
          <w:sz w:val="20"/>
          <w:szCs w:val="20"/>
          <w:lang w:val="es-ES"/>
        </w:rPr>
      </w:pPr>
      <w:r w:rsidRPr="00112300">
        <w:rPr>
          <w:rFonts w:ascii="Verdana" w:hAnsi="Verdana"/>
          <w:b/>
          <w:sz w:val="20"/>
          <w:szCs w:val="20"/>
          <w:lang w:val="es-ES"/>
        </w:rPr>
        <w:t>RESOLUCIÓN DE LA</w:t>
      </w:r>
    </w:p>
    <w:p w14:paraId="06F18ED3" w14:textId="77777777" w:rsidR="00BA723D" w:rsidRPr="00112300" w:rsidRDefault="00BA723D" w:rsidP="00224977">
      <w:pPr>
        <w:tabs>
          <w:tab w:val="left" w:pos="720"/>
        </w:tabs>
        <w:jc w:val="center"/>
        <w:rPr>
          <w:rFonts w:ascii="Verdana" w:hAnsi="Verdana"/>
          <w:b/>
          <w:sz w:val="20"/>
          <w:szCs w:val="20"/>
          <w:lang w:val="es-ES"/>
        </w:rPr>
      </w:pPr>
      <w:r w:rsidRPr="00112300">
        <w:rPr>
          <w:rFonts w:ascii="Verdana" w:hAnsi="Verdana"/>
          <w:b/>
          <w:sz w:val="20"/>
          <w:szCs w:val="20"/>
          <w:lang w:val="es-ES"/>
        </w:rPr>
        <w:t>CORTE INTERAMERICANA DE DERECHOS HUMANOS</w:t>
      </w:r>
    </w:p>
    <w:p w14:paraId="7C00ED4B" w14:textId="77777777" w:rsidR="00BA723D" w:rsidRPr="00112300" w:rsidRDefault="00BA723D" w:rsidP="00224977">
      <w:pPr>
        <w:tabs>
          <w:tab w:val="left" w:pos="720"/>
        </w:tabs>
        <w:jc w:val="center"/>
        <w:rPr>
          <w:rFonts w:ascii="Verdana" w:hAnsi="Verdana"/>
          <w:b/>
          <w:sz w:val="20"/>
          <w:szCs w:val="20"/>
          <w:lang w:val="es-ES"/>
        </w:rPr>
      </w:pPr>
    </w:p>
    <w:p w14:paraId="4A9C62BC" w14:textId="7D8CE0D0" w:rsidR="00BA723D" w:rsidRPr="00112300" w:rsidRDefault="00BA723D" w:rsidP="00224977">
      <w:pPr>
        <w:tabs>
          <w:tab w:val="left" w:pos="720"/>
        </w:tabs>
        <w:jc w:val="center"/>
        <w:rPr>
          <w:rFonts w:ascii="Verdana" w:hAnsi="Verdana"/>
          <w:b/>
          <w:sz w:val="20"/>
          <w:szCs w:val="20"/>
          <w:lang w:val="es-ES"/>
        </w:rPr>
      </w:pPr>
      <w:r w:rsidRPr="00112300">
        <w:rPr>
          <w:rFonts w:ascii="Verdana" w:hAnsi="Verdana"/>
          <w:b/>
          <w:sz w:val="20"/>
          <w:szCs w:val="20"/>
          <w:lang w:val="es-ES"/>
        </w:rPr>
        <w:t xml:space="preserve">DE </w:t>
      </w:r>
      <w:r w:rsidR="00E961D2">
        <w:rPr>
          <w:rFonts w:ascii="Verdana" w:hAnsi="Verdana"/>
          <w:b/>
          <w:sz w:val="20"/>
          <w:szCs w:val="20"/>
          <w:lang w:val="es-ES"/>
        </w:rPr>
        <w:t>20</w:t>
      </w:r>
      <w:r w:rsidRPr="00112300">
        <w:rPr>
          <w:rFonts w:ascii="Verdana" w:hAnsi="Verdana"/>
          <w:b/>
          <w:color w:val="C00000"/>
          <w:sz w:val="20"/>
          <w:szCs w:val="20"/>
          <w:lang w:val="es-ES"/>
        </w:rPr>
        <w:t xml:space="preserve"> </w:t>
      </w:r>
      <w:r w:rsidRPr="00112300">
        <w:rPr>
          <w:rFonts w:ascii="Verdana" w:hAnsi="Verdana"/>
          <w:b/>
          <w:sz w:val="20"/>
          <w:szCs w:val="20"/>
          <w:lang w:val="es-ES"/>
        </w:rPr>
        <w:t xml:space="preserve">DE </w:t>
      </w:r>
      <w:r w:rsidR="0039259B">
        <w:rPr>
          <w:rFonts w:ascii="Verdana" w:hAnsi="Verdana"/>
          <w:b/>
          <w:sz w:val="20"/>
          <w:szCs w:val="20"/>
          <w:lang w:val="es-ES"/>
        </w:rPr>
        <w:t>OCTUBRE</w:t>
      </w:r>
      <w:r w:rsidRPr="00112300">
        <w:rPr>
          <w:rFonts w:ascii="Verdana" w:hAnsi="Verdana"/>
          <w:b/>
          <w:sz w:val="20"/>
          <w:szCs w:val="20"/>
          <w:lang w:val="es-ES"/>
        </w:rPr>
        <w:t xml:space="preserve"> DE </w:t>
      </w:r>
      <w:r w:rsidR="005F7A24" w:rsidRPr="00112300">
        <w:rPr>
          <w:rFonts w:ascii="Verdana" w:hAnsi="Verdana"/>
          <w:b/>
          <w:sz w:val="20"/>
          <w:szCs w:val="20"/>
          <w:lang w:val="es-ES"/>
        </w:rPr>
        <w:t>202</w:t>
      </w:r>
      <w:r w:rsidR="00205D1D" w:rsidRPr="00112300">
        <w:rPr>
          <w:rFonts w:ascii="Verdana" w:hAnsi="Verdana"/>
          <w:b/>
          <w:sz w:val="20"/>
          <w:szCs w:val="20"/>
          <w:lang w:val="es-ES"/>
        </w:rPr>
        <w:t>3</w:t>
      </w:r>
    </w:p>
    <w:p w14:paraId="6C84B650" w14:textId="77777777" w:rsidR="00BA723D" w:rsidRPr="00112300" w:rsidRDefault="00BA723D" w:rsidP="00224977">
      <w:pPr>
        <w:tabs>
          <w:tab w:val="left" w:pos="720"/>
        </w:tabs>
        <w:jc w:val="center"/>
        <w:rPr>
          <w:rFonts w:ascii="Verdana" w:hAnsi="Verdana"/>
          <w:b/>
          <w:sz w:val="20"/>
          <w:szCs w:val="20"/>
          <w:lang w:val="es-ES"/>
        </w:rPr>
      </w:pPr>
    </w:p>
    <w:p w14:paraId="78F8C172" w14:textId="77777777" w:rsidR="004941FB" w:rsidRPr="00112300" w:rsidRDefault="004941FB" w:rsidP="004941FB">
      <w:pPr>
        <w:tabs>
          <w:tab w:val="left" w:pos="720"/>
        </w:tabs>
        <w:jc w:val="center"/>
        <w:rPr>
          <w:rFonts w:ascii="Verdana" w:hAnsi="Verdana"/>
          <w:b/>
          <w:sz w:val="20"/>
          <w:szCs w:val="20"/>
          <w:lang w:val="es-ES"/>
        </w:rPr>
      </w:pPr>
      <w:r w:rsidRPr="00112300">
        <w:rPr>
          <w:rFonts w:ascii="Verdana" w:hAnsi="Verdana"/>
          <w:b/>
          <w:sz w:val="20"/>
          <w:szCs w:val="20"/>
          <w:lang w:val="es-ES"/>
        </w:rPr>
        <w:t>MEDIDAS PROVISIONALES</w:t>
      </w:r>
    </w:p>
    <w:p w14:paraId="7A22194A" w14:textId="77777777" w:rsidR="004941FB" w:rsidRPr="00112300" w:rsidRDefault="004941FB" w:rsidP="004941FB">
      <w:pPr>
        <w:tabs>
          <w:tab w:val="left" w:pos="720"/>
        </w:tabs>
        <w:jc w:val="center"/>
        <w:rPr>
          <w:rFonts w:ascii="Verdana" w:hAnsi="Verdana"/>
          <w:b/>
          <w:sz w:val="20"/>
          <w:szCs w:val="20"/>
          <w:lang w:val="es-ES"/>
        </w:rPr>
      </w:pPr>
    </w:p>
    <w:p w14:paraId="093114DC" w14:textId="77777777" w:rsidR="004941FB" w:rsidRDefault="004941FB" w:rsidP="004941FB">
      <w:pPr>
        <w:tabs>
          <w:tab w:val="left" w:pos="720"/>
        </w:tabs>
        <w:jc w:val="center"/>
        <w:rPr>
          <w:rFonts w:ascii="Verdana" w:hAnsi="Verdana"/>
          <w:b/>
          <w:sz w:val="20"/>
          <w:szCs w:val="20"/>
          <w:lang w:val="es-ES"/>
        </w:rPr>
      </w:pPr>
      <w:r w:rsidRPr="00112300">
        <w:rPr>
          <w:rFonts w:ascii="Verdana" w:hAnsi="Verdana"/>
          <w:b/>
          <w:sz w:val="20"/>
          <w:szCs w:val="20"/>
          <w:lang w:val="es-ES"/>
        </w:rPr>
        <w:t xml:space="preserve">ASUNTO INTEGRANTES DEL CENTRO NICARAGÜENSE DE DERECHOS HUMANOS Y DE LA COMISIÓN PERMANENTE DE DERECHOS HUMANOS (CENIDH-CPDH) RESPECTO DE NICARAGUA </w:t>
      </w:r>
    </w:p>
    <w:p w14:paraId="391DEC7F" w14:textId="77777777" w:rsidR="00BA723D" w:rsidRPr="00112300" w:rsidRDefault="00BA723D" w:rsidP="003E1931">
      <w:pPr>
        <w:jc w:val="both"/>
        <w:rPr>
          <w:rFonts w:ascii="Verdana" w:hAnsi="Verdana"/>
          <w:b/>
          <w:sz w:val="20"/>
          <w:szCs w:val="20"/>
          <w:lang w:val="es-ES"/>
        </w:rPr>
      </w:pPr>
    </w:p>
    <w:p w14:paraId="699DB0F5" w14:textId="77777777" w:rsidR="00684485" w:rsidRPr="00112300" w:rsidRDefault="00684485" w:rsidP="003E1931">
      <w:pPr>
        <w:ind w:right="22"/>
        <w:jc w:val="both"/>
        <w:rPr>
          <w:rFonts w:ascii="Verdana" w:hAnsi="Verdana"/>
          <w:b/>
          <w:smallCaps/>
          <w:sz w:val="20"/>
          <w:szCs w:val="20"/>
        </w:rPr>
      </w:pPr>
    </w:p>
    <w:p w14:paraId="4C069D60" w14:textId="7B5B115C" w:rsidR="00BA723D" w:rsidRPr="00112300" w:rsidRDefault="00684485" w:rsidP="003E1931">
      <w:pPr>
        <w:ind w:right="22"/>
        <w:jc w:val="both"/>
        <w:rPr>
          <w:rFonts w:ascii="Verdana" w:hAnsi="Verdana"/>
          <w:b/>
          <w:sz w:val="20"/>
          <w:szCs w:val="20"/>
        </w:rPr>
      </w:pPr>
      <w:r w:rsidRPr="00112300">
        <w:rPr>
          <w:rFonts w:ascii="Verdana" w:hAnsi="Verdana"/>
          <w:b/>
          <w:sz w:val="20"/>
          <w:szCs w:val="20"/>
        </w:rPr>
        <w:t>VISTOS</w:t>
      </w:r>
      <w:r w:rsidR="00BA723D" w:rsidRPr="00112300">
        <w:rPr>
          <w:rFonts w:ascii="Verdana" w:hAnsi="Verdana"/>
          <w:b/>
          <w:sz w:val="20"/>
          <w:szCs w:val="20"/>
        </w:rPr>
        <w:t>:</w:t>
      </w:r>
    </w:p>
    <w:p w14:paraId="34D05287" w14:textId="77777777" w:rsidR="00BA723D" w:rsidRPr="00112300" w:rsidRDefault="00BA723D" w:rsidP="003E1931">
      <w:pPr>
        <w:pStyle w:val="Textoindependiente3"/>
        <w:ind w:right="0"/>
        <w:rPr>
          <w:rFonts w:ascii="Verdana" w:hAnsi="Verdana"/>
          <w:b/>
          <w:sz w:val="20"/>
        </w:rPr>
      </w:pPr>
    </w:p>
    <w:p w14:paraId="2B57ADD5" w14:textId="364BAF72" w:rsidR="00482D5C" w:rsidRPr="00112300" w:rsidRDefault="00482D5C" w:rsidP="00CB61DD">
      <w:pPr>
        <w:numPr>
          <w:ilvl w:val="0"/>
          <w:numId w:val="3"/>
        </w:numPr>
        <w:ind w:left="0" w:firstLine="0"/>
        <w:jc w:val="both"/>
        <w:rPr>
          <w:rFonts w:ascii="Verdana" w:hAnsi="Verdana"/>
          <w:sz w:val="20"/>
          <w:szCs w:val="20"/>
        </w:rPr>
      </w:pPr>
      <w:r w:rsidRPr="00112300">
        <w:rPr>
          <w:rFonts w:ascii="Verdana" w:hAnsi="Verdana"/>
          <w:sz w:val="20"/>
          <w:szCs w:val="20"/>
        </w:rPr>
        <w:t xml:space="preserve">La Resolución de Medidas Urgentes del Presidente de la Corte Interamericana de Derechos Humanos (en adelante </w:t>
      </w:r>
      <w:r w:rsidR="00157B8A">
        <w:rPr>
          <w:rFonts w:ascii="Verdana" w:hAnsi="Verdana"/>
          <w:sz w:val="20"/>
          <w:szCs w:val="20"/>
        </w:rPr>
        <w:t>“</w:t>
      </w:r>
      <w:r w:rsidRPr="00112300">
        <w:rPr>
          <w:rFonts w:ascii="Verdana" w:hAnsi="Verdana"/>
          <w:sz w:val="20"/>
          <w:szCs w:val="20"/>
        </w:rPr>
        <w:t>la Corte Interamericana”, “la Corte” o “el Tribunal”) de 12 de julio de 2019</w:t>
      </w:r>
      <w:r w:rsidRPr="00112300">
        <w:rPr>
          <w:rFonts w:ascii="Verdana" w:hAnsi="Verdana"/>
          <w:sz w:val="20"/>
          <w:szCs w:val="20"/>
          <w:vertAlign w:val="superscript"/>
        </w:rPr>
        <w:footnoteReference w:id="1"/>
      </w:r>
      <w:r w:rsidRPr="00112300">
        <w:rPr>
          <w:rFonts w:ascii="Verdana" w:hAnsi="Verdana"/>
          <w:sz w:val="20"/>
          <w:szCs w:val="20"/>
        </w:rPr>
        <w:t xml:space="preserve">, mediante la cual decidió: </w:t>
      </w:r>
    </w:p>
    <w:p w14:paraId="2C058638" w14:textId="77777777" w:rsidR="00482D5C" w:rsidRPr="00112300" w:rsidRDefault="00482D5C" w:rsidP="00482D5C">
      <w:pPr>
        <w:jc w:val="both"/>
        <w:rPr>
          <w:rFonts w:ascii="Verdana" w:hAnsi="Verdana"/>
          <w:sz w:val="20"/>
          <w:szCs w:val="20"/>
        </w:rPr>
      </w:pPr>
    </w:p>
    <w:p w14:paraId="7B5591D2" w14:textId="74580413" w:rsidR="00482D5C" w:rsidRPr="00112300" w:rsidRDefault="00482D5C" w:rsidP="00482D5C">
      <w:pPr>
        <w:ind w:left="567" w:right="686"/>
        <w:jc w:val="both"/>
        <w:rPr>
          <w:rFonts w:ascii="Verdana" w:hAnsi="Verdana"/>
          <w:sz w:val="18"/>
          <w:szCs w:val="18"/>
        </w:rPr>
      </w:pPr>
      <w:r w:rsidRPr="00112300">
        <w:rPr>
          <w:rFonts w:ascii="Verdana" w:hAnsi="Verdana"/>
          <w:sz w:val="18"/>
          <w:szCs w:val="18"/>
        </w:rPr>
        <w:t xml:space="preserve">1. Requerir al Estado que adopte de forma inmediata las medidas necesarias para proteger eficazmente la vida y la integridad personal de los y las integrantes del Centro Nicaragüense de Derechos Humanos (CENIDH) y de la Comisión Permanente de Derechos Humanos (CPDH), y asegurar la continuidad de sus labores en defensa de los derechos humanos sin ser objeto de hostigamientos, amenazas o agresiones. </w:t>
      </w:r>
    </w:p>
    <w:p w14:paraId="77FA22FE" w14:textId="77777777" w:rsidR="00482D5C" w:rsidRPr="00112300" w:rsidRDefault="00482D5C" w:rsidP="00482D5C">
      <w:pPr>
        <w:ind w:left="567" w:right="686"/>
        <w:jc w:val="both"/>
        <w:rPr>
          <w:rFonts w:ascii="Verdana" w:hAnsi="Verdana"/>
          <w:sz w:val="18"/>
          <w:szCs w:val="18"/>
        </w:rPr>
      </w:pPr>
    </w:p>
    <w:p w14:paraId="49E2FE03" w14:textId="1012A322" w:rsidR="00482D5C" w:rsidRPr="00112300" w:rsidRDefault="002E452D" w:rsidP="002E452D">
      <w:pPr>
        <w:ind w:left="567" w:right="686"/>
        <w:jc w:val="both"/>
        <w:rPr>
          <w:rFonts w:ascii="Verdana" w:hAnsi="Verdana"/>
          <w:sz w:val="18"/>
          <w:szCs w:val="18"/>
        </w:rPr>
      </w:pPr>
      <w:r w:rsidRPr="00112300">
        <w:rPr>
          <w:rFonts w:ascii="Verdana" w:hAnsi="Verdana"/>
          <w:sz w:val="18"/>
          <w:szCs w:val="18"/>
        </w:rPr>
        <w:t xml:space="preserve">2. </w:t>
      </w:r>
      <w:r w:rsidR="00482D5C" w:rsidRPr="00112300">
        <w:rPr>
          <w:rFonts w:ascii="Verdana" w:hAnsi="Verdana"/>
          <w:sz w:val="18"/>
          <w:szCs w:val="18"/>
        </w:rPr>
        <w:t xml:space="preserve">Requerir al Estado que garantice que las medidas específicas de protección se establezcan con la participación de las y los beneficiarios y se evite, en la medida de lo posible, que sean brindadas por los funcionarios de seguridad, que según las y los beneficiarios están involucrados en los hechos. </w:t>
      </w:r>
    </w:p>
    <w:p w14:paraId="5E6D9E39" w14:textId="77777777" w:rsidR="00482D5C" w:rsidRPr="00112300" w:rsidRDefault="00482D5C" w:rsidP="00482D5C">
      <w:pPr>
        <w:pStyle w:val="Prrafodelista"/>
        <w:ind w:left="720" w:right="686"/>
        <w:jc w:val="both"/>
        <w:rPr>
          <w:rFonts w:ascii="Verdana" w:hAnsi="Verdana"/>
          <w:sz w:val="20"/>
          <w:szCs w:val="20"/>
        </w:rPr>
      </w:pPr>
    </w:p>
    <w:p w14:paraId="09DFCAF1" w14:textId="085EB940" w:rsidR="00E356A2" w:rsidRPr="00112300" w:rsidRDefault="00E356A2" w:rsidP="00CB61DD">
      <w:pPr>
        <w:numPr>
          <w:ilvl w:val="0"/>
          <w:numId w:val="3"/>
        </w:numPr>
        <w:ind w:left="0" w:firstLine="0"/>
        <w:jc w:val="both"/>
        <w:rPr>
          <w:rFonts w:ascii="Verdana" w:hAnsi="Verdana"/>
          <w:sz w:val="20"/>
          <w:szCs w:val="20"/>
        </w:rPr>
      </w:pPr>
      <w:r w:rsidRPr="00112300">
        <w:rPr>
          <w:rFonts w:ascii="Verdana" w:hAnsi="Verdana"/>
          <w:sz w:val="20"/>
          <w:szCs w:val="20"/>
        </w:rPr>
        <w:t xml:space="preserve">La </w:t>
      </w:r>
      <w:r w:rsidR="00CB61DD" w:rsidRPr="00112300">
        <w:rPr>
          <w:rFonts w:ascii="Verdana" w:hAnsi="Verdana"/>
          <w:sz w:val="20"/>
          <w:szCs w:val="20"/>
        </w:rPr>
        <w:t>Resolución</w:t>
      </w:r>
      <w:r w:rsidRPr="00112300">
        <w:rPr>
          <w:rFonts w:ascii="Verdana" w:hAnsi="Verdana"/>
          <w:sz w:val="20"/>
          <w:szCs w:val="20"/>
        </w:rPr>
        <w:t xml:space="preserve"> de Medidas Provisionales de 14 de octubre de 2019</w:t>
      </w:r>
      <w:r w:rsidR="00CB61DD" w:rsidRPr="00112300">
        <w:rPr>
          <w:rStyle w:val="Refdenotaalpie"/>
          <w:rFonts w:ascii="Verdana" w:hAnsi="Verdana"/>
          <w:sz w:val="20"/>
          <w:szCs w:val="20"/>
          <w:lang w:val="es-ES"/>
        </w:rPr>
        <w:footnoteReference w:id="2"/>
      </w:r>
      <w:r w:rsidRPr="00112300">
        <w:rPr>
          <w:rFonts w:ascii="Verdana" w:hAnsi="Verdana"/>
          <w:sz w:val="20"/>
          <w:szCs w:val="20"/>
        </w:rPr>
        <w:t>, mediante la cual la Corte</w:t>
      </w:r>
      <w:r w:rsidR="00935521" w:rsidRPr="00112300">
        <w:rPr>
          <w:rFonts w:ascii="Verdana" w:hAnsi="Verdana"/>
          <w:sz w:val="20"/>
          <w:szCs w:val="20"/>
        </w:rPr>
        <w:t xml:space="preserve"> </w:t>
      </w:r>
      <w:r w:rsidR="00064D82" w:rsidRPr="00112300">
        <w:rPr>
          <w:rFonts w:ascii="Verdana" w:hAnsi="Verdana"/>
          <w:sz w:val="20"/>
          <w:szCs w:val="20"/>
        </w:rPr>
        <w:t>decidió</w:t>
      </w:r>
      <w:r w:rsidRPr="00112300">
        <w:rPr>
          <w:rFonts w:ascii="Verdana" w:hAnsi="Verdana"/>
          <w:sz w:val="20"/>
          <w:szCs w:val="20"/>
        </w:rPr>
        <w:t xml:space="preserve">́ </w:t>
      </w:r>
      <w:r w:rsidR="002E452D" w:rsidRPr="00112300">
        <w:rPr>
          <w:rFonts w:ascii="Verdana" w:hAnsi="Verdana"/>
          <w:sz w:val="20"/>
          <w:szCs w:val="20"/>
        </w:rPr>
        <w:t>“</w:t>
      </w:r>
      <w:r w:rsidRPr="00112300">
        <w:rPr>
          <w:rFonts w:ascii="Verdana" w:hAnsi="Verdana"/>
          <w:sz w:val="20"/>
          <w:szCs w:val="20"/>
          <w:lang w:val="es-ES"/>
        </w:rPr>
        <w:t>ratificar</w:t>
      </w:r>
      <w:r w:rsidRPr="00112300">
        <w:rPr>
          <w:rFonts w:ascii="Verdana" w:hAnsi="Verdana"/>
          <w:sz w:val="20"/>
          <w:szCs w:val="20"/>
        </w:rPr>
        <w:t xml:space="preserve"> en todos sus </w:t>
      </w:r>
      <w:r w:rsidR="00064D82" w:rsidRPr="00112300">
        <w:rPr>
          <w:rFonts w:ascii="Verdana" w:hAnsi="Verdana"/>
          <w:sz w:val="20"/>
          <w:szCs w:val="20"/>
        </w:rPr>
        <w:t>términos</w:t>
      </w:r>
      <w:r w:rsidR="002E452D" w:rsidRPr="00112300">
        <w:rPr>
          <w:rFonts w:ascii="Verdana" w:hAnsi="Verdana"/>
          <w:sz w:val="20"/>
          <w:szCs w:val="20"/>
        </w:rPr>
        <w:t>”</w:t>
      </w:r>
      <w:r w:rsidRPr="00112300">
        <w:rPr>
          <w:rFonts w:ascii="Verdana" w:hAnsi="Verdana"/>
          <w:sz w:val="20"/>
          <w:szCs w:val="20"/>
        </w:rPr>
        <w:t xml:space="preserve"> la </w:t>
      </w:r>
      <w:r w:rsidR="00064D82" w:rsidRPr="00112300">
        <w:rPr>
          <w:rFonts w:ascii="Verdana" w:hAnsi="Verdana"/>
          <w:sz w:val="20"/>
          <w:szCs w:val="20"/>
        </w:rPr>
        <w:t>Resolución</w:t>
      </w:r>
      <w:r w:rsidRPr="00112300">
        <w:rPr>
          <w:rFonts w:ascii="Verdana" w:hAnsi="Verdana"/>
          <w:sz w:val="20"/>
          <w:szCs w:val="20"/>
        </w:rPr>
        <w:t xml:space="preserve"> del entonces Presidente </w:t>
      </w:r>
      <w:r w:rsidR="00060033">
        <w:rPr>
          <w:rFonts w:ascii="Verdana" w:hAnsi="Verdana"/>
          <w:sz w:val="20"/>
          <w:szCs w:val="20"/>
        </w:rPr>
        <w:t xml:space="preserve">de la Corte </w:t>
      </w:r>
      <w:r w:rsidRPr="00112300">
        <w:rPr>
          <w:rFonts w:ascii="Verdana" w:hAnsi="Verdana"/>
          <w:sz w:val="20"/>
          <w:szCs w:val="20"/>
        </w:rPr>
        <w:t>de 12 de julio de 2019</w:t>
      </w:r>
      <w:r w:rsidR="00CB61DD" w:rsidRPr="00112300">
        <w:rPr>
          <w:rFonts w:ascii="Verdana" w:hAnsi="Verdana"/>
          <w:position w:val="6"/>
          <w:sz w:val="20"/>
          <w:szCs w:val="20"/>
        </w:rPr>
        <w:t xml:space="preserve"> </w:t>
      </w:r>
      <w:r w:rsidRPr="00112300">
        <w:rPr>
          <w:rFonts w:ascii="Verdana" w:hAnsi="Verdana"/>
          <w:sz w:val="20"/>
          <w:szCs w:val="20"/>
        </w:rPr>
        <w:t>y, por consiguiente</w:t>
      </w:r>
      <w:r w:rsidR="00CB61DD" w:rsidRPr="00112300">
        <w:rPr>
          <w:rFonts w:ascii="Verdana" w:hAnsi="Verdana"/>
          <w:sz w:val="20"/>
          <w:szCs w:val="20"/>
          <w:lang w:val="es-CR"/>
        </w:rPr>
        <w:t>,</w:t>
      </w:r>
      <w:r w:rsidRPr="00112300">
        <w:rPr>
          <w:rFonts w:ascii="Verdana" w:hAnsi="Verdana"/>
          <w:sz w:val="20"/>
          <w:szCs w:val="20"/>
          <w:lang w:val="es-ES"/>
        </w:rPr>
        <w:t xml:space="preserve"> acordó</w:t>
      </w:r>
      <w:r w:rsidRPr="00112300">
        <w:rPr>
          <w:rFonts w:ascii="Verdana" w:hAnsi="Verdana"/>
          <w:sz w:val="20"/>
          <w:szCs w:val="20"/>
        </w:rPr>
        <w:t xml:space="preserve">: </w:t>
      </w:r>
    </w:p>
    <w:p w14:paraId="72229543" w14:textId="77777777" w:rsidR="00CB61DD" w:rsidRPr="00112300" w:rsidRDefault="00CB61DD" w:rsidP="00CB61DD">
      <w:pPr>
        <w:jc w:val="both"/>
        <w:rPr>
          <w:rFonts w:ascii="Verdana" w:hAnsi="Verdana"/>
          <w:sz w:val="20"/>
          <w:szCs w:val="20"/>
        </w:rPr>
      </w:pPr>
    </w:p>
    <w:p w14:paraId="527C7F14" w14:textId="37B378BA" w:rsidR="00482D5C" w:rsidRPr="00112300" w:rsidRDefault="00C912CD" w:rsidP="002E452D">
      <w:pPr>
        <w:ind w:left="567" w:right="686"/>
        <w:jc w:val="both"/>
        <w:rPr>
          <w:rFonts w:ascii="Verdana" w:hAnsi="Verdana"/>
          <w:sz w:val="18"/>
          <w:szCs w:val="18"/>
        </w:rPr>
      </w:pPr>
      <w:r>
        <w:rPr>
          <w:rFonts w:ascii="Verdana" w:hAnsi="Verdana"/>
          <w:sz w:val="18"/>
          <w:szCs w:val="18"/>
        </w:rPr>
        <w:t>1</w:t>
      </w:r>
      <w:r w:rsidR="002E452D" w:rsidRPr="00112300">
        <w:rPr>
          <w:rFonts w:ascii="Verdana" w:hAnsi="Verdana"/>
          <w:sz w:val="18"/>
          <w:szCs w:val="18"/>
        </w:rPr>
        <w:t xml:space="preserve">. </w:t>
      </w:r>
      <w:r w:rsidR="00482D5C" w:rsidRPr="00112300">
        <w:rPr>
          <w:rFonts w:ascii="Verdana" w:hAnsi="Verdana"/>
          <w:sz w:val="18"/>
          <w:szCs w:val="18"/>
        </w:rPr>
        <w:t>R</w:t>
      </w:r>
      <w:r w:rsidR="00E356A2" w:rsidRPr="00112300">
        <w:rPr>
          <w:rFonts w:ascii="Verdana" w:hAnsi="Verdana"/>
          <w:sz w:val="18"/>
          <w:szCs w:val="18"/>
        </w:rPr>
        <w:t xml:space="preserve">equerir al Estado que adopte de forma inmediata las medidas necesarias para proteger eficazmente la vida y la integridad personal de los y las integrantes del Centro </w:t>
      </w:r>
      <w:r w:rsidR="00064D82" w:rsidRPr="00112300">
        <w:rPr>
          <w:rFonts w:ascii="Verdana" w:hAnsi="Verdana"/>
          <w:sz w:val="18"/>
          <w:szCs w:val="18"/>
        </w:rPr>
        <w:t>Nicaragü</w:t>
      </w:r>
      <w:r w:rsidR="00064D82" w:rsidRPr="00112300">
        <w:rPr>
          <w:rFonts w:ascii="Verdana" w:hAnsi="Verdana" w:cs="Arial"/>
          <w:sz w:val="18"/>
          <w:szCs w:val="18"/>
        </w:rPr>
        <w:t>e</w:t>
      </w:r>
      <w:r w:rsidR="00064D82" w:rsidRPr="00112300">
        <w:rPr>
          <w:rFonts w:ascii="Verdana" w:hAnsi="Verdana"/>
          <w:sz w:val="18"/>
          <w:szCs w:val="18"/>
        </w:rPr>
        <w:t>nse</w:t>
      </w:r>
      <w:r w:rsidR="00E356A2" w:rsidRPr="00112300">
        <w:rPr>
          <w:rFonts w:ascii="Verdana" w:hAnsi="Verdana"/>
          <w:sz w:val="18"/>
          <w:szCs w:val="18"/>
        </w:rPr>
        <w:t xml:space="preserve"> de Derechos Humanos (CENIDH) y de la Comisión Permanente de Derechos Humanos (CPDH), y asegurar la continuidad de sus labores en defensa de los derechos humanos sin ser objeto de hostigamientos, amenazas o agresiones. </w:t>
      </w:r>
    </w:p>
    <w:p w14:paraId="3BD8D22A" w14:textId="77777777" w:rsidR="00482D5C" w:rsidRPr="00112300" w:rsidRDefault="00482D5C" w:rsidP="00482D5C">
      <w:pPr>
        <w:pStyle w:val="Prrafodelista"/>
        <w:rPr>
          <w:rFonts w:ascii="Verdana" w:hAnsi="Verdana"/>
          <w:sz w:val="20"/>
          <w:szCs w:val="20"/>
        </w:rPr>
      </w:pPr>
    </w:p>
    <w:p w14:paraId="0B8583F2" w14:textId="2CC7D006" w:rsidR="00BA723D" w:rsidRPr="00112300" w:rsidRDefault="00D26672" w:rsidP="00F965A5">
      <w:pPr>
        <w:numPr>
          <w:ilvl w:val="0"/>
          <w:numId w:val="3"/>
        </w:numPr>
        <w:ind w:left="0" w:firstLine="0"/>
        <w:jc w:val="both"/>
        <w:rPr>
          <w:rFonts w:ascii="Verdana" w:hAnsi="Verdana"/>
          <w:sz w:val="20"/>
          <w:szCs w:val="20"/>
          <w:lang w:val="es-ES"/>
        </w:rPr>
      </w:pPr>
      <w:r w:rsidRPr="00112300">
        <w:rPr>
          <w:rFonts w:ascii="Verdana" w:hAnsi="Verdana"/>
          <w:sz w:val="20"/>
          <w:szCs w:val="20"/>
          <w:lang w:val="es-ES"/>
        </w:rPr>
        <w:t>La Resolució</w:t>
      </w:r>
      <w:r w:rsidR="001E72D2" w:rsidRPr="00112300">
        <w:rPr>
          <w:rFonts w:ascii="Verdana" w:hAnsi="Verdana"/>
          <w:sz w:val="20"/>
          <w:szCs w:val="20"/>
          <w:lang w:val="es-ES"/>
        </w:rPr>
        <w:t>n de Medidas Provisionales de 1 de septiembre de 2021</w:t>
      </w:r>
      <w:r w:rsidR="00CB61DD" w:rsidRPr="00112300">
        <w:rPr>
          <w:rStyle w:val="Refdenotaalpie"/>
          <w:rFonts w:ascii="Verdana" w:hAnsi="Verdana"/>
          <w:sz w:val="20"/>
          <w:szCs w:val="20"/>
          <w:lang w:val="es-ES"/>
        </w:rPr>
        <w:footnoteReference w:id="3"/>
      </w:r>
      <w:r w:rsidR="00D5188D">
        <w:rPr>
          <w:rFonts w:ascii="Verdana" w:hAnsi="Verdana"/>
          <w:sz w:val="20"/>
          <w:szCs w:val="20"/>
          <w:lang w:val="es-ES"/>
        </w:rPr>
        <w:t>,</w:t>
      </w:r>
      <w:r w:rsidR="00E356A2" w:rsidRPr="00112300">
        <w:rPr>
          <w:rFonts w:ascii="Verdana" w:hAnsi="Verdana"/>
          <w:sz w:val="20"/>
          <w:szCs w:val="20"/>
          <w:lang w:val="es-ES"/>
        </w:rPr>
        <w:t xml:space="preserve"> </w:t>
      </w:r>
      <w:r w:rsidRPr="00112300">
        <w:rPr>
          <w:rFonts w:ascii="Verdana" w:hAnsi="Verdana"/>
          <w:sz w:val="20"/>
          <w:szCs w:val="20"/>
          <w:lang w:val="es-ES"/>
        </w:rPr>
        <w:t xml:space="preserve">mediante la cual la Corte decidió </w:t>
      </w:r>
      <w:r w:rsidR="002E452D" w:rsidRPr="00112300">
        <w:rPr>
          <w:rFonts w:ascii="Verdana" w:hAnsi="Verdana"/>
          <w:sz w:val="20"/>
          <w:szCs w:val="20"/>
          <w:lang w:val="es-ES"/>
        </w:rPr>
        <w:t>“</w:t>
      </w:r>
      <w:r w:rsidR="001E72D2" w:rsidRPr="00112300">
        <w:rPr>
          <w:rFonts w:ascii="Verdana" w:hAnsi="Verdana"/>
          <w:sz w:val="20"/>
          <w:szCs w:val="20"/>
          <w:lang w:val="es-ES"/>
        </w:rPr>
        <w:t>mantener las medidas provisionales ordenadas</w:t>
      </w:r>
      <w:r w:rsidR="002E452D" w:rsidRPr="00112300">
        <w:rPr>
          <w:rFonts w:ascii="Verdana" w:hAnsi="Verdana"/>
          <w:sz w:val="20"/>
          <w:szCs w:val="20"/>
          <w:lang w:val="es-ES"/>
        </w:rPr>
        <w:t xml:space="preserve">” al Estado de Nicaragua (en adelante “el Estado” o “Nicaragua”) a favor de los y las integrantes del Centro Nicaragüense </w:t>
      </w:r>
      <w:r w:rsidR="002E452D" w:rsidRPr="00112300">
        <w:rPr>
          <w:rFonts w:ascii="Verdana" w:hAnsi="Verdana"/>
          <w:sz w:val="20"/>
          <w:szCs w:val="20"/>
          <w:lang w:val="es-ES"/>
        </w:rPr>
        <w:lastRenderedPageBreak/>
        <w:t>de Derechos Humanos (CENIDH) y de la Comisión Permanente de Derechos Humanos (CPDH)”</w:t>
      </w:r>
      <w:r w:rsidR="001E72D2" w:rsidRPr="00112300">
        <w:rPr>
          <w:rFonts w:ascii="Verdana" w:hAnsi="Verdana"/>
          <w:sz w:val="20"/>
          <w:szCs w:val="20"/>
          <w:lang w:val="es-ES"/>
        </w:rPr>
        <w:t xml:space="preserve"> </w:t>
      </w:r>
      <w:r w:rsidRPr="00112300">
        <w:rPr>
          <w:rFonts w:ascii="Verdana" w:hAnsi="Verdana"/>
          <w:sz w:val="20"/>
          <w:szCs w:val="20"/>
          <w:lang w:val="es-ES"/>
        </w:rPr>
        <w:t>y, por consiguiente</w:t>
      </w:r>
      <w:r w:rsidR="00F1721F" w:rsidRPr="00112300">
        <w:rPr>
          <w:rFonts w:ascii="Verdana" w:hAnsi="Verdana"/>
          <w:sz w:val="20"/>
          <w:szCs w:val="20"/>
          <w:lang w:val="es-ES"/>
        </w:rPr>
        <w:t>, acordó</w:t>
      </w:r>
      <w:r w:rsidRPr="00112300">
        <w:rPr>
          <w:rFonts w:ascii="Verdana" w:hAnsi="Verdana"/>
          <w:sz w:val="20"/>
          <w:szCs w:val="20"/>
          <w:lang w:val="es-ES"/>
        </w:rPr>
        <w:t xml:space="preserve">: </w:t>
      </w:r>
    </w:p>
    <w:p w14:paraId="242B4325" w14:textId="77777777" w:rsidR="002E452D" w:rsidRPr="00112300" w:rsidRDefault="002E452D" w:rsidP="00CB61DD">
      <w:pPr>
        <w:pStyle w:val="Prrafodelista"/>
        <w:autoSpaceDE w:val="0"/>
        <w:autoSpaceDN w:val="0"/>
        <w:adjustRightInd w:val="0"/>
        <w:ind w:left="720" w:right="567"/>
        <w:contextualSpacing/>
        <w:jc w:val="both"/>
        <w:rPr>
          <w:rFonts w:ascii="Verdana" w:hAnsi="Verdana"/>
          <w:sz w:val="20"/>
          <w:szCs w:val="20"/>
          <w:lang w:val="es-ES"/>
        </w:rPr>
      </w:pPr>
    </w:p>
    <w:p w14:paraId="0CD26194" w14:textId="1A6EB53A" w:rsidR="001E72D2" w:rsidRPr="00112300" w:rsidRDefault="00CB61DD" w:rsidP="00CB61DD">
      <w:pPr>
        <w:pStyle w:val="Prrafodelista"/>
        <w:autoSpaceDE w:val="0"/>
        <w:autoSpaceDN w:val="0"/>
        <w:adjustRightInd w:val="0"/>
        <w:ind w:left="720" w:right="567"/>
        <w:contextualSpacing/>
        <w:jc w:val="both"/>
        <w:rPr>
          <w:rFonts w:ascii="Verdana" w:hAnsi="Verdana"/>
          <w:sz w:val="18"/>
          <w:szCs w:val="18"/>
          <w:lang w:val="es-ES"/>
        </w:rPr>
      </w:pPr>
      <w:r w:rsidRPr="00112300">
        <w:rPr>
          <w:rFonts w:ascii="Verdana" w:hAnsi="Verdana"/>
          <w:sz w:val="18"/>
          <w:szCs w:val="18"/>
          <w:lang w:val="es-ES"/>
        </w:rPr>
        <w:t xml:space="preserve">2. </w:t>
      </w:r>
      <w:r w:rsidR="001E72D2" w:rsidRPr="00112300">
        <w:rPr>
          <w:rFonts w:ascii="Verdana" w:hAnsi="Verdana"/>
          <w:sz w:val="18"/>
          <w:szCs w:val="18"/>
          <w:lang w:val="es-ES"/>
        </w:rPr>
        <w:t xml:space="preserve">Reiterar al Estado que implemente de manera inmediata las medidas que sean necesarias para proteger eficazmente la vida y la integridad personal de las personas beneficiarias de las presentes medidas provisionales en los términos de la Resolución de Medidas Provisionales de 14 de octubre de 2019. </w:t>
      </w:r>
    </w:p>
    <w:p w14:paraId="5B1C1048" w14:textId="77777777" w:rsidR="001E72D2" w:rsidRPr="00112300" w:rsidRDefault="001E72D2" w:rsidP="001E72D2">
      <w:pPr>
        <w:pStyle w:val="Prrafodelista"/>
        <w:autoSpaceDE w:val="0"/>
        <w:autoSpaceDN w:val="0"/>
        <w:adjustRightInd w:val="0"/>
        <w:ind w:left="720" w:right="567"/>
        <w:contextualSpacing/>
        <w:jc w:val="both"/>
        <w:rPr>
          <w:rFonts w:ascii="Verdana" w:hAnsi="Verdana"/>
          <w:sz w:val="18"/>
          <w:szCs w:val="18"/>
          <w:lang w:val="es-ES"/>
        </w:rPr>
      </w:pPr>
    </w:p>
    <w:p w14:paraId="4DEB7FEF" w14:textId="4281CBEB" w:rsidR="001E72D2" w:rsidRPr="00112300" w:rsidRDefault="00CB61DD" w:rsidP="00CB61DD">
      <w:pPr>
        <w:pStyle w:val="Prrafodelista"/>
        <w:autoSpaceDE w:val="0"/>
        <w:autoSpaceDN w:val="0"/>
        <w:adjustRightInd w:val="0"/>
        <w:ind w:left="720" w:right="567"/>
        <w:contextualSpacing/>
        <w:jc w:val="both"/>
        <w:rPr>
          <w:rFonts w:ascii="Verdana" w:hAnsi="Verdana"/>
          <w:sz w:val="20"/>
          <w:szCs w:val="20"/>
          <w:lang w:val="es-ES"/>
        </w:rPr>
      </w:pPr>
      <w:r w:rsidRPr="00112300">
        <w:rPr>
          <w:rFonts w:ascii="Verdana" w:hAnsi="Verdana"/>
          <w:sz w:val="18"/>
          <w:szCs w:val="18"/>
          <w:lang w:val="es-ES"/>
        </w:rPr>
        <w:t xml:space="preserve">3. </w:t>
      </w:r>
      <w:r w:rsidR="001E72D2" w:rsidRPr="00112300">
        <w:rPr>
          <w:rFonts w:ascii="Verdana" w:hAnsi="Verdana"/>
          <w:sz w:val="18"/>
          <w:szCs w:val="18"/>
          <w:lang w:val="es-ES"/>
        </w:rPr>
        <w:t>Requerir al Estado que garantice que las medidas específicas de protección se establezcan con la participación de las y los beneficiarios y se evite, en la medida de lo posible, que sean brindadas por los funcionarios de seguridad que, según las y los beneficiarios, están involucrados en los hechos</w:t>
      </w:r>
      <w:r w:rsidR="001E72D2" w:rsidRPr="00112300">
        <w:rPr>
          <w:rFonts w:ascii="Verdana" w:hAnsi="Verdana"/>
          <w:sz w:val="20"/>
          <w:szCs w:val="20"/>
          <w:lang w:val="es-ES"/>
        </w:rPr>
        <w:t xml:space="preserve">. </w:t>
      </w:r>
    </w:p>
    <w:p w14:paraId="7DFB2783" w14:textId="4D7433B8" w:rsidR="001E72D2" w:rsidRPr="00112300" w:rsidRDefault="001E72D2" w:rsidP="00FA021F">
      <w:pPr>
        <w:pStyle w:val="Prrafodelista"/>
        <w:autoSpaceDE w:val="0"/>
        <w:autoSpaceDN w:val="0"/>
        <w:adjustRightInd w:val="0"/>
        <w:ind w:left="709" w:right="567"/>
        <w:contextualSpacing/>
        <w:jc w:val="both"/>
        <w:rPr>
          <w:rFonts w:ascii="Verdana" w:hAnsi="Verdana"/>
          <w:sz w:val="20"/>
          <w:szCs w:val="20"/>
          <w:lang w:val="es-ES"/>
        </w:rPr>
      </w:pPr>
    </w:p>
    <w:p w14:paraId="10724083" w14:textId="07D816B0" w:rsidR="002E452D" w:rsidRPr="00112300" w:rsidRDefault="002E452D" w:rsidP="00CB7DA6">
      <w:pPr>
        <w:numPr>
          <w:ilvl w:val="0"/>
          <w:numId w:val="3"/>
        </w:numPr>
        <w:ind w:left="0" w:firstLine="0"/>
        <w:jc w:val="both"/>
        <w:rPr>
          <w:rFonts w:ascii="Verdana" w:hAnsi="Verdana"/>
          <w:sz w:val="20"/>
          <w:szCs w:val="20"/>
          <w:lang w:val="es-CR"/>
        </w:rPr>
      </w:pPr>
      <w:r w:rsidRPr="00112300">
        <w:rPr>
          <w:rFonts w:ascii="Verdana" w:hAnsi="Verdana"/>
          <w:sz w:val="20"/>
          <w:szCs w:val="20"/>
          <w:lang w:val="es-CR"/>
        </w:rPr>
        <w:t>La Resolución de Medidas Provisionales de 14 de octubre de 2021</w:t>
      </w:r>
      <w:r w:rsidRPr="00112300">
        <w:rPr>
          <w:rStyle w:val="Refdenotaalpie"/>
          <w:rFonts w:ascii="Verdana" w:hAnsi="Verdana"/>
          <w:sz w:val="20"/>
          <w:szCs w:val="20"/>
          <w:lang w:val="es-CR"/>
        </w:rPr>
        <w:footnoteReference w:id="4"/>
      </w:r>
      <w:r w:rsidR="00D5188D">
        <w:rPr>
          <w:rFonts w:ascii="Verdana" w:hAnsi="Verdana"/>
          <w:sz w:val="20"/>
          <w:szCs w:val="20"/>
          <w:lang w:val="es-CR"/>
        </w:rPr>
        <w:t>,</w:t>
      </w:r>
      <w:r w:rsidR="00A567FF" w:rsidRPr="00112300">
        <w:rPr>
          <w:rFonts w:ascii="Verdana" w:hAnsi="Verdana"/>
          <w:sz w:val="20"/>
          <w:szCs w:val="20"/>
          <w:lang w:val="es-CR"/>
        </w:rPr>
        <w:t xml:space="preserve"> </w:t>
      </w:r>
      <w:r w:rsidR="00CB7DA6" w:rsidRPr="00112300">
        <w:rPr>
          <w:rFonts w:ascii="Verdana" w:hAnsi="Verdana"/>
          <w:sz w:val="20"/>
          <w:szCs w:val="20"/>
          <w:lang w:val="es-CR"/>
        </w:rPr>
        <w:t>mediante la cual la Corte requirió al Estado a fin de que procediera a la “liberación inmediata de la señora María del Socorro Oviedo Delgado”,</w:t>
      </w:r>
      <w:r w:rsidR="008A2A96" w:rsidRPr="00112300">
        <w:rPr>
          <w:rFonts w:ascii="Verdana" w:hAnsi="Verdana"/>
          <w:sz w:val="20"/>
          <w:szCs w:val="20"/>
          <w:lang w:val="es-CR"/>
        </w:rPr>
        <w:t xml:space="preserve"> integrante de la CPDH,</w:t>
      </w:r>
      <w:r w:rsidR="00CB7DA6" w:rsidRPr="00112300">
        <w:rPr>
          <w:rFonts w:ascii="Verdana" w:hAnsi="Verdana"/>
          <w:sz w:val="20"/>
          <w:szCs w:val="20"/>
          <w:lang w:val="es-CR"/>
        </w:rPr>
        <w:t xml:space="preserve"> así como a que adoptara “de forma inmediata las medidas necesarias para proteger eficazmente la vida, la integridad y libertad personal de la señora María del Socorro Oviedo Delgado y de su núcleo familiar”.</w:t>
      </w:r>
      <w:r w:rsidR="00E517F8">
        <w:rPr>
          <w:rFonts w:ascii="Verdana" w:hAnsi="Verdana"/>
          <w:sz w:val="20"/>
          <w:szCs w:val="20"/>
          <w:lang w:val="es-CR"/>
        </w:rPr>
        <w:t xml:space="preserve"> </w:t>
      </w:r>
    </w:p>
    <w:p w14:paraId="5C24903E" w14:textId="77777777" w:rsidR="00A53D5F" w:rsidRPr="00711C31" w:rsidRDefault="00A53D5F" w:rsidP="00A53D5F">
      <w:pPr>
        <w:pStyle w:val="Numberedparagraphs"/>
        <w:rPr>
          <w:lang w:val="es-CR"/>
        </w:rPr>
      </w:pPr>
    </w:p>
    <w:p w14:paraId="502818A4" w14:textId="6E0BF539" w:rsidR="00A53D5F" w:rsidRPr="00112300" w:rsidRDefault="00A53D5F" w:rsidP="00112300">
      <w:pPr>
        <w:numPr>
          <w:ilvl w:val="0"/>
          <w:numId w:val="3"/>
        </w:numPr>
        <w:ind w:left="0" w:firstLine="0"/>
        <w:jc w:val="both"/>
        <w:rPr>
          <w:rFonts w:ascii="Verdana" w:hAnsi="Verdana"/>
          <w:sz w:val="20"/>
          <w:szCs w:val="20"/>
        </w:rPr>
      </w:pPr>
      <w:r w:rsidRPr="00112300">
        <w:rPr>
          <w:rFonts w:ascii="Verdana" w:hAnsi="Verdana"/>
          <w:sz w:val="20"/>
          <w:szCs w:val="20"/>
        </w:rPr>
        <w:t xml:space="preserve">La presentación oral del Presidente de la Corte Interamericana, realizada el 7 de octubre de 2022 </w:t>
      </w:r>
      <w:r w:rsidRPr="00112300">
        <w:rPr>
          <w:rFonts w:ascii="Verdana" w:hAnsi="Verdana"/>
          <w:sz w:val="20"/>
          <w:szCs w:val="20"/>
          <w:lang w:val="es-CR"/>
        </w:rPr>
        <w:t>durante</w:t>
      </w:r>
      <w:r w:rsidRPr="00112300">
        <w:rPr>
          <w:rFonts w:ascii="Verdana" w:hAnsi="Verdana"/>
          <w:sz w:val="20"/>
          <w:szCs w:val="20"/>
        </w:rPr>
        <w:t xml:space="preserve"> el Quincuagésimo Segundo Período Ordinario de Sesiones de la Asamblea General de la</w:t>
      </w:r>
      <w:r w:rsidR="00D5188D">
        <w:rPr>
          <w:rFonts w:ascii="Verdana" w:hAnsi="Verdana"/>
          <w:sz w:val="20"/>
          <w:szCs w:val="20"/>
        </w:rPr>
        <w:t xml:space="preserve"> Organización de los Estados Americanos (en adelante “</w:t>
      </w:r>
      <w:r w:rsidRPr="00112300">
        <w:rPr>
          <w:rFonts w:ascii="Verdana" w:hAnsi="Verdana"/>
          <w:sz w:val="20"/>
          <w:szCs w:val="20"/>
        </w:rPr>
        <w:t>OEA</w:t>
      </w:r>
      <w:r w:rsidR="00D5188D">
        <w:rPr>
          <w:rFonts w:ascii="Verdana" w:hAnsi="Verdana"/>
          <w:sz w:val="20"/>
          <w:szCs w:val="20"/>
        </w:rPr>
        <w:t>”)</w:t>
      </w:r>
      <w:r w:rsidRPr="00112300">
        <w:rPr>
          <w:rFonts w:ascii="Verdana" w:hAnsi="Verdana"/>
          <w:sz w:val="20"/>
          <w:szCs w:val="20"/>
        </w:rPr>
        <w:t>, celebrado en la ciudad de Lima</w:t>
      </w:r>
      <w:r w:rsidRPr="00112300">
        <w:rPr>
          <w:rStyle w:val="Refdenotaalpie"/>
          <w:rFonts w:ascii="Verdana" w:hAnsi="Verdana"/>
          <w:sz w:val="20"/>
          <w:szCs w:val="20"/>
        </w:rPr>
        <w:footnoteReference w:id="5"/>
      </w:r>
      <w:r w:rsidRPr="00112300">
        <w:rPr>
          <w:rFonts w:ascii="Verdana" w:hAnsi="Verdana"/>
          <w:sz w:val="20"/>
          <w:szCs w:val="20"/>
        </w:rPr>
        <w:t>, mediante la cual dio cuenta a los Estados Miembros de la OEA del Informe Anual de la Corte del año 2021, en el que consta lo relacionado con el incumplimiento por parte del Estado de Nicaragua a lo ordenado por la Corte, en virtud de lo dispuesto en el artículo 65 de la Convención Americana</w:t>
      </w:r>
      <w:r w:rsidR="00DA041F">
        <w:rPr>
          <w:rFonts w:ascii="Verdana" w:hAnsi="Verdana"/>
          <w:sz w:val="20"/>
          <w:szCs w:val="20"/>
        </w:rPr>
        <w:t xml:space="preserve"> sobre Derechos Humanos (en adelante “la Convención Americana</w:t>
      </w:r>
      <w:r w:rsidR="00D5188D">
        <w:rPr>
          <w:rFonts w:ascii="Verdana" w:hAnsi="Verdana"/>
          <w:sz w:val="20"/>
          <w:szCs w:val="20"/>
        </w:rPr>
        <w:t>”</w:t>
      </w:r>
      <w:r w:rsidR="00DA041F">
        <w:rPr>
          <w:rFonts w:ascii="Verdana" w:hAnsi="Verdana"/>
          <w:sz w:val="20"/>
          <w:szCs w:val="20"/>
        </w:rPr>
        <w:t xml:space="preserve"> o “la Convención”)</w:t>
      </w:r>
      <w:r w:rsidRPr="00112300">
        <w:rPr>
          <w:rFonts w:ascii="Verdana" w:hAnsi="Verdana"/>
          <w:sz w:val="20"/>
          <w:szCs w:val="20"/>
        </w:rPr>
        <w:t>.</w:t>
      </w:r>
    </w:p>
    <w:p w14:paraId="2D462C03" w14:textId="77777777" w:rsidR="00A53D5F" w:rsidRPr="005F7957" w:rsidRDefault="00A53D5F" w:rsidP="00A53D5F">
      <w:pPr>
        <w:pStyle w:val="Prrafodelista"/>
        <w:rPr>
          <w:rFonts w:ascii="Verdana" w:hAnsi="Verdana"/>
          <w:sz w:val="20"/>
          <w:szCs w:val="20"/>
        </w:rPr>
      </w:pPr>
    </w:p>
    <w:p w14:paraId="78134029" w14:textId="77777777" w:rsidR="00A53D5F" w:rsidRPr="00112300" w:rsidRDefault="00A53D5F" w:rsidP="00112300">
      <w:pPr>
        <w:numPr>
          <w:ilvl w:val="0"/>
          <w:numId w:val="3"/>
        </w:numPr>
        <w:ind w:left="0" w:firstLine="0"/>
        <w:jc w:val="both"/>
        <w:rPr>
          <w:rFonts w:ascii="Verdana" w:hAnsi="Verdana"/>
          <w:sz w:val="20"/>
          <w:szCs w:val="20"/>
        </w:rPr>
      </w:pPr>
      <w:r w:rsidRPr="00112300">
        <w:rPr>
          <w:rFonts w:ascii="Verdana" w:hAnsi="Verdana"/>
          <w:sz w:val="20"/>
          <w:szCs w:val="20"/>
        </w:rPr>
        <w:t xml:space="preserve">La Resolución </w:t>
      </w:r>
      <w:r w:rsidRPr="00112300">
        <w:rPr>
          <w:rFonts w:ascii="Verdana" w:hAnsi="Verdana"/>
          <w:sz w:val="20"/>
          <w:szCs w:val="20"/>
          <w:lang w:val="es-CR"/>
        </w:rPr>
        <w:t>adoptada</w:t>
      </w:r>
      <w:r w:rsidRPr="00112300">
        <w:rPr>
          <w:rFonts w:ascii="Verdana" w:hAnsi="Verdana"/>
          <w:sz w:val="20"/>
          <w:szCs w:val="20"/>
        </w:rPr>
        <w:t xml:space="preserve"> por los Estados Miembros de la OEA, reunidos en el </w:t>
      </w:r>
      <w:r w:rsidRPr="00112300">
        <w:rPr>
          <w:rFonts w:ascii="Verdana" w:hAnsi="Verdana"/>
          <w:sz w:val="20"/>
          <w:szCs w:val="20"/>
          <w:lang w:val="es-MX"/>
        </w:rPr>
        <w:t>Quincuagésimo Segundo Período Ordinario de Sesiones, sobre ‘‘la crisis política y de derechos humanos en Nicaragua’’</w:t>
      </w:r>
      <w:r w:rsidRPr="00112300">
        <w:rPr>
          <w:rStyle w:val="Refdenotaalpie"/>
          <w:rFonts w:ascii="Verdana" w:hAnsi="Verdana"/>
          <w:sz w:val="20"/>
          <w:szCs w:val="20"/>
          <w:lang w:val="es-MX"/>
        </w:rPr>
        <w:footnoteReference w:id="6"/>
      </w:r>
      <w:r w:rsidRPr="00112300">
        <w:rPr>
          <w:rFonts w:ascii="Verdana" w:hAnsi="Verdana"/>
          <w:sz w:val="20"/>
          <w:szCs w:val="20"/>
          <w:lang w:val="es-MX"/>
        </w:rPr>
        <w:t>, mediante la cual resolvieron:</w:t>
      </w:r>
    </w:p>
    <w:p w14:paraId="15915344" w14:textId="77777777" w:rsidR="00A53D5F" w:rsidRPr="00112300" w:rsidRDefault="00A53D5F" w:rsidP="00A53D5F">
      <w:pPr>
        <w:rPr>
          <w:rFonts w:ascii="Verdana" w:hAnsi="Verdana"/>
          <w:sz w:val="20"/>
          <w:szCs w:val="20"/>
        </w:rPr>
      </w:pPr>
    </w:p>
    <w:p w14:paraId="0334209D" w14:textId="77777777" w:rsidR="00A53D5F" w:rsidRPr="00112300" w:rsidRDefault="00A53D5F" w:rsidP="00A53D5F">
      <w:pPr>
        <w:ind w:left="708" w:right="616"/>
        <w:jc w:val="both"/>
        <w:rPr>
          <w:rFonts w:ascii="Verdana" w:hAnsi="Verdana"/>
          <w:sz w:val="18"/>
          <w:szCs w:val="18"/>
        </w:rPr>
      </w:pPr>
      <w:r w:rsidRPr="00112300">
        <w:rPr>
          <w:rFonts w:ascii="Verdana" w:hAnsi="Verdana"/>
          <w:sz w:val="18"/>
          <w:szCs w:val="18"/>
        </w:rPr>
        <w:t>Instar al Gobierno de Nicaragua a que garantice la integridad física, mental y moral, la libertad y el derecho a la vida de todas las personas que han sido detenidas arbitrariamente, y a que libere inmediatamente a todos los presos políticos, en cumplimiento de las decisiones y recomendaciones de la Corte Interamericana de Derechos Humanos y de la Comisión Interamericana de Derechos Humanos.</w:t>
      </w:r>
    </w:p>
    <w:p w14:paraId="01D3D066" w14:textId="77777777" w:rsidR="00A53D5F" w:rsidRPr="00112300" w:rsidRDefault="00A53D5F" w:rsidP="00A53D5F">
      <w:pPr>
        <w:jc w:val="both"/>
        <w:rPr>
          <w:rFonts w:ascii="Verdana" w:eastAsia="Verdana" w:hAnsi="Verdana" w:cs="Verdana"/>
          <w:sz w:val="20"/>
          <w:szCs w:val="20"/>
        </w:rPr>
      </w:pPr>
    </w:p>
    <w:p w14:paraId="35EE96B9" w14:textId="44AD133F" w:rsidR="00A53D5F" w:rsidRPr="00112300" w:rsidRDefault="00A53D5F" w:rsidP="00112300">
      <w:pPr>
        <w:numPr>
          <w:ilvl w:val="0"/>
          <w:numId w:val="3"/>
        </w:numPr>
        <w:ind w:left="0" w:firstLine="0"/>
        <w:jc w:val="both"/>
        <w:rPr>
          <w:rFonts w:ascii="Verdana" w:hAnsi="Verdana"/>
          <w:sz w:val="20"/>
          <w:szCs w:val="20"/>
        </w:rPr>
      </w:pPr>
      <w:r w:rsidRPr="00112300">
        <w:rPr>
          <w:rFonts w:ascii="Verdana" w:hAnsi="Verdana"/>
          <w:sz w:val="20"/>
          <w:szCs w:val="20"/>
        </w:rPr>
        <w:t xml:space="preserve">La Resolución de la Corte de 22 de noviembre de 2022, mediante la cual declaró el desacato por parte del Estado al cumplimiento de las decisiones dictadas por la Corte Interamericana </w:t>
      </w:r>
      <w:r w:rsidRPr="00112300">
        <w:rPr>
          <w:rFonts w:ascii="Verdana" w:hAnsi="Verdana"/>
          <w:sz w:val="20"/>
          <w:szCs w:val="20"/>
          <w:lang w:val="es-CR"/>
        </w:rPr>
        <w:t>y</w:t>
      </w:r>
      <w:r w:rsidRPr="00112300">
        <w:rPr>
          <w:rFonts w:ascii="Verdana" w:hAnsi="Verdana"/>
          <w:sz w:val="20"/>
          <w:szCs w:val="20"/>
        </w:rPr>
        <w:t xml:space="preserve"> resolvió, </w:t>
      </w:r>
      <w:r w:rsidRPr="00112300">
        <w:rPr>
          <w:rFonts w:ascii="Verdana" w:hAnsi="Verdana"/>
          <w:i/>
          <w:iCs/>
          <w:sz w:val="20"/>
          <w:szCs w:val="20"/>
        </w:rPr>
        <w:t>inter alia,</w:t>
      </w:r>
      <w:r w:rsidRPr="00112300">
        <w:rPr>
          <w:rFonts w:ascii="Verdana" w:hAnsi="Verdana"/>
          <w:sz w:val="20"/>
          <w:szCs w:val="20"/>
        </w:rPr>
        <w:t xml:space="preserve"> (i) mantener las medidas provisionales </w:t>
      </w:r>
      <w:r w:rsidRPr="00112300">
        <w:rPr>
          <w:rFonts w:ascii="Verdana" w:hAnsi="Verdana"/>
          <w:sz w:val="20"/>
          <w:szCs w:val="20"/>
          <w:lang w:val="es-CR"/>
        </w:rPr>
        <w:t>adoptadas</w:t>
      </w:r>
      <w:r w:rsidRPr="00112300">
        <w:rPr>
          <w:rFonts w:ascii="Verdana" w:hAnsi="Verdana"/>
          <w:sz w:val="20"/>
          <w:szCs w:val="20"/>
        </w:rPr>
        <w:t xml:space="preserve">; (ii) instruir al Presidente de la Corte para que presentara ante el Consejo Permanente de la Organización de </w:t>
      </w:r>
      <w:r w:rsidR="00D5188D">
        <w:rPr>
          <w:rFonts w:ascii="Verdana" w:hAnsi="Verdana"/>
          <w:sz w:val="20"/>
          <w:szCs w:val="20"/>
        </w:rPr>
        <w:t xml:space="preserve">los </w:t>
      </w:r>
      <w:r w:rsidRPr="00112300">
        <w:rPr>
          <w:rFonts w:ascii="Verdana" w:hAnsi="Verdana"/>
          <w:sz w:val="20"/>
          <w:szCs w:val="20"/>
        </w:rPr>
        <w:t xml:space="preserve">Estados Americanos, de forma personal, un informe sobre la situación de desacato permanente y desprotección absoluta en que se encuentran los beneficiarios de las medidas provisionales adoptadas; (iii) urgir al Consejo Permanente de la OEA para que, en aplicación de la garantía colectiva, diera seguimiento al incumplimiento de las Medidas </w:t>
      </w:r>
      <w:r w:rsidRPr="00112300">
        <w:rPr>
          <w:rFonts w:ascii="Verdana" w:hAnsi="Verdana"/>
          <w:sz w:val="20"/>
          <w:szCs w:val="20"/>
        </w:rPr>
        <w:lastRenderedPageBreak/>
        <w:t>Provisionales y a la situación en que se encuentran los beneficiarios y exigiera al Estado el cumplimiento de lo ordenado por la Corte; e (iv) incorporar lo decidido en el siguiente Informe Anual de la Corte, con el fin de informar a la Asamblea General de la OEA, en aplicación del artículo 65 de la Convención, sobre el incumplimiento del Estado a lo ordenado por la Corte</w:t>
      </w:r>
      <w:r w:rsidRPr="00112300">
        <w:rPr>
          <w:rFonts w:ascii="Verdana" w:hAnsi="Verdana"/>
          <w:sz w:val="20"/>
          <w:szCs w:val="20"/>
          <w:vertAlign w:val="superscript"/>
        </w:rPr>
        <w:footnoteReference w:id="7"/>
      </w:r>
      <w:r w:rsidRPr="00112300">
        <w:rPr>
          <w:rFonts w:ascii="Verdana" w:hAnsi="Verdana"/>
          <w:sz w:val="20"/>
          <w:szCs w:val="20"/>
        </w:rPr>
        <w:t xml:space="preserve">. </w:t>
      </w:r>
    </w:p>
    <w:p w14:paraId="1D19147E" w14:textId="77777777" w:rsidR="00A53D5F" w:rsidRPr="00112300" w:rsidRDefault="00A53D5F" w:rsidP="00A53D5F">
      <w:pPr>
        <w:pStyle w:val="Numberedparagraphs"/>
      </w:pPr>
    </w:p>
    <w:p w14:paraId="6633D713" w14:textId="77777777" w:rsidR="00A53D5F" w:rsidRPr="00112300" w:rsidRDefault="00A53D5F" w:rsidP="00112300">
      <w:pPr>
        <w:numPr>
          <w:ilvl w:val="0"/>
          <w:numId w:val="3"/>
        </w:numPr>
        <w:ind w:left="0" w:firstLine="0"/>
        <w:jc w:val="both"/>
        <w:rPr>
          <w:rFonts w:ascii="Verdana" w:hAnsi="Verdana"/>
          <w:sz w:val="20"/>
          <w:szCs w:val="20"/>
        </w:rPr>
      </w:pPr>
      <w:r w:rsidRPr="00112300">
        <w:rPr>
          <w:rFonts w:ascii="Verdana" w:hAnsi="Verdana"/>
          <w:sz w:val="20"/>
          <w:szCs w:val="20"/>
        </w:rPr>
        <w:t xml:space="preserve">La Resolución de la Corte de 8 de febrero de 2023, mediante la cual amplió las medidas provisionales a 11 personas adicionales; dispuso acumular el trámite de los </w:t>
      </w:r>
      <w:r w:rsidRPr="00112300">
        <w:rPr>
          <w:rFonts w:ascii="Verdana" w:hAnsi="Verdana"/>
          <w:i/>
          <w:iCs/>
          <w:sz w:val="20"/>
          <w:szCs w:val="20"/>
        </w:rPr>
        <w:t>asuntos Juan Sebastián Chamorro y otros</w:t>
      </w:r>
      <w:r w:rsidRPr="00112300">
        <w:rPr>
          <w:rFonts w:ascii="Verdana" w:hAnsi="Verdana"/>
          <w:sz w:val="20"/>
          <w:szCs w:val="20"/>
        </w:rPr>
        <w:t xml:space="preserve"> y </w:t>
      </w:r>
      <w:r w:rsidRPr="00112300">
        <w:rPr>
          <w:rFonts w:ascii="Verdana" w:hAnsi="Verdana"/>
          <w:i/>
          <w:iCs/>
          <w:sz w:val="20"/>
          <w:szCs w:val="20"/>
        </w:rPr>
        <w:t>45 personas privadas de su libertad en 8 centros de detención respecto de Nicaragua,</w:t>
      </w:r>
      <w:r w:rsidRPr="00112300">
        <w:rPr>
          <w:rFonts w:ascii="Verdana" w:hAnsi="Verdana"/>
          <w:sz w:val="20"/>
          <w:szCs w:val="20"/>
        </w:rPr>
        <w:t xml:space="preserve"> y resolvió urgir al Consejo Permanente de la OEA para que, en aplicación de la garantía colectiva, diera seguimiento al persistente incumplimiento de las medidas provisionales adoptadas y exigiera al Estado el cumplimiento de lo ordenado por la Corte</w:t>
      </w:r>
      <w:r w:rsidRPr="00112300">
        <w:rPr>
          <w:rStyle w:val="Refdenotaalpie"/>
          <w:rFonts w:ascii="Verdana" w:eastAsia="Verdana" w:hAnsi="Verdana" w:cs="Verdana"/>
          <w:sz w:val="20"/>
          <w:szCs w:val="20"/>
        </w:rPr>
        <w:footnoteReference w:id="8"/>
      </w:r>
      <w:r w:rsidRPr="00112300">
        <w:rPr>
          <w:rFonts w:ascii="Verdana" w:hAnsi="Verdana"/>
          <w:sz w:val="20"/>
          <w:szCs w:val="20"/>
        </w:rPr>
        <w:t xml:space="preserve">. </w:t>
      </w:r>
    </w:p>
    <w:p w14:paraId="6DCEE1AB" w14:textId="77777777" w:rsidR="00A53D5F" w:rsidRPr="00112300" w:rsidRDefault="00A53D5F" w:rsidP="00A53D5F">
      <w:pPr>
        <w:rPr>
          <w:rFonts w:ascii="Verdana" w:hAnsi="Verdana"/>
          <w:sz w:val="20"/>
          <w:szCs w:val="20"/>
        </w:rPr>
      </w:pPr>
    </w:p>
    <w:p w14:paraId="34B4614C" w14:textId="77777777" w:rsidR="00A53D5F" w:rsidRPr="00112300" w:rsidRDefault="00A53D5F" w:rsidP="00112300">
      <w:pPr>
        <w:numPr>
          <w:ilvl w:val="0"/>
          <w:numId w:val="3"/>
        </w:numPr>
        <w:ind w:left="0" w:firstLine="0"/>
        <w:jc w:val="both"/>
        <w:rPr>
          <w:rFonts w:ascii="Verdana" w:hAnsi="Verdana"/>
          <w:sz w:val="20"/>
          <w:szCs w:val="20"/>
        </w:rPr>
      </w:pPr>
      <w:r w:rsidRPr="00112300">
        <w:rPr>
          <w:rFonts w:ascii="Verdana" w:hAnsi="Verdana"/>
          <w:sz w:val="20"/>
          <w:szCs w:val="20"/>
        </w:rPr>
        <w:t>La presentación del Presidente de la Corte ante el Consejo Permanente de la OEA el 29 de marzo de 2023, mediante la cual informó sobre el desacato permanente del Estado de Nicaragua a las decisiones de la Corte y la desprotección absoluta en que se encuentran los beneficiarios de las medidas provisionales</w:t>
      </w:r>
      <w:r w:rsidRPr="00112300">
        <w:rPr>
          <w:rStyle w:val="Refdenotaalpie"/>
          <w:rFonts w:ascii="Verdana" w:hAnsi="Verdana"/>
          <w:sz w:val="20"/>
          <w:szCs w:val="20"/>
        </w:rPr>
        <w:footnoteReference w:id="9"/>
      </w:r>
      <w:r w:rsidRPr="00112300">
        <w:rPr>
          <w:rFonts w:ascii="Verdana" w:hAnsi="Verdana"/>
          <w:sz w:val="20"/>
          <w:szCs w:val="20"/>
        </w:rPr>
        <w:t>.</w:t>
      </w:r>
    </w:p>
    <w:p w14:paraId="070563F9" w14:textId="77777777" w:rsidR="00A53D5F" w:rsidRPr="00112300" w:rsidRDefault="00A53D5F" w:rsidP="00A53D5F">
      <w:pPr>
        <w:pStyle w:val="Prrafodelista"/>
        <w:rPr>
          <w:rFonts w:ascii="Verdana" w:hAnsi="Verdana"/>
          <w:sz w:val="20"/>
          <w:szCs w:val="20"/>
        </w:rPr>
      </w:pPr>
    </w:p>
    <w:p w14:paraId="74D9063E" w14:textId="77777777" w:rsidR="00A53D5F" w:rsidRPr="00112300" w:rsidRDefault="00A53D5F" w:rsidP="00112300">
      <w:pPr>
        <w:numPr>
          <w:ilvl w:val="0"/>
          <w:numId w:val="3"/>
        </w:numPr>
        <w:ind w:left="0" w:firstLine="0"/>
        <w:jc w:val="both"/>
        <w:rPr>
          <w:rFonts w:ascii="Verdana" w:hAnsi="Verdana"/>
          <w:sz w:val="20"/>
          <w:szCs w:val="20"/>
        </w:rPr>
      </w:pPr>
      <w:r w:rsidRPr="00112300">
        <w:rPr>
          <w:rFonts w:ascii="Verdana" w:hAnsi="Verdana"/>
          <w:sz w:val="20"/>
          <w:szCs w:val="20"/>
        </w:rPr>
        <w:t>Las presentaciones del Presidente de la Corte ante (i) la Comisión de Asuntos Jurídicos y Políticos del Consejo Permanente de la OEA el 30 de marzo de 2023</w:t>
      </w:r>
      <w:r w:rsidRPr="00112300">
        <w:rPr>
          <w:rStyle w:val="Refdenotaalpie"/>
          <w:rFonts w:ascii="Verdana" w:hAnsi="Verdana"/>
          <w:sz w:val="20"/>
          <w:szCs w:val="20"/>
        </w:rPr>
        <w:footnoteReference w:id="10"/>
      </w:r>
      <w:r w:rsidRPr="00112300">
        <w:rPr>
          <w:rFonts w:ascii="Verdana" w:hAnsi="Verdana"/>
          <w:sz w:val="20"/>
          <w:szCs w:val="20"/>
        </w:rPr>
        <w:t xml:space="preserve"> y (ii) la Asamblea General de la OEA el 23 de junio de 2023</w:t>
      </w:r>
      <w:r w:rsidRPr="00112300">
        <w:rPr>
          <w:rStyle w:val="Refdenotaalpie"/>
          <w:rFonts w:ascii="Verdana" w:hAnsi="Verdana"/>
          <w:sz w:val="20"/>
          <w:szCs w:val="20"/>
        </w:rPr>
        <w:footnoteReference w:id="11"/>
      </w:r>
      <w:r w:rsidRPr="00112300">
        <w:rPr>
          <w:rFonts w:ascii="Verdana" w:hAnsi="Verdana"/>
          <w:sz w:val="20"/>
          <w:szCs w:val="20"/>
        </w:rPr>
        <w:t>, del Informe Anual de este Tribunal correspondiente al año 2022, en el que consta lo relacionado con el incumplimiento por parte del Estado de Nicaragua a lo ordenado por la Corte.</w:t>
      </w:r>
    </w:p>
    <w:p w14:paraId="44D180F8" w14:textId="77777777" w:rsidR="00A53D5F" w:rsidRPr="00112300" w:rsidRDefault="00A53D5F" w:rsidP="00A53D5F">
      <w:pPr>
        <w:rPr>
          <w:rFonts w:ascii="Verdana" w:hAnsi="Verdana"/>
          <w:sz w:val="20"/>
          <w:szCs w:val="20"/>
        </w:rPr>
      </w:pPr>
    </w:p>
    <w:p w14:paraId="344D7B18" w14:textId="77777777" w:rsidR="00A53D5F" w:rsidRPr="00112300" w:rsidRDefault="00A53D5F" w:rsidP="00112300">
      <w:pPr>
        <w:numPr>
          <w:ilvl w:val="0"/>
          <w:numId w:val="3"/>
        </w:numPr>
        <w:ind w:left="0" w:firstLine="0"/>
        <w:jc w:val="both"/>
        <w:rPr>
          <w:rFonts w:ascii="Verdana" w:hAnsi="Verdana"/>
          <w:sz w:val="20"/>
          <w:szCs w:val="20"/>
        </w:rPr>
      </w:pPr>
      <w:r w:rsidRPr="00112300">
        <w:rPr>
          <w:rFonts w:ascii="Verdana" w:hAnsi="Verdana"/>
          <w:sz w:val="20"/>
          <w:szCs w:val="20"/>
        </w:rPr>
        <w:t xml:space="preserve">La Resolución de la Asamblea General de la OEA, adoptada en su Quincuagésimo Tercer Periodo Ordinario de Sesiones, mediante la cual resolvió, </w:t>
      </w:r>
      <w:r w:rsidRPr="00112300">
        <w:rPr>
          <w:rFonts w:ascii="Verdana" w:hAnsi="Verdana"/>
          <w:i/>
          <w:iCs/>
          <w:sz w:val="20"/>
          <w:szCs w:val="20"/>
        </w:rPr>
        <w:t>inter alia</w:t>
      </w:r>
      <w:r w:rsidRPr="00112300">
        <w:rPr>
          <w:rFonts w:ascii="Verdana" w:hAnsi="Verdana"/>
          <w:sz w:val="20"/>
          <w:szCs w:val="20"/>
        </w:rPr>
        <w:t>:</w:t>
      </w:r>
    </w:p>
    <w:p w14:paraId="1B7808C2" w14:textId="77777777" w:rsidR="00A53D5F" w:rsidRPr="00112300" w:rsidRDefault="00A53D5F" w:rsidP="00A53D5F">
      <w:pPr>
        <w:pStyle w:val="Numberedparagraphs"/>
      </w:pPr>
    </w:p>
    <w:p w14:paraId="66F4C76D" w14:textId="178E1114" w:rsidR="00A53D5F" w:rsidRPr="00112300" w:rsidRDefault="00A53D5F" w:rsidP="00A53D5F">
      <w:pPr>
        <w:pStyle w:val="Numberedparagraphs"/>
        <w:ind w:left="708" w:right="616"/>
        <w:rPr>
          <w:sz w:val="18"/>
          <w:szCs w:val="18"/>
        </w:rPr>
      </w:pPr>
      <w:r w:rsidRPr="00112300">
        <w:rPr>
          <w:sz w:val="18"/>
          <w:szCs w:val="18"/>
        </w:rPr>
        <w:t>2. Instar al Gobierno de Nicaragua que cumpla las decisiones y recomendaciones de la Corte Interamericana de Derechos Humanos y de la Comisión Interamericana de Derechos Humanos de liberar de forma inmediata e incondicional a todos los presos políticos.</w:t>
      </w:r>
    </w:p>
    <w:p w14:paraId="57938F57" w14:textId="77777777" w:rsidR="00A53D5F" w:rsidRPr="00112300" w:rsidRDefault="00A53D5F" w:rsidP="00A53D5F">
      <w:pPr>
        <w:pStyle w:val="Numberedparagraphs"/>
        <w:ind w:left="708" w:right="616"/>
        <w:rPr>
          <w:sz w:val="18"/>
          <w:szCs w:val="18"/>
        </w:rPr>
      </w:pPr>
    </w:p>
    <w:p w14:paraId="52EEE847" w14:textId="77777777" w:rsidR="00A53D5F" w:rsidRPr="00112300" w:rsidRDefault="00A53D5F" w:rsidP="00A53D5F">
      <w:pPr>
        <w:pStyle w:val="Numberedparagraphs"/>
        <w:ind w:left="708" w:right="616"/>
        <w:rPr>
          <w:sz w:val="18"/>
          <w:szCs w:val="18"/>
        </w:rPr>
      </w:pPr>
      <w:r w:rsidRPr="00112300">
        <w:rPr>
          <w:sz w:val="18"/>
          <w:szCs w:val="18"/>
        </w:rPr>
        <w:t>3. Instar al Gobierno de Nicaragua a que libere de forma inmediata e incondicional a todos los presos políticos, en cumplimiento de las decisiones y recomendaciones de la Corte Interamericana de Derechos Humanos y de la Comisión Interamericana de Derechos Humanos.</w:t>
      </w:r>
    </w:p>
    <w:p w14:paraId="3251C64F" w14:textId="77777777" w:rsidR="00A53D5F" w:rsidRPr="00112300" w:rsidRDefault="00A53D5F" w:rsidP="00A53D5F">
      <w:pPr>
        <w:pStyle w:val="Numberedparagraphs"/>
        <w:ind w:left="708" w:right="616"/>
        <w:rPr>
          <w:sz w:val="18"/>
          <w:szCs w:val="18"/>
        </w:rPr>
      </w:pPr>
    </w:p>
    <w:p w14:paraId="0631885D" w14:textId="77777777" w:rsidR="00A53D5F" w:rsidRPr="00112300" w:rsidRDefault="00A53D5F" w:rsidP="00A53D5F">
      <w:pPr>
        <w:pStyle w:val="Numberedparagraphs"/>
        <w:ind w:left="708" w:right="616"/>
        <w:rPr>
          <w:sz w:val="18"/>
          <w:szCs w:val="18"/>
        </w:rPr>
      </w:pPr>
      <w:r w:rsidRPr="00112300">
        <w:rPr>
          <w:sz w:val="18"/>
          <w:szCs w:val="18"/>
        </w:rPr>
        <w:t>4. Instar al Gobierno de Nicaragua a que se abstenga de reprimir y de detener arbitrariamente a líderes de la Iglesia católica y a que brinde información sobre la salud física y psicológica del Obispo Rolando Álvarez, a quien —según la información recibida— se le mantiene aislado en instalaciones de máxima seguridad.</w:t>
      </w:r>
    </w:p>
    <w:p w14:paraId="14ED8A5C" w14:textId="77777777" w:rsidR="002E452D" w:rsidRPr="00112300" w:rsidRDefault="002E452D" w:rsidP="002E452D">
      <w:pPr>
        <w:jc w:val="both"/>
        <w:rPr>
          <w:rFonts w:ascii="Verdana" w:hAnsi="Verdana"/>
          <w:sz w:val="20"/>
          <w:szCs w:val="20"/>
          <w:lang w:val="es-CR"/>
        </w:rPr>
      </w:pPr>
    </w:p>
    <w:p w14:paraId="37B26141" w14:textId="5C63EB5F" w:rsidR="0015111D" w:rsidRPr="00112300" w:rsidRDefault="0015111D" w:rsidP="002C373D">
      <w:pPr>
        <w:numPr>
          <w:ilvl w:val="0"/>
          <w:numId w:val="3"/>
        </w:numPr>
        <w:ind w:left="0" w:firstLine="0"/>
        <w:jc w:val="both"/>
        <w:rPr>
          <w:rFonts w:ascii="Verdana" w:hAnsi="Verdana"/>
          <w:sz w:val="20"/>
          <w:szCs w:val="20"/>
          <w:lang w:val="es-CR"/>
        </w:rPr>
      </w:pPr>
      <w:r w:rsidRPr="00112300">
        <w:rPr>
          <w:rFonts w:ascii="Verdana" w:hAnsi="Verdana"/>
          <w:sz w:val="20"/>
          <w:szCs w:val="20"/>
          <w:lang w:val="es-CR"/>
        </w:rPr>
        <w:lastRenderedPageBreak/>
        <w:t xml:space="preserve">El escrito de 16 de febrero de 2023 </w:t>
      </w:r>
      <w:r w:rsidR="00C00D58" w:rsidRPr="00112300">
        <w:rPr>
          <w:rFonts w:ascii="Verdana" w:hAnsi="Verdana"/>
          <w:sz w:val="20"/>
          <w:szCs w:val="20"/>
          <w:lang w:val="es-CR"/>
        </w:rPr>
        <w:t>y sus anexos</w:t>
      </w:r>
      <w:r w:rsidR="00D5188D">
        <w:rPr>
          <w:rFonts w:ascii="Verdana" w:hAnsi="Verdana"/>
          <w:sz w:val="20"/>
          <w:szCs w:val="20"/>
          <w:lang w:val="es-CR"/>
        </w:rPr>
        <w:t>,</w:t>
      </w:r>
      <w:r w:rsidR="00C00D58" w:rsidRPr="00112300">
        <w:rPr>
          <w:rFonts w:ascii="Verdana" w:hAnsi="Verdana"/>
          <w:sz w:val="20"/>
          <w:szCs w:val="20"/>
          <w:lang w:val="es-CR"/>
        </w:rPr>
        <w:t xml:space="preserve"> </w:t>
      </w:r>
      <w:r w:rsidRPr="00112300">
        <w:rPr>
          <w:rFonts w:ascii="Verdana" w:hAnsi="Verdana"/>
          <w:sz w:val="20"/>
          <w:szCs w:val="20"/>
          <w:lang w:val="es-CR"/>
        </w:rPr>
        <w:t xml:space="preserve">mediante </w:t>
      </w:r>
      <w:r w:rsidR="00C00D58" w:rsidRPr="00112300">
        <w:rPr>
          <w:rFonts w:ascii="Verdana" w:hAnsi="Verdana"/>
          <w:sz w:val="20"/>
          <w:szCs w:val="20"/>
          <w:lang w:val="es-CR"/>
        </w:rPr>
        <w:t>los</w:t>
      </w:r>
      <w:r w:rsidRPr="00112300">
        <w:rPr>
          <w:rFonts w:ascii="Verdana" w:hAnsi="Verdana"/>
          <w:sz w:val="20"/>
          <w:szCs w:val="20"/>
          <w:lang w:val="es-CR"/>
        </w:rPr>
        <w:t xml:space="preserve"> cual</w:t>
      </w:r>
      <w:r w:rsidR="00AE0709">
        <w:rPr>
          <w:rFonts w:ascii="Verdana" w:hAnsi="Verdana"/>
          <w:sz w:val="20"/>
          <w:szCs w:val="20"/>
          <w:lang w:val="es-CR"/>
        </w:rPr>
        <w:t>es</w:t>
      </w:r>
      <w:r w:rsidRPr="00112300">
        <w:rPr>
          <w:rFonts w:ascii="Verdana" w:hAnsi="Verdana"/>
          <w:sz w:val="20"/>
          <w:szCs w:val="20"/>
          <w:lang w:val="es-CR"/>
        </w:rPr>
        <w:t xml:space="preserve"> los representantes </w:t>
      </w:r>
      <w:r w:rsidR="008A2A96" w:rsidRPr="00112300">
        <w:rPr>
          <w:rFonts w:ascii="Verdana" w:hAnsi="Verdana"/>
          <w:sz w:val="20"/>
          <w:szCs w:val="20"/>
          <w:lang w:val="es-CR"/>
        </w:rPr>
        <w:t xml:space="preserve">de </w:t>
      </w:r>
      <w:r w:rsidR="00856A2B" w:rsidRPr="00112300">
        <w:rPr>
          <w:rFonts w:ascii="Verdana" w:hAnsi="Verdana"/>
          <w:sz w:val="20"/>
          <w:szCs w:val="20"/>
          <w:lang w:val="es-CR"/>
        </w:rPr>
        <w:t>CENIDH</w:t>
      </w:r>
      <w:r w:rsidR="0044229E">
        <w:rPr>
          <w:rStyle w:val="Refdenotaalpie"/>
          <w:rFonts w:ascii="Verdana" w:hAnsi="Verdana"/>
          <w:sz w:val="20"/>
          <w:szCs w:val="20"/>
          <w:lang w:val="es-CR"/>
        </w:rPr>
        <w:footnoteReference w:id="12"/>
      </w:r>
      <w:r w:rsidR="008A2A96" w:rsidRPr="00112300">
        <w:rPr>
          <w:rFonts w:ascii="Verdana" w:hAnsi="Verdana"/>
          <w:sz w:val="20"/>
          <w:szCs w:val="20"/>
          <w:lang w:val="es-CR"/>
        </w:rPr>
        <w:t xml:space="preserve"> </w:t>
      </w:r>
      <w:r w:rsidR="00D820F2" w:rsidRPr="00112300">
        <w:rPr>
          <w:rFonts w:ascii="Verdana" w:hAnsi="Verdana"/>
          <w:sz w:val="20"/>
          <w:szCs w:val="20"/>
          <w:lang w:val="es-CR"/>
        </w:rPr>
        <w:t>informaron sobre una serie de hechos sobrevinientes referidos a la situación de los beneficiarios Vilma Núñez de Escorcia</w:t>
      </w:r>
      <w:r w:rsidR="00792DF0" w:rsidRPr="00112300">
        <w:rPr>
          <w:rFonts w:ascii="Verdana" w:hAnsi="Verdana"/>
          <w:sz w:val="20"/>
          <w:szCs w:val="20"/>
          <w:lang w:val="es-CR"/>
        </w:rPr>
        <w:t xml:space="preserve"> y </w:t>
      </w:r>
      <w:r w:rsidR="00B52D82" w:rsidRPr="00112300">
        <w:rPr>
          <w:rFonts w:ascii="Verdana" w:hAnsi="Verdana"/>
          <w:sz w:val="20"/>
          <w:szCs w:val="20"/>
          <w:lang w:val="es-CR"/>
        </w:rPr>
        <w:t>Gonzalo Carrión,</w:t>
      </w:r>
      <w:r w:rsidR="003F3FA6" w:rsidRPr="00112300">
        <w:rPr>
          <w:rFonts w:ascii="Verdana" w:hAnsi="Verdana"/>
          <w:sz w:val="20"/>
          <w:szCs w:val="20"/>
          <w:lang w:val="es-CR"/>
        </w:rPr>
        <w:t xml:space="preserve"> </w:t>
      </w:r>
      <w:r w:rsidR="00B52D82" w:rsidRPr="00112300">
        <w:rPr>
          <w:rFonts w:ascii="Verdana" w:hAnsi="Verdana"/>
          <w:sz w:val="20"/>
          <w:szCs w:val="20"/>
          <w:lang w:val="es-CR"/>
        </w:rPr>
        <w:t xml:space="preserve">así como la nota de la Secretaría de la Corte (en adelante “la Secretaría”) de 20 de febrero de 2023 a través de la cual se concedió un plazo al Estado y a la Comisión Interamericana </w:t>
      </w:r>
      <w:r w:rsidR="00D5188D">
        <w:rPr>
          <w:rFonts w:ascii="Verdana" w:hAnsi="Verdana"/>
          <w:sz w:val="20"/>
          <w:szCs w:val="20"/>
          <w:lang w:val="es-CR"/>
        </w:rPr>
        <w:t xml:space="preserve">de Derechos Humanos </w:t>
      </w:r>
      <w:r w:rsidR="00556364" w:rsidRPr="00112300">
        <w:rPr>
          <w:rFonts w:ascii="Verdana" w:hAnsi="Verdana"/>
          <w:sz w:val="20"/>
          <w:szCs w:val="20"/>
          <w:lang w:val="es-CR"/>
        </w:rPr>
        <w:t xml:space="preserve">para presentar observaciones. </w:t>
      </w:r>
    </w:p>
    <w:p w14:paraId="7FB76389" w14:textId="77777777" w:rsidR="00225CE2" w:rsidRPr="00112300" w:rsidRDefault="00225CE2" w:rsidP="00225CE2">
      <w:pPr>
        <w:jc w:val="both"/>
        <w:rPr>
          <w:rFonts w:ascii="Verdana" w:hAnsi="Verdana"/>
          <w:sz w:val="20"/>
          <w:szCs w:val="20"/>
          <w:lang w:val="es-ES"/>
        </w:rPr>
      </w:pPr>
    </w:p>
    <w:p w14:paraId="38B71CE7" w14:textId="570B69EC" w:rsidR="00225CE2" w:rsidRPr="00112300" w:rsidRDefault="00F778A8" w:rsidP="00225CE2">
      <w:pPr>
        <w:numPr>
          <w:ilvl w:val="0"/>
          <w:numId w:val="3"/>
        </w:numPr>
        <w:ind w:left="0" w:firstLine="0"/>
        <w:jc w:val="both"/>
        <w:rPr>
          <w:rFonts w:ascii="Verdana" w:hAnsi="Verdana"/>
          <w:b/>
          <w:sz w:val="20"/>
          <w:szCs w:val="20"/>
          <w:lang w:val="es-ES"/>
        </w:rPr>
      </w:pPr>
      <w:r w:rsidRPr="00112300">
        <w:rPr>
          <w:rFonts w:ascii="Verdana" w:hAnsi="Verdana"/>
          <w:sz w:val="20"/>
          <w:szCs w:val="20"/>
          <w:lang w:val="es-ES"/>
        </w:rPr>
        <w:t>La</w:t>
      </w:r>
      <w:r w:rsidR="00556364" w:rsidRPr="00112300">
        <w:rPr>
          <w:rFonts w:ascii="Verdana" w:hAnsi="Verdana"/>
          <w:sz w:val="20"/>
          <w:szCs w:val="20"/>
          <w:lang w:val="es-ES"/>
        </w:rPr>
        <w:t xml:space="preserve"> comunicación de 23 de febrero de 2023</w:t>
      </w:r>
      <w:r w:rsidR="00D5188D">
        <w:rPr>
          <w:rFonts w:ascii="Verdana" w:hAnsi="Verdana"/>
          <w:sz w:val="20"/>
          <w:szCs w:val="20"/>
          <w:lang w:val="es-ES"/>
        </w:rPr>
        <w:t>,</w:t>
      </w:r>
      <w:r w:rsidR="00556364" w:rsidRPr="00112300">
        <w:rPr>
          <w:rFonts w:ascii="Verdana" w:hAnsi="Verdana"/>
          <w:sz w:val="20"/>
          <w:szCs w:val="20"/>
          <w:lang w:val="es-ES"/>
        </w:rPr>
        <w:t xml:space="preserve"> mediante la cual la Comisión remitió sus observaciones,</w:t>
      </w:r>
      <w:r w:rsidR="002B3576" w:rsidRPr="00112300">
        <w:rPr>
          <w:rFonts w:ascii="Verdana" w:hAnsi="Verdana"/>
          <w:sz w:val="20"/>
          <w:szCs w:val="20"/>
          <w:lang w:val="es-ES"/>
        </w:rPr>
        <w:t xml:space="preserve"> </w:t>
      </w:r>
      <w:r w:rsidR="00556364" w:rsidRPr="00112300">
        <w:rPr>
          <w:rFonts w:ascii="Verdana" w:hAnsi="Verdana"/>
          <w:sz w:val="20"/>
          <w:szCs w:val="20"/>
          <w:lang w:val="es-ES"/>
        </w:rPr>
        <w:t xml:space="preserve">y la </w:t>
      </w:r>
      <w:r w:rsidR="00D5188D">
        <w:rPr>
          <w:rFonts w:ascii="Verdana" w:hAnsi="Verdana"/>
          <w:sz w:val="20"/>
          <w:szCs w:val="20"/>
          <w:lang w:val="es-ES"/>
        </w:rPr>
        <w:t>n</w:t>
      </w:r>
      <w:r w:rsidR="00556364" w:rsidRPr="00112300">
        <w:rPr>
          <w:rFonts w:ascii="Verdana" w:hAnsi="Verdana"/>
          <w:sz w:val="20"/>
          <w:szCs w:val="20"/>
          <w:lang w:val="es-ES"/>
        </w:rPr>
        <w:t xml:space="preserve">ota de la Secretaría de 7 de marzo de 2023 mediante la cual </w:t>
      </w:r>
      <w:r w:rsidR="005D21F6" w:rsidRPr="00112300">
        <w:rPr>
          <w:rFonts w:ascii="Verdana" w:hAnsi="Verdana"/>
          <w:sz w:val="20"/>
          <w:szCs w:val="20"/>
          <w:lang w:val="es-ES"/>
        </w:rPr>
        <w:t>se dio traslado a la comunicación de la Comisión y se dejó constancia de que el Estado no presentó las observaciones requeridas dentro del plazo otorgado al efecto.</w:t>
      </w:r>
      <w:r w:rsidR="00E517F8">
        <w:rPr>
          <w:rFonts w:ascii="Verdana" w:hAnsi="Verdana"/>
          <w:sz w:val="20"/>
          <w:szCs w:val="20"/>
          <w:lang w:val="es-ES"/>
        </w:rPr>
        <w:t xml:space="preserve"> </w:t>
      </w:r>
    </w:p>
    <w:p w14:paraId="0F478AF7" w14:textId="77777777" w:rsidR="00630C59" w:rsidRPr="00112300" w:rsidRDefault="00630C59" w:rsidP="00630C59">
      <w:pPr>
        <w:pStyle w:val="Prrafodelista"/>
        <w:rPr>
          <w:rFonts w:ascii="Verdana" w:hAnsi="Verdana"/>
          <w:b/>
          <w:sz w:val="20"/>
          <w:szCs w:val="20"/>
          <w:lang w:val="es-ES"/>
        </w:rPr>
      </w:pPr>
    </w:p>
    <w:p w14:paraId="51218DBE" w14:textId="36746BBF" w:rsidR="00630C59" w:rsidRPr="00112300" w:rsidRDefault="00630C59" w:rsidP="00225CE2">
      <w:pPr>
        <w:numPr>
          <w:ilvl w:val="0"/>
          <w:numId w:val="3"/>
        </w:numPr>
        <w:ind w:left="0" w:firstLine="0"/>
        <w:jc w:val="both"/>
        <w:rPr>
          <w:rFonts w:ascii="Verdana" w:hAnsi="Verdana"/>
          <w:b/>
          <w:sz w:val="20"/>
          <w:szCs w:val="20"/>
          <w:lang w:val="es-ES"/>
        </w:rPr>
      </w:pPr>
      <w:r w:rsidRPr="00112300">
        <w:rPr>
          <w:rFonts w:ascii="Verdana" w:hAnsi="Verdana"/>
          <w:bCs/>
          <w:sz w:val="20"/>
          <w:szCs w:val="20"/>
          <w:lang w:val="es-ES"/>
        </w:rPr>
        <w:t xml:space="preserve">La </w:t>
      </w:r>
      <w:r w:rsidR="00D5188D">
        <w:rPr>
          <w:rFonts w:ascii="Verdana" w:hAnsi="Verdana"/>
          <w:bCs/>
          <w:sz w:val="20"/>
          <w:szCs w:val="20"/>
          <w:lang w:val="es-ES"/>
        </w:rPr>
        <w:t>n</w:t>
      </w:r>
      <w:r w:rsidRPr="00112300">
        <w:rPr>
          <w:rFonts w:ascii="Verdana" w:hAnsi="Verdana"/>
          <w:bCs/>
          <w:sz w:val="20"/>
          <w:szCs w:val="20"/>
          <w:lang w:val="es-ES"/>
        </w:rPr>
        <w:t>ota de la Secretaría de 29 de mayo de 2023</w:t>
      </w:r>
      <w:r w:rsidR="00D5188D">
        <w:rPr>
          <w:rFonts w:ascii="Verdana" w:hAnsi="Verdana"/>
          <w:bCs/>
          <w:sz w:val="20"/>
          <w:szCs w:val="20"/>
          <w:lang w:val="es-ES"/>
        </w:rPr>
        <w:t>,</w:t>
      </w:r>
      <w:r w:rsidRPr="00112300">
        <w:rPr>
          <w:rFonts w:ascii="Verdana" w:hAnsi="Verdana"/>
          <w:bCs/>
          <w:sz w:val="20"/>
          <w:szCs w:val="20"/>
          <w:lang w:val="es-ES"/>
        </w:rPr>
        <w:t xml:space="preserve"> mediante la cual se concedió un plazo a los representantes para que remitieran “información actualizada y con mayor detalle sobre la situación </w:t>
      </w:r>
      <w:r w:rsidR="007E4C70" w:rsidRPr="00112300">
        <w:rPr>
          <w:rFonts w:ascii="Verdana" w:hAnsi="Verdana"/>
          <w:bCs/>
          <w:sz w:val="20"/>
          <w:szCs w:val="20"/>
          <w:lang w:val="es-ES"/>
        </w:rPr>
        <w:t>de las personas beneficiarias de las presente</w:t>
      </w:r>
      <w:r w:rsidR="00DA041F">
        <w:rPr>
          <w:rFonts w:ascii="Verdana" w:hAnsi="Verdana"/>
          <w:bCs/>
          <w:sz w:val="20"/>
          <w:szCs w:val="20"/>
          <w:lang w:val="es-ES"/>
        </w:rPr>
        <w:t>s</w:t>
      </w:r>
      <w:r w:rsidR="007E4C70" w:rsidRPr="00112300">
        <w:rPr>
          <w:rFonts w:ascii="Verdana" w:hAnsi="Verdana"/>
          <w:bCs/>
          <w:sz w:val="20"/>
          <w:szCs w:val="20"/>
          <w:lang w:val="es-ES"/>
        </w:rPr>
        <w:t xml:space="preserve"> medidas</w:t>
      </w:r>
      <w:r w:rsidRPr="00112300">
        <w:rPr>
          <w:rFonts w:ascii="Verdana" w:hAnsi="Verdana"/>
          <w:bCs/>
          <w:sz w:val="20"/>
          <w:szCs w:val="20"/>
          <w:lang w:val="es-ES"/>
        </w:rPr>
        <w:t>”</w:t>
      </w:r>
      <w:r w:rsidR="007E4C70" w:rsidRPr="00112300">
        <w:rPr>
          <w:rFonts w:ascii="Verdana" w:hAnsi="Verdana"/>
          <w:bCs/>
          <w:sz w:val="20"/>
          <w:szCs w:val="20"/>
          <w:lang w:val="es-ES"/>
        </w:rPr>
        <w:t xml:space="preserve">, </w:t>
      </w:r>
      <w:r w:rsidR="00683656" w:rsidRPr="00112300">
        <w:rPr>
          <w:rFonts w:ascii="Verdana" w:hAnsi="Verdana"/>
          <w:bCs/>
          <w:sz w:val="20"/>
          <w:szCs w:val="20"/>
          <w:lang w:val="es-ES"/>
        </w:rPr>
        <w:t>así como “cualquier otro tipo de información</w:t>
      </w:r>
      <w:r w:rsidR="00F0737F" w:rsidRPr="00112300">
        <w:rPr>
          <w:rFonts w:ascii="Verdana" w:hAnsi="Verdana"/>
          <w:bCs/>
          <w:sz w:val="20"/>
          <w:szCs w:val="20"/>
          <w:lang w:val="es-ES"/>
        </w:rPr>
        <w:t xml:space="preserve"> adicional o documentación que consideren pertinente en el marco de las referidas medidas</w:t>
      </w:r>
      <w:r w:rsidR="00683656" w:rsidRPr="00112300">
        <w:rPr>
          <w:rFonts w:ascii="Verdana" w:hAnsi="Verdana"/>
          <w:bCs/>
          <w:sz w:val="20"/>
          <w:szCs w:val="20"/>
          <w:lang w:val="es-ES"/>
        </w:rPr>
        <w:t>”</w:t>
      </w:r>
      <w:r w:rsidR="00F0737F" w:rsidRPr="00112300">
        <w:rPr>
          <w:rFonts w:ascii="Verdana" w:hAnsi="Verdana"/>
          <w:bCs/>
          <w:sz w:val="20"/>
          <w:szCs w:val="20"/>
          <w:lang w:val="es-ES"/>
        </w:rPr>
        <w:t xml:space="preserve">. </w:t>
      </w:r>
    </w:p>
    <w:p w14:paraId="26FBFF5D" w14:textId="77777777" w:rsidR="00F37CD8" w:rsidRPr="00112300" w:rsidRDefault="00F37CD8" w:rsidP="00F37CD8">
      <w:pPr>
        <w:pStyle w:val="Prrafodelista"/>
        <w:rPr>
          <w:rFonts w:ascii="Verdana" w:hAnsi="Verdana"/>
          <w:b/>
          <w:sz w:val="20"/>
          <w:szCs w:val="20"/>
          <w:lang w:val="es-ES"/>
        </w:rPr>
      </w:pPr>
    </w:p>
    <w:p w14:paraId="7A68F13F" w14:textId="74A20A4D" w:rsidR="00F37CD8" w:rsidRPr="00112300" w:rsidRDefault="00F37CD8" w:rsidP="00225CE2">
      <w:pPr>
        <w:numPr>
          <w:ilvl w:val="0"/>
          <w:numId w:val="3"/>
        </w:numPr>
        <w:ind w:left="0" w:firstLine="0"/>
        <w:jc w:val="both"/>
        <w:rPr>
          <w:rFonts w:ascii="Verdana" w:hAnsi="Verdana"/>
          <w:bCs/>
          <w:sz w:val="20"/>
          <w:szCs w:val="20"/>
          <w:lang w:val="es-ES"/>
        </w:rPr>
      </w:pPr>
      <w:r w:rsidRPr="00112300">
        <w:rPr>
          <w:rFonts w:ascii="Verdana" w:hAnsi="Verdana"/>
          <w:bCs/>
          <w:sz w:val="20"/>
          <w:szCs w:val="20"/>
          <w:lang w:val="es-ES"/>
        </w:rPr>
        <w:t>El escrito de 5 de junio de 2023</w:t>
      </w:r>
      <w:r w:rsidR="0019426F" w:rsidRPr="00112300">
        <w:rPr>
          <w:rFonts w:ascii="Verdana" w:hAnsi="Verdana"/>
          <w:bCs/>
          <w:sz w:val="20"/>
          <w:szCs w:val="20"/>
          <w:lang w:val="es-ES"/>
        </w:rPr>
        <w:t xml:space="preserve"> y sus anexos</w:t>
      </w:r>
      <w:r w:rsidR="00D5188D">
        <w:rPr>
          <w:rFonts w:ascii="Verdana" w:hAnsi="Verdana"/>
          <w:bCs/>
          <w:sz w:val="20"/>
          <w:szCs w:val="20"/>
          <w:lang w:val="es-ES"/>
        </w:rPr>
        <w:t>,</w:t>
      </w:r>
      <w:r w:rsidR="0019426F" w:rsidRPr="00112300">
        <w:rPr>
          <w:rFonts w:ascii="Verdana" w:hAnsi="Verdana"/>
          <w:bCs/>
          <w:sz w:val="20"/>
          <w:szCs w:val="20"/>
          <w:lang w:val="es-ES"/>
        </w:rPr>
        <w:t xml:space="preserve"> mediante l</w:t>
      </w:r>
      <w:r w:rsidR="00D5188D">
        <w:rPr>
          <w:rFonts w:ascii="Verdana" w:hAnsi="Verdana"/>
          <w:bCs/>
          <w:sz w:val="20"/>
          <w:szCs w:val="20"/>
          <w:lang w:val="es-ES"/>
        </w:rPr>
        <w:t>os</w:t>
      </w:r>
      <w:r w:rsidR="0019426F" w:rsidRPr="00112300">
        <w:rPr>
          <w:rFonts w:ascii="Verdana" w:hAnsi="Verdana"/>
          <w:bCs/>
          <w:sz w:val="20"/>
          <w:szCs w:val="20"/>
          <w:lang w:val="es-ES"/>
        </w:rPr>
        <w:t xml:space="preserve"> cual</w:t>
      </w:r>
      <w:r w:rsidR="00D5188D">
        <w:rPr>
          <w:rFonts w:ascii="Verdana" w:hAnsi="Verdana"/>
          <w:bCs/>
          <w:sz w:val="20"/>
          <w:szCs w:val="20"/>
          <w:lang w:val="es-ES"/>
        </w:rPr>
        <w:t>es</w:t>
      </w:r>
      <w:r w:rsidR="0019426F" w:rsidRPr="00112300">
        <w:rPr>
          <w:rFonts w:ascii="Verdana" w:hAnsi="Verdana"/>
          <w:bCs/>
          <w:sz w:val="20"/>
          <w:szCs w:val="20"/>
          <w:lang w:val="es-ES"/>
        </w:rPr>
        <w:t xml:space="preserve"> los representantes de CENIDH </w:t>
      </w:r>
      <w:r w:rsidR="009D00D9" w:rsidRPr="00112300">
        <w:rPr>
          <w:rFonts w:ascii="Verdana" w:hAnsi="Verdana"/>
          <w:bCs/>
          <w:sz w:val="20"/>
          <w:szCs w:val="20"/>
          <w:lang w:val="es-ES"/>
        </w:rPr>
        <w:t xml:space="preserve">brindaron información actualizada sobre </w:t>
      </w:r>
      <w:r w:rsidR="00D57B93" w:rsidRPr="00112300">
        <w:rPr>
          <w:rFonts w:ascii="Verdana" w:hAnsi="Verdana"/>
          <w:bCs/>
          <w:sz w:val="20"/>
          <w:szCs w:val="20"/>
          <w:lang w:val="es-ES"/>
        </w:rPr>
        <w:t xml:space="preserve">la situación de los beneficiarios </w:t>
      </w:r>
      <w:r w:rsidR="00474003" w:rsidRPr="00112300">
        <w:rPr>
          <w:rFonts w:ascii="Verdana" w:hAnsi="Verdana"/>
          <w:bCs/>
          <w:sz w:val="20"/>
          <w:szCs w:val="20"/>
          <w:lang w:val="es-ES"/>
        </w:rPr>
        <w:t xml:space="preserve">y </w:t>
      </w:r>
      <w:r w:rsidR="00225C99" w:rsidRPr="00112300">
        <w:rPr>
          <w:rFonts w:ascii="Verdana" w:hAnsi="Verdana"/>
          <w:bCs/>
          <w:sz w:val="20"/>
          <w:szCs w:val="20"/>
          <w:lang w:val="es-ES"/>
        </w:rPr>
        <w:t xml:space="preserve">solicitaron que la Corte declarara al Estado de Nicaragua “en absoluto desacato” respecto del cumplimiento de las presentes medidas provisionales. </w:t>
      </w:r>
    </w:p>
    <w:p w14:paraId="2A4C1A01" w14:textId="77777777" w:rsidR="00FE661A" w:rsidRPr="00112300" w:rsidRDefault="00FE661A" w:rsidP="00FE661A">
      <w:pPr>
        <w:pStyle w:val="Prrafodelista"/>
        <w:rPr>
          <w:rFonts w:ascii="Verdana" w:hAnsi="Verdana"/>
          <w:sz w:val="20"/>
          <w:szCs w:val="20"/>
          <w:lang w:val="es-ES"/>
        </w:rPr>
      </w:pPr>
    </w:p>
    <w:p w14:paraId="3985CDFA" w14:textId="77777777" w:rsidR="007121D6" w:rsidRPr="00112300" w:rsidRDefault="007121D6" w:rsidP="003E1931">
      <w:pPr>
        <w:jc w:val="both"/>
        <w:rPr>
          <w:rFonts w:ascii="Verdana" w:eastAsia="Verdana" w:hAnsi="Verdana" w:cs="Verdana"/>
          <w:b/>
          <w:bCs/>
          <w:sz w:val="20"/>
          <w:szCs w:val="20"/>
          <w:lang w:val="es-ES"/>
        </w:rPr>
      </w:pPr>
      <w:r w:rsidRPr="00112300">
        <w:rPr>
          <w:rFonts w:ascii="Verdana" w:eastAsia="Verdana" w:hAnsi="Verdana" w:cs="Verdana"/>
          <w:b/>
          <w:bCs/>
          <w:sz w:val="20"/>
          <w:szCs w:val="20"/>
          <w:lang w:val="es-ES"/>
        </w:rPr>
        <w:t>CONSIDERANDO QUE:</w:t>
      </w:r>
    </w:p>
    <w:p w14:paraId="53E4B4F8" w14:textId="77777777" w:rsidR="00F744E6" w:rsidRPr="00112300" w:rsidRDefault="00F744E6" w:rsidP="003E1931">
      <w:pPr>
        <w:jc w:val="both"/>
        <w:rPr>
          <w:rFonts w:ascii="Verdana" w:eastAsia="Verdana" w:hAnsi="Verdana" w:cs="Verdana"/>
          <w:b/>
          <w:bCs/>
          <w:sz w:val="20"/>
          <w:szCs w:val="20"/>
          <w:lang w:val="es-ES"/>
        </w:rPr>
      </w:pPr>
    </w:p>
    <w:p w14:paraId="05049274" w14:textId="77777777" w:rsidR="00965FCC" w:rsidRPr="00112300" w:rsidRDefault="00965FCC" w:rsidP="00965FCC">
      <w:pPr>
        <w:numPr>
          <w:ilvl w:val="0"/>
          <w:numId w:val="25"/>
        </w:numPr>
        <w:ind w:left="0" w:firstLine="0"/>
        <w:jc w:val="both"/>
        <w:rPr>
          <w:rFonts w:ascii="Verdana" w:hAnsi="Verdana"/>
          <w:sz w:val="20"/>
          <w:szCs w:val="20"/>
        </w:rPr>
      </w:pPr>
      <w:r w:rsidRPr="00112300">
        <w:rPr>
          <w:rFonts w:ascii="Verdana" w:hAnsi="Verdana"/>
          <w:sz w:val="20"/>
          <w:szCs w:val="20"/>
        </w:rPr>
        <w:t>Nicaragua ratificó la Convención Americana sobre Derechos Humanos el 25 de septiembre de 1979 y, de acuerdo con su artículo 62, reconoció la competencia contenciosa de la Corte el 12 de febrero de 1991.</w:t>
      </w:r>
    </w:p>
    <w:p w14:paraId="1B7328AF" w14:textId="77777777" w:rsidR="00965FCC" w:rsidRPr="00112300" w:rsidRDefault="00965FCC" w:rsidP="00965FCC">
      <w:pPr>
        <w:jc w:val="both"/>
        <w:rPr>
          <w:rFonts w:ascii="Verdana" w:hAnsi="Verdana"/>
          <w:sz w:val="20"/>
          <w:szCs w:val="20"/>
        </w:rPr>
      </w:pPr>
    </w:p>
    <w:p w14:paraId="2BEC926C" w14:textId="645A380D" w:rsidR="00965FCC" w:rsidRPr="00112300" w:rsidRDefault="00965FCC" w:rsidP="00965FCC">
      <w:pPr>
        <w:numPr>
          <w:ilvl w:val="0"/>
          <w:numId w:val="25"/>
        </w:numPr>
        <w:ind w:left="0" w:firstLine="0"/>
        <w:jc w:val="both"/>
        <w:rPr>
          <w:rFonts w:ascii="Verdana" w:hAnsi="Verdana"/>
          <w:sz w:val="20"/>
          <w:szCs w:val="20"/>
        </w:rPr>
      </w:pPr>
      <w:r w:rsidRPr="00112300">
        <w:rPr>
          <w:rFonts w:ascii="Verdana" w:hAnsi="Verdana"/>
          <w:sz w:val="20"/>
          <w:szCs w:val="20"/>
        </w:rPr>
        <w:t>Las medidas provisionales tienen un carácter no solo cautelar, en el sentido que preservan una situación jurídica, sino fundamentalmente tutelar, pues protegen derechos humanos al evitar daños irreparables a las personas</w:t>
      </w:r>
      <w:r w:rsidR="007152F2" w:rsidRPr="00112300">
        <w:rPr>
          <w:rStyle w:val="Refdenotaalpie"/>
          <w:rFonts w:ascii="Verdana" w:hAnsi="Verdana"/>
          <w:sz w:val="20"/>
          <w:szCs w:val="20"/>
        </w:rPr>
        <w:footnoteReference w:id="13"/>
      </w:r>
      <w:r w:rsidRPr="00112300">
        <w:rPr>
          <w:rFonts w:ascii="Verdana" w:hAnsi="Verdana"/>
          <w:sz w:val="20"/>
          <w:szCs w:val="20"/>
        </w:rPr>
        <w:t>. Respecto al carácter cautelar, las medidas provisionales tienen por objeto y fin preservar los derechos en posible riesgo hasta que se resuelva la controversia</w:t>
      </w:r>
      <w:r w:rsidR="007152F2" w:rsidRPr="00112300">
        <w:rPr>
          <w:rStyle w:val="Refdenotaalpie"/>
          <w:rFonts w:ascii="Verdana" w:hAnsi="Verdana"/>
          <w:sz w:val="20"/>
          <w:szCs w:val="20"/>
        </w:rPr>
        <w:footnoteReference w:id="14"/>
      </w:r>
      <w:r w:rsidRPr="00112300">
        <w:rPr>
          <w:rFonts w:ascii="Verdana" w:hAnsi="Verdana"/>
          <w:sz w:val="20"/>
          <w:szCs w:val="20"/>
        </w:rPr>
        <w:t>.</w:t>
      </w:r>
    </w:p>
    <w:p w14:paraId="4363D9A0" w14:textId="77777777" w:rsidR="00965FCC" w:rsidRPr="00112300" w:rsidRDefault="00965FCC" w:rsidP="00965FCC">
      <w:pPr>
        <w:jc w:val="both"/>
        <w:rPr>
          <w:rFonts w:ascii="Verdana" w:hAnsi="Verdana"/>
          <w:sz w:val="20"/>
          <w:szCs w:val="20"/>
        </w:rPr>
      </w:pPr>
    </w:p>
    <w:p w14:paraId="792157BF" w14:textId="21012136" w:rsidR="009959E7" w:rsidRPr="00112300" w:rsidRDefault="009959E7" w:rsidP="009959E7">
      <w:pPr>
        <w:numPr>
          <w:ilvl w:val="0"/>
          <w:numId w:val="25"/>
        </w:numPr>
        <w:ind w:left="0" w:firstLine="0"/>
        <w:jc w:val="both"/>
        <w:rPr>
          <w:rFonts w:ascii="Verdana" w:hAnsi="Verdana"/>
          <w:sz w:val="20"/>
          <w:szCs w:val="20"/>
        </w:rPr>
      </w:pPr>
      <w:r w:rsidRPr="00112300">
        <w:rPr>
          <w:rFonts w:ascii="Verdana" w:hAnsi="Verdana"/>
          <w:sz w:val="20"/>
          <w:szCs w:val="20"/>
        </w:rPr>
        <w:t>El artículo 63.2 de la Convención Americana dispone que, “[e]n casos de extrema gravedad y urgencia, y cuando se haga necesario evitar daños irreparables a las personas, la Corte, en los asuntos que esté conociendo, podrá tomar las medidas provisionales que considere pertinentes. Si se tratare de asuntos que aún no estén sometidos a su conocimiento, podrá actuar a solicitud de la Comisión”. La orden de adoptar medidas es aplicable siempre y cuando se reúnan los requisitos básicos de extrema gravedad y urgencia y de la necesidad de prevención de daños irreparables a las personas. Estos tres requisitos son coexistentes y deben persistir para que la Corte mantenga la protección ordenada</w:t>
      </w:r>
      <w:r w:rsidRPr="00112300">
        <w:rPr>
          <w:rStyle w:val="Refdenotaalpie"/>
          <w:rFonts w:ascii="Verdana" w:hAnsi="Verdana"/>
          <w:sz w:val="20"/>
          <w:szCs w:val="20"/>
        </w:rPr>
        <w:footnoteReference w:id="15"/>
      </w:r>
      <w:r w:rsidRPr="00112300">
        <w:rPr>
          <w:rFonts w:ascii="Verdana" w:hAnsi="Verdana"/>
          <w:sz w:val="20"/>
          <w:szCs w:val="20"/>
        </w:rPr>
        <w:t>.</w:t>
      </w:r>
    </w:p>
    <w:p w14:paraId="0F303606" w14:textId="77777777" w:rsidR="009959E7" w:rsidRPr="00112300" w:rsidRDefault="009959E7" w:rsidP="009959E7">
      <w:pPr>
        <w:jc w:val="both"/>
        <w:rPr>
          <w:rFonts w:ascii="Verdana" w:hAnsi="Verdana"/>
          <w:sz w:val="20"/>
          <w:szCs w:val="20"/>
        </w:rPr>
      </w:pPr>
    </w:p>
    <w:p w14:paraId="47952C91" w14:textId="77777777" w:rsidR="009959E7" w:rsidRPr="00112300" w:rsidRDefault="009959E7" w:rsidP="009959E7">
      <w:pPr>
        <w:numPr>
          <w:ilvl w:val="0"/>
          <w:numId w:val="25"/>
        </w:numPr>
        <w:ind w:left="0" w:firstLine="0"/>
        <w:jc w:val="both"/>
        <w:rPr>
          <w:rFonts w:ascii="Verdana" w:hAnsi="Verdana"/>
          <w:sz w:val="20"/>
          <w:szCs w:val="20"/>
        </w:rPr>
      </w:pPr>
      <w:r w:rsidRPr="00112300">
        <w:rPr>
          <w:rFonts w:ascii="Verdana" w:hAnsi="Verdana"/>
          <w:sz w:val="20"/>
          <w:szCs w:val="20"/>
        </w:rPr>
        <w:t>La disposición establecida en el artículo 63.2 de la Convención confiere un carácter obligatorio a las medidas provisionales que ordena este Tribunal, ya que el principio básico del Derecho Internacional, respaldado por la jurisprudencia internacional, ha señalado que los Estados deben cumplir sus obligaciones convencionales de buena fe (</w:t>
      </w:r>
      <w:r w:rsidRPr="00112300">
        <w:rPr>
          <w:rFonts w:ascii="Verdana" w:hAnsi="Verdana"/>
          <w:i/>
          <w:sz w:val="20"/>
          <w:szCs w:val="20"/>
        </w:rPr>
        <w:t>pacta sunt servanda</w:t>
      </w:r>
      <w:r w:rsidRPr="00112300">
        <w:rPr>
          <w:rFonts w:ascii="Verdana" w:hAnsi="Verdana"/>
          <w:sz w:val="20"/>
          <w:szCs w:val="20"/>
        </w:rPr>
        <w:t>)</w:t>
      </w:r>
      <w:r w:rsidRPr="00112300">
        <w:rPr>
          <w:rStyle w:val="Refdenotaalpie"/>
          <w:rFonts w:ascii="Verdana" w:hAnsi="Verdana"/>
          <w:sz w:val="20"/>
          <w:szCs w:val="20"/>
        </w:rPr>
        <w:footnoteReference w:id="16"/>
      </w:r>
      <w:r w:rsidRPr="00112300">
        <w:rPr>
          <w:rFonts w:ascii="Verdana" w:hAnsi="Verdana"/>
          <w:sz w:val="20"/>
          <w:szCs w:val="20"/>
        </w:rPr>
        <w:t>. Estas órdenes implican un deber especial de protección de los beneficiarios de las medidas, mientras se encuentren vigentes, y su incumplimiento puede generar responsabilidad internacional del Estado</w:t>
      </w:r>
      <w:r w:rsidRPr="00112300">
        <w:rPr>
          <w:rStyle w:val="Refdenotaalpie"/>
          <w:rFonts w:ascii="Verdana" w:hAnsi="Verdana"/>
          <w:sz w:val="20"/>
          <w:szCs w:val="20"/>
        </w:rPr>
        <w:footnoteReference w:id="17"/>
      </w:r>
      <w:r w:rsidRPr="00112300">
        <w:rPr>
          <w:rFonts w:ascii="Verdana" w:hAnsi="Verdana"/>
          <w:sz w:val="20"/>
          <w:szCs w:val="20"/>
        </w:rPr>
        <w:t>.</w:t>
      </w:r>
    </w:p>
    <w:p w14:paraId="40DB8CD8" w14:textId="77777777" w:rsidR="009959E7" w:rsidRPr="00112300" w:rsidRDefault="009959E7" w:rsidP="009959E7">
      <w:pPr>
        <w:jc w:val="both"/>
        <w:rPr>
          <w:rFonts w:ascii="Verdana" w:hAnsi="Verdana"/>
          <w:sz w:val="20"/>
          <w:szCs w:val="20"/>
        </w:rPr>
      </w:pPr>
    </w:p>
    <w:p w14:paraId="41B70FF6" w14:textId="45EB7C4F" w:rsidR="009959E7" w:rsidRPr="00112300" w:rsidRDefault="009959E7" w:rsidP="009959E7">
      <w:pPr>
        <w:numPr>
          <w:ilvl w:val="0"/>
          <w:numId w:val="25"/>
        </w:numPr>
        <w:ind w:left="0" w:firstLine="0"/>
        <w:jc w:val="both"/>
        <w:rPr>
          <w:rFonts w:ascii="Verdana" w:hAnsi="Verdana"/>
          <w:sz w:val="20"/>
          <w:szCs w:val="20"/>
        </w:rPr>
      </w:pPr>
      <w:r w:rsidRPr="00112300">
        <w:rPr>
          <w:rFonts w:ascii="Verdana" w:hAnsi="Verdana"/>
          <w:sz w:val="20"/>
          <w:szCs w:val="20"/>
        </w:rPr>
        <w:t xml:space="preserve">El Tribunal recuerda que las medidas provisionales ordenadas por el Pleno de la Corte el 14 de octubre de 2019 (ver </w:t>
      </w:r>
      <w:r w:rsidRPr="00112300">
        <w:rPr>
          <w:rFonts w:ascii="Verdana" w:hAnsi="Verdana"/>
          <w:i/>
          <w:sz w:val="20"/>
          <w:szCs w:val="20"/>
        </w:rPr>
        <w:t>supra</w:t>
      </w:r>
      <w:r w:rsidRPr="00112300">
        <w:rPr>
          <w:rFonts w:ascii="Verdana" w:hAnsi="Verdana"/>
          <w:sz w:val="20"/>
          <w:szCs w:val="20"/>
        </w:rPr>
        <w:t xml:space="preserve"> Visto </w:t>
      </w:r>
      <w:r w:rsidR="004E5F01" w:rsidRPr="00112300">
        <w:rPr>
          <w:rFonts w:ascii="Verdana" w:hAnsi="Verdana"/>
          <w:sz w:val="20"/>
          <w:szCs w:val="20"/>
        </w:rPr>
        <w:t>2</w:t>
      </w:r>
      <w:r w:rsidRPr="00112300">
        <w:rPr>
          <w:rFonts w:ascii="Verdana" w:hAnsi="Verdana"/>
          <w:sz w:val="20"/>
          <w:szCs w:val="20"/>
        </w:rPr>
        <w:t xml:space="preserve">) tienen como objetivo garantizar eficazmente la vida y la integridad personal de las y los integrantes del </w:t>
      </w:r>
      <w:r w:rsidRPr="00112300">
        <w:rPr>
          <w:rFonts w:ascii="Verdana" w:hAnsi="Verdana"/>
          <w:sz w:val="20"/>
          <w:szCs w:val="20"/>
          <w:lang w:val="es-ES"/>
        </w:rPr>
        <w:t xml:space="preserve">CENIDH y de la CPDH, así como asegurar la continuidad de sus labores en </w:t>
      </w:r>
      <w:r w:rsidRPr="00112300">
        <w:rPr>
          <w:rFonts w:ascii="Verdana" w:eastAsia="Calibri" w:hAnsi="Verdana" w:cs="Cambria"/>
          <w:sz w:val="20"/>
          <w:szCs w:val="20"/>
          <w:lang w:val="es-CR"/>
        </w:rPr>
        <w:t>defensa</w:t>
      </w:r>
      <w:r w:rsidRPr="00112300">
        <w:rPr>
          <w:rFonts w:ascii="Verdana" w:hAnsi="Verdana"/>
          <w:sz w:val="20"/>
          <w:szCs w:val="20"/>
          <w:lang w:val="es-ES"/>
        </w:rPr>
        <w:t xml:space="preserve"> de los derechos humanos sin ser objeto de hostigamientos, amenazas o agresiones.</w:t>
      </w:r>
    </w:p>
    <w:p w14:paraId="26EC33E0" w14:textId="77777777" w:rsidR="009959E7" w:rsidRPr="00112300" w:rsidRDefault="009959E7" w:rsidP="009959E7">
      <w:pPr>
        <w:jc w:val="both"/>
        <w:rPr>
          <w:rFonts w:ascii="Verdana" w:hAnsi="Verdana"/>
          <w:sz w:val="20"/>
          <w:szCs w:val="20"/>
        </w:rPr>
      </w:pPr>
    </w:p>
    <w:p w14:paraId="571DEDCB" w14:textId="6AFF173B" w:rsidR="000848CE" w:rsidRPr="00112300" w:rsidRDefault="00AA55AE" w:rsidP="000848CE">
      <w:pPr>
        <w:numPr>
          <w:ilvl w:val="0"/>
          <w:numId w:val="25"/>
        </w:numPr>
        <w:ind w:left="0" w:firstLine="0"/>
        <w:jc w:val="both"/>
        <w:rPr>
          <w:rFonts w:ascii="Verdana" w:hAnsi="Verdana"/>
          <w:sz w:val="20"/>
          <w:szCs w:val="20"/>
        </w:rPr>
      </w:pPr>
      <w:r w:rsidRPr="00112300">
        <w:rPr>
          <w:rFonts w:ascii="Verdana" w:hAnsi="Verdana"/>
          <w:sz w:val="20"/>
          <w:szCs w:val="20"/>
        </w:rPr>
        <w:t xml:space="preserve">De </w:t>
      </w:r>
      <w:r w:rsidR="00E94704" w:rsidRPr="00112300">
        <w:rPr>
          <w:rFonts w:ascii="Verdana" w:hAnsi="Verdana"/>
          <w:sz w:val="20"/>
          <w:szCs w:val="20"/>
          <w:lang w:val="es-CR"/>
        </w:rPr>
        <w:t xml:space="preserve">conformidad con </w:t>
      </w:r>
      <w:r w:rsidR="005E3CB6" w:rsidRPr="00112300">
        <w:rPr>
          <w:rFonts w:ascii="Verdana" w:hAnsi="Verdana"/>
          <w:sz w:val="20"/>
          <w:szCs w:val="20"/>
          <w:lang w:val="es-CR"/>
        </w:rPr>
        <w:t>el escrito de 16 de febrero de 2023</w:t>
      </w:r>
      <w:r w:rsidR="00831FB0" w:rsidRPr="00112300">
        <w:rPr>
          <w:rFonts w:ascii="Verdana" w:hAnsi="Verdana"/>
          <w:sz w:val="20"/>
          <w:szCs w:val="20"/>
          <w:lang w:val="es-CR"/>
        </w:rPr>
        <w:t>, así como con los posteriores</w:t>
      </w:r>
      <w:r w:rsidR="009214AD" w:rsidRPr="00112300">
        <w:rPr>
          <w:rFonts w:ascii="Verdana" w:hAnsi="Verdana"/>
          <w:sz w:val="20"/>
          <w:szCs w:val="20"/>
          <w:lang w:val="es-CR"/>
        </w:rPr>
        <w:t xml:space="preserve"> escritos</w:t>
      </w:r>
      <w:r w:rsidR="00831FB0" w:rsidRPr="00112300">
        <w:rPr>
          <w:rFonts w:ascii="Verdana" w:hAnsi="Verdana"/>
          <w:sz w:val="20"/>
          <w:szCs w:val="20"/>
          <w:lang w:val="es-CR"/>
        </w:rPr>
        <w:t xml:space="preserve"> presentados hasta la adopción de la presente </w:t>
      </w:r>
      <w:r w:rsidR="007D0503">
        <w:rPr>
          <w:rFonts w:ascii="Verdana" w:hAnsi="Verdana"/>
          <w:sz w:val="20"/>
          <w:szCs w:val="20"/>
          <w:lang w:val="es-CR"/>
        </w:rPr>
        <w:t>R</w:t>
      </w:r>
      <w:r w:rsidR="00831FB0" w:rsidRPr="00112300">
        <w:rPr>
          <w:rFonts w:ascii="Verdana" w:hAnsi="Verdana"/>
          <w:sz w:val="20"/>
          <w:szCs w:val="20"/>
          <w:lang w:val="es-CR"/>
        </w:rPr>
        <w:t>esolución (</w:t>
      </w:r>
      <w:r w:rsidR="00831FB0" w:rsidRPr="00112300">
        <w:rPr>
          <w:rFonts w:ascii="Verdana" w:hAnsi="Verdana"/>
          <w:i/>
          <w:iCs/>
          <w:sz w:val="20"/>
          <w:szCs w:val="20"/>
          <w:lang w:val="es-CR"/>
        </w:rPr>
        <w:t>supra</w:t>
      </w:r>
      <w:r w:rsidR="00831FB0" w:rsidRPr="00112300">
        <w:rPr>
          <w:rFonts w:ascii="Verdana" w:hAnsi="Verdana"/>
          <w:sz w:val="20"/>
          <w:szCs w:val="20"/>
          <w:lang w:val="es-CR"/>
        </w:rPr>
        <w:t xml:space="preserve"> Vistos </w:t>
      </w:r>
      <w:r w:rsidR="00907794">
        <w:rPr>
          <w:rFonts w:ascii="Verdana" w:hAnsi="Verdana"/>
          <w:sz w:val="20"/>
          <w:szCs w:val="20"/>
          <w:lang w:val="es-CR"/>
        </w:rPr>
        <w:t>12</w:t>
      </w:r>
      <w:r w:rsidR="00831FB0" w:rsidRPr="00112300">
        <w:rPr>
          <w:rFonts w:ascii="Verdana" w:hAnsi="Verdana"/>
          <w:sz w:val="20"/>
          <w:szCs w:val="20"/>
          <w:lang w:val="es-CR"/>
        </w:rPr>
        <w:t xml:space="preserve"> </w:t>
      </w:r>
      <w:r w:rsidR="00C65FBC" w:rsidRPr="00112300">
        <w:rPr>
          <w:rFonts w:ascii="Verdana" w:hAnsi="Verdana"/>
          <w:sz w:val="20"/>
          <w:szCs w:val="20"/>
          <w:lang w:val="es-CR"/>
        </w:rPr>
        <w:t>a</w:t>
      </w:r>
      <w:r w:rsidR="00831FB0" w:rsidRPr="00112300">
        <w:rPr>
          <w:rFonts w:ascii="Verdana" w:hAnsi="Verdana"/>
          <w:sz w:val="20"/>
          <w:szCs w:val="20"/>
          <w:lang w:val="es-CR"/>
        </w:rPr>
        <w:t xml:space="preserve"> </w:t>
      </w:r>
      <w:r w:rsidR="00907794">
        <w:rPr>
          <w:rFonts w:ascii="Verdana" w:hAnsi="Verdana"/>
          <w:sz w:val="20"/>
          <w:szCs w:val="20"/>
          <w:lang w:val="es-CR"/>
        </w:rPr>
        <w:t>15</w:t>
      </w:r>
      <w:r w:rsidR="00831FB0" w:rsidRPr="00112300">
        <w:rPr>
          <w:rFonts w:ascii="Verdana" w:hAnsi="Verdana"/>
          <w:sz w:val="20"/>
          <w:szCs w:val="20"/>
          <w:lang w:val="es-CR"/>
        </w:rPr>
        <w:t>)</w:t>
      </w:r>
      <w:r w:rsidR="00870886" w:rsidRPr="00112300">
        <w:rPr>
          <w:rFonts w:ascii="Verdana" w:hAnsi="Verdana"/>
          <w:sz w:val="20"/>
          <w:szCs w:val="20"/>
          <w:lang w:val="es-CR"/>
        </w:rPr>
        <w:t xml:space="preserve">, los representantes </w:t>
      </w:r>
      <w:r w:rsidR="000B1E76" w:rsidRPr="00112300">
        <w:rPr>
          <w:rFonts w:ascii="Verdana" w:hAnsi="Verdana"/>
          <w:sz w:val="20"/>
          <w:szCs w:val="20"/>
          <w:lang w:val="es-CR"/>
        </w:rPr>
        <w:t xml:space="preserve">solicitaron </w:t>
      </w:r>
      <w:r w:rsidR="00B6436C" w:rsidRPr="00112300">
        <w:rPr>
          <w:rFonts w:ascii="Verdana" w:hAnsi="Verdana"/>
          <w:sz w:val="20"/>
          <w:szCs w:val="20"/>
          <w:lang w:val="es-CR"/>
        </w:rPr>
        <w:t xml:space="preserve">que </w:t>
      </w:r>
      <w:r w:rsidR="007C28AE" w:rsidRPr="00112300">
        <w:rPr>
          <w:rFonts w:ascii="Verdana" w:hAnsi="Verdana"/>
          <w:sz w:val="20"/>
          <w:szCs w:val="20"/>
          <w:lang w:val="es-CR"/>
        </w:rPr>
        <w:t>este</w:t>
      </w:r>
      <w:r w:rsidR="00B6436C" w:rsidRPr="00112300">
        <w:rPr>
          <w:rFonts w:ascii="Verdana" w:hAnsi="Verdana"/>
          <w:sz w:val="20"/>
          <w:szCs w:val="20"/>
          <w:lang w:val="es-CR"/>
        </w:rPr>
        <w:t xml:space="preserve"> </w:t>
      </w:r>
      <w:r w:rsidR="007C28AE" w:rsidRPr="00112300">
        <w:rPr>
          <w:rFonts w:ascii="Verdana" w:hAnsi="Verdana"/>
          <w:sz w:val="20"/>
          <w:szCs w:val="20"/>
          <w:lang w:val="es-CR"/>
        </w:rPr>
        <w:t>Tribunal</w:t>
      </w:r>
      <w:r w:rsidR="00B6436C" w:rsidRPr="00112300">
        <w:rPr>
          <w:rFonts w:ascii="Verdana" w:hAnsi="Verdana"/>
          <w:sz w:val="20"/>
          <w:szCs w:val="20"/>
          <w:lang w:val="es-CR"/>
        </w:rPr>
        <w:t xml:space="preserve"> </w:t>
      </w:r>
      <w:r w:rsidR="007E7032" w:rsidRPr="00112300">
        <w:rPr>
          <w:rFonts w:ascii="Verdana" w:hAnsi="Verdana"/>
          <w:sz w:val="20"/>
          <w:szCs w:val="20"/>
          <w:lang w:val="es-CR"/>
        </w:rPr>
        <w:t>“[t]om</w:t>
      </w:r>
      <w:r w:rsidR="00E618A6" w:rsidRPr="00112300">
        <w:rPr>
          <w:rFonts w:ascii="Verdana" w:hAnsi="Verdana"/>
          <w:sz w:val="20"/>
          <w:szCs w:val="20"/>
          <w:lang w:val="es-CR"/>
        </w:rPr>
        <w:t>e</w:t>
      </w:r>
      <w:r w:rsidR="007E7032" w:rsidRPr="00112300">
        <w:rPr>
          <w:rFonts w:ascii="Verdana" w:hAnsi="Verdana"/>
          <w:sz w:val="20"/>
          <w:szCs w:val="20"/>
          <w:lang w:val="es-CR"/>
        </w:rPr>
        <w:t xml:space="preserve"> en cuenta la información presentada” a efectos de “</w:t>
      </w:r>
      <w:r w:rsidR="00151639" w:rsidRPr="00112300">
        <w:rPr>
          <w:rFonts w:ascii="Verdana" w:hAnsi="Verdana"/>
          <w:sz w:val="20"/>
          <w:szCs w:val="20"/>
          <w:lang w:val="es-CR"/>
        </w:rPr>
        <w:t>dar seguimiento a la implementación</w:t>
      </w:r>
      <w:r w:rsidR="007E7032" w:rsidRPr="00112300">
        <w:rPr>
          <w:rFonts w:ascii="Verdana" w:hAnsi="Verdana"/>
          <w:sz w:val="20"/>
          <w:szCs w:val="20"/>
          <w:lang w:val="es-CR"/>
        </w:rPr>
        <w:t>”</w:t>
      </w:r>
      <w:r w:rsidR="00151639" w:rsidRPr="00112300">
        <w:rPr>
          <w:rFonts w:ascii="Verdana" w:hAnsi="Verdana"/>
          <w:sz w:val="20"/>
          <w:szCs w:val="20"/>
          <w:lang w:val="es-CR"/>
        </w:rPr>
        <w:t xml:space="preserve"> de las </w:t>
      </w:r>
      <w:r w:rsidR="00E618A6" w:rsidRPr="00112300">
        <w:rPr>
          <w:rFonts w:ascii="Verdana" w:hAnsi="Verdana"/>
          <w:sz w:val="20"/>
          <w:szCs w:val="20"/>
          <w:lang w:val="es-CR"/>
        </w:rPr>
        <w:t>presentes</w:t>
      </w:r>
      <w:r w:rsidR="00151639" w:rsidRPr="00112300">
        <w:rPr>
          <w:rFonts w:ascii="Verdana" w:hAnsi="Verdana"/>
          <w:sz w:val="20"/>
          <w:szCs w:val="20"/>
          <w:lang w:val="es-CR"/>
        </w:rPr>
        <w:t xml:space="preserve"> </w:t>
      </w:r>
      <w:r w:rsidR="00934DE4" w:rsidRPr="00112300">
        <w:rPr>
          <w:rFonts w:ascii="Verdana" w:hAnsi="Verdana"/>
          <w:sz w:val="20"/>
          <w:szCs w:val="20"/>
          <w:lang w:val="es-CR"/>
        </w:rPr>
        <w:t>medidas provisionales.</w:t>
      </w:r>
      <w:r w:rsidR="00C23274" w:rsidRPr="00112300">
        <w:rPr>
          <w:rFonts w:ascii="Verdana" w:hAnsi="Verdana"/>
          <w:sz w:val="20"/>
          <w:szCs w:val="20"/>
          <w:lang w:val="es-CR"/>
        </w:rPr>
        <w:t xml:space="preserve"> </w:t>
      </w:r>
      <w:r w:rsidR="00934DE4" w:rsidRPr="00112300">
        <w:rPr>
          <w:rFonts w:ascii="Verdana" w:hAnsi="Verdana"/>
          <w:sz w:val="20"/>
          <w:szCs w:val="20"/>
          <w:lang w:val="es-CR"/>
        </w:rPr>
        <w:t>Asimismo</w:t>
      </w:r>
      <w:r w:rsidR="00C912CD">
        <w:rPr>
          <w:rFonts w:ascii="Verdana" w:hAnsi="Verdana"/>
          <w:sz w:val="20"/>
          <w:szCs w:val="20"/>
          <w:lang w:val="es-CR"/>
        </w:rPr>
        <w:t>,</w:t>
      </w:r>
      <w:r w:rsidR="00934DE4" w:rsidRPr="00112300">
        <w:rPr>
          <w:rFonts w:ascii="Verdana" w:hAnsi="Verdana"/>
          <w:sz w:val="20"/>
          <w:szCs w:val="20"/>
          <w:lang w:val="es-CR"/>
        </w:rPr>
        <w:t xml:space="preserve"> </w:t>
      </w:r>
      <w:r w:rsidR="002B616C" w:rsidRPr="00112300">
        <w:rPr>
          <w:rFonts w:ascii="Verdana" w:hAnsi="Verdana"/>
          <w:sz w:val="20"/>
          <w:szCs w:val="20"/>
          <w:lang w:val="es-CR"/>
        </w:rPr>
        <w:t>solicitaron que la Corte declare que la “posición asumida por Nicaragua y la efectiva inobservancia de lo ordenado”</w:t>
      </w:r>
      <w:r w:rsidR="007B4696" w:rsidRPr="00112300">
        <w:rPr>
          <w:rFonts w:ascii="Verdana" w:hAnsi="Verdana"/>
          <w:sz w:val="20"/>
          <w:szCs w:val="20"/>
          <w:lang w:val="es-CR"/>
        </w:rPr>
        <w:t xml:space="preserve"> constituye “un acto de desacato permanente de la obligatoriedad de las decisiones </w:t>
      </w:r>
      <w:r w:rsidR="000848CE" w:rsidRPr="00112300">
        <w:rPr>
          <w:rFonts w:ascii="Verdana" w:hAnsi="Verdana"/>
          <w:sz w:val="20"/>
          <w:szCs w:val="20"/>
          <w:lang w:val="es-CR"/>
        </w:rPr>
        <w:t>dictadas</w:t>
      </w:r>
      <w:r w:rsidR="007B4696" w:rsidRPr="00112300">
        <w:rPr>
          <w:rFonts w:ascii="Verdana" w:hAnsi="Verdana"/>
          <w:sz w:val="20"/>
          <w:szCs w:val="20"/>
          <w:lang w:val="es-CR"/>
        </w:rPr>
        <w:t>”</w:t>
      </w:r>
      <w:r w:rsidR="00AE030F" w:rsidRPr="00112300">
        <w:rPr>
          <w:rFonts w:ascii="Verdana" w:hAnsi="Verdana"/>
          <w:sz w:val="20"/>
          <w:szCs w:val="20"/>
          <w:lang w:val="es-CR"/>
        </w:rPr>
        <w:t xml:space="preserve"> en el presente caso</w:t>
      </w:r>
      <w:r w:rsidR="000848CE" w:rsidRPr="00112300">
        <w:rPr>
          <w:rFonts w:ascii="Verdana" w:hAnsi="Verdana"/>
          <w:sz w:val="20"/>
          <w:szCs w:val="20"/>
          <w:lang w:val="es-CR"/>
        </w:rPr>
        <w:t xml:space="preserve">. </w:t>
      </w:r>
      <w:r w:rsidR="009959E7" w:rsidRPr="00112300">
        <w:rPr>
          <w:rFonts w:ascii="Verdana" w:hAnsi="Verdana"/>
          <w:sz w:val="20"/>
          <w:szCs w:val="20"/>
        </w:rPr>
        <w:t xml:space="preserve">La Comisión se adhirió a lo solicitado por los representantes. El Estado, por su parte, </w:t>
      </w:r>
      <w:r w:rsidR="00E618A6" w:rsidRPr="00112300">
        <w:rPr>
          <w:rFonts w:ascii="Verdana" w:hAnsi="Verdana"/>
          <w:sz w:val="20"/>
          <w:szCs w:val="20"/>
        </w:rPr>
        <w:t>no efectuó consideraciones respecto a</w:t>
      </w:r>
      <w:r w:rsidR="009959E7" w:rsidRPr="00112300">
        <w:rPr>
          <w:rFonts w:ascii="Verdana" w:hAnsi="Verdana"/>
          <w:sz w:val="20"/>
          <w:szCs w:val="20"/>
        </w:rPr>
        <w:t xml:space="preserve"> la adopción </w:t>
      </w:r>
      <w:r w:rsidR="007D0503">
        <w:rPr>
          <w:rFonts w:ascii="Verdana" w:hAnsi="Verdana"/>
          <w:sz w:val="20"/>
          <w:szCs w:val="20"/>
        </w:rPr>
        <w:t xml:space="preserve">e implementación </w:t>
      </w:r>
      <w:r w:rsidR="009959E7" w:rsidRPr="00112300">
        <w:rPr>
          <w:rFonts w:ascii="Verdana" w:hAnsi="Verdana"/>
          <w:sz w:val="20"/>
          <w:szCs w:val="20"/>
        </w:rPr>
        <w:t>de dicha</w:t>
      </w:r>
      <w:r w:rsidR="00E618A6" w:rsidRPr="00112300">
        <w:rPr>
          <w:rFonts w:ascii="Verdana" w:hAnsi="Verdana"/>
          <w:sz w:val="20"/>
          <w:szCs w:val="20"/>
        </w:rPr>
        <w:t>s</w:t>
      </w:r>
      <w:r w:rsidR="009959E7" w:rsidRPr="00112300">
        <w:rPr>
          <w:rFonts w:ascii="Verdana" w:hAnsi="Verdana"/>
          <w:sz w:val="20"/>
          <w:szCs w:val="20"/>
        </w:rPr>
        <w:t xml:space="preserve"> medida</w:t>
      </w:r>
      <w:r w:rsidR="00E618A6" w:rsidRPr="00112300">
        <w:rPr>
          <w:rFonts w:ascii="Verdana" w:hAnsi="Verdana"/>
          <w:sz w:val="20"/>
          <w:szCs w:val="20"/>
        </w:rPr>
        <w:t>s</w:t>
      </w:r>
      <w:r w:rsidR="009959E7" w:rsidRPr="00112300">
        <w:rPr>
          <w:rFonts w:ascii="Verdana" w:hAnsi="Verdana"/>
          <w:sz w:val="20"/>
          <w:szCs w:val="20"/>
        </w:rPr>
        <w:t xml:space="preserve">. </w:t>
      </w:r>
    </w:p>
    <w:p w14:paraId="3BE14081" w14:textId="77777777" w:rsidR="000848CE" w:rsidRPr="00112300" w:rsidRDefault="000848CE" w:rsidP="000848CE">
      <w:pPr>
        <w:jc w:val="both"/>
        <w:rPr>
          <w:rFonts w:ascii="Verdana" w:hAnsi="Verdana"/>
          <w:sz w:val="20"/>
          <w:szCs w:val="20"/>
        </w:rPr>
      </w:pPr>
    </w:p>
    <w:p w14:paraId="1EC59077" w14:textId="11CDE9F7" w:rsidR="00F31662" w:rsidRPr="00112300" w:rsidRDefault="009959E7" w:rsidP="007107B8">
      <w:pPr>
        <w:numPr>
          <w:ilvl w:val="0"/>
          <w:numId w:val="25"/>
        </w:numPr>
        <w:ind w:left="0" w:firstLine="0"/>
        <w:jc w:val="both"/>
        <w:rPr>
          <w:rFonts w:ascii="Verdana" w:hAnsi="Verdana"/>
          <w:sz w:val="20"/>
          <w:szCs w:val="20"/>
        </w:rPr>
      </w:pPr>
      <w:r w:rsidRPr="00112300">
        <w:rPr>
          <w:rFonts w:ascii="Verdana" w:hAnsi="Verdana"/>
          <w:sz w:val="20"/>
          <w:szCs w:val="20"/>
        </w:rPr>
        <w:t xml:space="preserve">A continuación, </w:t>
      </w:r>
      <w:r w:rsidR="007C42DB" w:rsidRPr="00112300">
        <w:rPr>
          <w:rFonts w:ascii="Verdana" w:hAnsi="Verdana"/>
          <w:sz w:val="20"/>
          <w:szCs w:val="20"/>
        </w:rPr>
        <w:t>la Corte procederá a analizar</w:t>
      </w:r>
      <w:r w:rsidR="001137D4" w:rsidRPr="00112300">
        <w:rPr>
          <w:rFonts w:ascii="Verdana" w:hAnsi="Verdana"/>
          <w:sz w:val="20"/>
          <w:szCs w:val="20"/>
        </w:rPr>
        <w:t xml:space="preserve"> (i) </w:t>
      </w:r>
      <w:r w:rsidR="00A03174" w:rsidRPr="00112300">
        <w:rPr>
          <w:rFonts w:ascii="Verdana" w:hAnsi="Verdana"/>
          <w:sz w:val="20"/>
          <w:szCs w:val="20"/>
        </w:rPr>
        <w:t xml:space="preserve">la situación de </w:t>
      </w:r>
      <w:r w:rsidR="001137D4" w:rsidRPr="00112300">
        <w:rPr>
          <w:rFonts w:ascii="Verdana" w:hAnsi="Verdana"/>
          <w:sz w:val="20"/>
          <w:szCs w:val="20"/>
        </w:rPr>
        <w:t>los beneficiarios Vilma Núñez Ru</w:t>
      </w:r>
      <w:r w:rsidR="00457DCA" w:rsidRPr="00112300">
        <w:rPr>
          <w:rFonts w:ascii="Verdana" w:hAnsi="Verdana"/>
          <w:sz w:val="20"/>
          <w:szCs w:val="20"/>
        </w:rPr>
        <w:t>í</w:t>
      </w:r>
      <w:r w:rsidR="001137D4" w:rsidRPr="00112300">
        <w:rPr>
          <w:rFonts w:ascii="Verdana" w:hAnsi="Verdana"/>
          <w:sz w:val="20"/>
          <w:szCs w:val="20"/>
        </w:rPr>
        <w:t>z</w:t>
      </w:r>
      <w:r w:rsidR="00433965" w:rsidRPr="00112300">
        <w:rPr>
          <w:rFonts w:ascii="Verdana" w:hAnsi="Verdana"/>
          <w:sz w:val="20"/>
          <w:szCs w:val="20"/>
        </w:rPr>
        <w:t xml:space="preserve"> y</w:t>
      </w:r>
      <w:r w:rsidR="001137D4" w:rsidRPr="00112300">
        <w:rPr>
          <w:rFonts w:ascii="Verdana" w:hAnsi="Verdana"/>
          <w:sz w:val="20"/>
          <w:szCs w:val="20"/>
        </w:rPr>
        <w:t xml:space="preserve"> Guillermo Gonzalo Carrión</w:t>
      </w:r>
      <w:r w:rsidR="00D85A6C" w:rsidRPr="00112300">
        <w:rPr>
          <w:rFonts w:ascii="Verdana" w:hAnsi="Verdana"/>
          <w:sz w:val="20"/>
          <w:szCs w:val="20"/>
        </w:rPr>
        <w:t xml:space="preserve">, </w:t>
      </w:r>
      <w:r w:rsidR="007C42DB" w:rsidRPr="00112300">
        <w:rPr>
          <w:rFonts w:ascii="Verdana" w:hAnsi="Verdana"/>
          <w:sz w:val="20"/>
          <w:szCs w:val="20"/>
        </w:rPr>
        <w:t xml:space="preserve">para posteriormente abordar </w:t>
      </w:r>
      <w:r w:rsidR="001137D4" w:rsidRPr="00112300">
        <w:rPr>
          <w:rFonts w:ascii="Verdana" w:hAnsi="Verdana"/>
          <w:sz w:val="20"/>
          <w:szCs w:val="20"/>
        </w:rPr>
        <w:t>(i</w:t>
      </w:r>
      <w:r w:rsidR="00F92256" w:rsidRPr="00112300">
        <w:rPr>
          <w:rFonts w:ascii="Verdana" w:hAnsi="Verdana"/>
          <w:sz w:val="20"/>
          <w:szCs w:val="20"/>
        </w:rPr>
        <w:t>i</w:t>
      </w:r>
      <w:r w:rsidR="001137D4" w:rsidRPr="00112300">
        <w:rPr>
          <w:rFonts w:ascii="Verdana" w:hAnsi="Verdana"/>
          <w:sz w:val="20"/>
          <w:szCs w:val="20"/>
        </w:rPr>
        <w:t>)</w:t>
      </w:r>
      <w:r w:rsidR="007107B8" w:rsidRPr="00112300">
        <w:rPr>
          <w:rFonts w:ascii="Verdana" w:hAnsi="Verdana"/>
          <w:sz w:val="20"/>
          <w:szCs w:val="20"/>
        </w:rPr>
        <w:t xml:space="preserve"> la necesidad de </w:t>
      </w:r>
      <w:r w:rsidR="00581F6E" w:rsidRPr="00112300">
        <w:rPr>
          <w:rFonts w:ascii="Verdana" w:hAnsi="Verdana"/>
          <w:sz w:val="20"/>
          <w:szCs w:val="20"/>
        </w:rPr>
        <w:t>declarar</w:t>
      </w:r>
      <w:r w:rsidR="007107B8" w:rsidRPr="00112300">
        <w:rPr>
          <w:rFonts w:ascii="Verdana" w:hAnsi="Verdana"/>
          <w:sz w:val="20"/>
          <w:szCs w:val="20"/>
        </w:rPr>
        <w:t xml:space="preserve"> el desacato del Estado de Nicaragua</w:t>
      </w:r>
      <w:r w:rsidR="00853D26" w:rsidRPr="00112300">
        <w:rPr>
          <w:rFonts w:ascii="Verdana" w:hAnsi="Verdana"/>
          <w:sz w:val="20"/>
          <w:szCs w:val="20"/>
        </w:rPr>
        <w:t>.</w:t>
      </w:r>
    </w:p>
    <w:p w14:paraId="39FB6627" w14:textId="77777777" w:rsidR="00853D26" w:rsidRPr="00112300" w:rsidRDefault="00853D26" w:rsidP="00853D26">
      <w:pPr>
        <w:jc w:val="both"/>
        <w:rPr>
          <w:rFonts w:ascii="Verdana" w:hAnsi="Verdana"/>
          <w:sz w:val="20"/>
          <w:szCs w:val="20"/>
        </w:rPr>
      </w:pPr>
    </w:p>
    <w:p w14:paraId="45EFA4ED" w14:textId="701B4AF8" w:rsidR="00C83903" w:rsidRPr="00112300" w:rsidRDefault="00457DCA" w:rsidP="00C83903">
      <w:pPr>
        <w:pStyle w:val="Ttulo2"/>
        <w:numPr>
          <w:ilvl w:val="0"/>
          <w:numId w:val="30"/>
        </w:numPr>
        <w:spacing w:before="0" w:after="0"/>
        <w:rPr>
          <w:lang w:val="es-ES"/>
        </w:rPr>
      </w:pPr>
      <w:r w:rsidRPr="00112300">
        <w:rPr>
          <w:lang w:val="es-ES"/>
        </w:rPr>
        <w:t>Sobre la situación de los beneficiarios Vilma Núñez Ruíz</w:t>
      </w:r>
      <w:r w:rsidR="00433965" w:rsidRPr="00112300">
        <w:rPr>
          <w:lang w:val="es-ES"/>
        </w:rPr>
        <w:t xml:space="preserve"> y</w:t>
      </w:r>
      <w:r w:rsidR="000038B3" w:rsidRPr="00112300">
        <w:rPr>
          <w:lang w:val="es-ES"/>
        </w:rPr>
        <w:t xml:space="preserve"> </w:t>
      </w:r>
      <w:r w:rsidRPr="00112300">
        <w:rPr>
          <w:lang w:val="es-ES"/>
        </w:rPr>
        <w:t>Guillermo González Carrión</w:t>
      </w:r>
      <w:r w:rsidR="000038B3" w:rsidRPr="00112300">
        <w:rPr>
          <w:lang w:val="es-ES"/>
        </w:rPr>
        <w:t xml:space="preserve"> </w:t>
      </w:r>
    </w:p>
    <w:p w14:paraId="5C14071D" w14:textId="77777777" w:rsidR="00C83903" w:rsidRPr="00112300" w:rsidRDefault="00C83903" w:rsidP="00C83903">
      <w:pPr>
        <w:rPr>
          <w:rFonts w:ascii="Verdana" w:hAnsi="Verdana"/>
          <w:sz w:val="20"/>
          <w:szCs w:val="20"/>
          <w:lang w:val="es-ES" w:eastAsia="es-CR"/>
        </w:rPr>
      </w:pPr>
    </w:p>
    <w:p w14:paraId="55EA1018" w14:textId="4AAD6B65" w:rsidR="00C458A2" w:rsidRPr="00112300" w:rsidRDefault="00732A0A" w:rsidP="00732A0A">
      <w:pPr>
        <w:pStyle w:val="Ttulo3"/>
        <w:keepNext w:val="0"/>
        <w:keepLines w:val="0"/>
        <w:pBdr>
          <w:top w:val="nil"/>
        </w:pBdr>
        <w:tabs>
          <w:tab w:val="left" w:pos="426"/>
        </w:tabs>
        <w:spacing w:before="0"/>
        <w:ind w:left="708"/>
        <w:jc w:val="both"/>
        <w:rPr>
          <w:rFonts w:ascii="Verdana" w:hAnsi="Verdana"/>
          <w:b/>
          <w:i/>
          <w:iCs/>
          <w:noProof/>
          <w:color w:val="auto"/>
          <w:sz w:val="20"/>
          <w:szCs w:val="20"/>
        </w:rPr>
      </w:pPr>
      <w:bookmarkStart w:id="1" w:name="_Toc134087673"/>
      <w:r w:rsidRPr="00112300">
        <w:rPr>
          <w:rFonts w:ascii="Verdana" w:hAnsi="Verdana"/>
          <w:b/>
          <w:i/>
          <w:iCs/>
          <w:noProof/>
          <w:color w:val="auto"/>
          <w:sz w:val="20"/>
          <w:szCs w:val="20"/>
        </w:rPr>
        <w:t>A</w:t>
      </w:r>
      <w:r w:rsidR="00C458A2" w:rsidRPr="00112300">
        <w:rPr>
          <w:rFonts w:ascii="Verdana" w:hAnsi="Verdana"/>
          <w:b/>
          <w:i/>
          <w:iCs/>
          <w:noProof/>
          <w:color w:val="auto"/>
          <w:sz w:val="20"/>
          <w:szCs w:val="20"/>
        </w:rPr>
        <w:t>.1. Alegatos de</w:t>
      </w:r>
      <w:r w:rsidRPr="00112300">
        <w:rPr>
          <w:rFonts w:ascii="Verdana" w:hAnsi="Verdana"/>
          <w:b/>
          <w:i/>
          <w:iCs/>
          <w:noProof/>
          <w:color w:val="auto"/>
          <w:sz w:val="20"/>
          <w:szCs w:val="20"/>
        </w:rPr>
        <w:t xml:space="preserve"> los representantes </w:t>
      </w:r>
      <w:r w:rsidR="00C458A2" w:rsidRPr="00112300">
        <w:rPr>
          <w:rFonts w:ascii="Verdana" w:hAnsi="Verdana"/>
          <w:b/>
          <w:i/>
          <w:iCs/>
          <w:noProof/>
          <w:color w:val="auto"/>
          <w:sz w:val="20"/>
          <w:szCs w:val="20"/>
        </w:rPr>
        <w:t xml:space="preserve">y observaciones de la Comisión </w:t>
      </w:r>
      <w:bookmarkEnd w:id="1"/>
    </w:p>
    <w:p w14:paraId="2DC2AE0B" w14:textId="77777777" w:rsidR="00AA40B7" w:rsidRPr="00112300" w:rsidRDefault="00AA40B7" w:rsidP="00AA40B7">
      <w:pPr>
        <w:rPr>
          <w:rFonts w:ascii="Verdana" w:hAnsi="Verdana"/>
          <w:sz w:val="20"/>
          <w:szCs w:val="20"/>
          <w:lang w:val="es-ES" w:eastAsia="es-CR"/>
        </w:rPr>
      </w:pPr>
    </w:p>
    <w:p w14:paraId="0CFD125E" w14:textId="61876ECC" w:rsidR="00BC0F04" w:rsidRPr="00112300" w:rsidRDefault="005836B4" w:rsidP="00271D33">
      <w:pPr>
        <w:numPr>
          <w:ilvl w:val="0"/>
          <w:numId w:val="25"/>
        </w:numPr>
        <w:ind w:left="0" w:firstLine="0"/>
        <w:jc w:val="both"/>
        <w:rPr>
          <w:rFonts w:ascii="Verdana" w:hAnsi="Verdana"/>
          <w:b/>
          <w:bCs/>
          <w:sz w:val="20"/>
          <w:szCs w:val="20"/>
        </w:rPr>
      </w:pPr>
      <w:r w:rsidRPr="00112300">
        <w:rPr>
          <w:rFonts w:ascii="Verdana" w:hAnsi="Verdana"/>
          <w:sz w:val="20"/>
          <w:szCs w:val="20"/>
          <w:lang w:val="es-ES"/>
        </w:rPr>
        <w:t>Los</w:t>
      </w:r>
      <w:r w:rsidR="00853D26" w:rsidRPr="00112300">
        <w:rPr>
          <w:rFonts w:ascii="Verdana" w:hAnsi="Verdana"/>
          <w:sz w:val="20"/>
          <w:szCs w:val="20"/>
          <w:lang w:val="es-ES"/>
        </w:rPr>
        <w:t xml:space="preserve"> </w:t>
      </w:r>
      <w:r w:rsidR="00853D26" w:rsidRPr="00112300">
        <w:rPr>
          <w:rFonts w:ascii="Verdana" w:hAnsi="Verdana"/>
          <w:b/>
          <w:i/>
          <w:sz w:val="20"/>
          <w:szCs w:val="20"/>
          <w:lang w:val="es-ES"/>
        </w:rPr>
        <w:t>representantes</w:t>
      </w:r>
      <w:r w:rsidR="00853D26" w:rsidRPr="00112300">
        <w:rPr>
          <w:rFonts w:ascii="Verdana" w:hAnsi="Verdana"/>
          <w:sz w:val="20"/>
          <w:szCs w:val="20"/>
          <w:lang w:val="es-ES"/>
        </w:rPr>
        <w:t xml:space="preserve"> </w:t>
      </w:r>
      <w:r w:rsidR="00013F89" w:rsidRPr="00112300">
        <w:rPr>
          <w:rFonts w:ascii="Verdana" w:hAnsi="Verdana"/>
          <w:sz w:val="20"/>
          <w:szCs w:val="20"/>
          <w:lang w:val="es-ES"/>
        </w:rPr>
        <w:t xml:space="preserve">indicaron que </w:t>
      </w:r>
      <w:r w:rsidR="00EE7DA6" w:rsidRPr="00112300">
        <w:rPr>
          <w:rFonts w:ascii="Verdana" w:hAnsi="Verdana"/>
          <w:sz w:val="20"/>
          <w:szCs w:val="20"/>
          <w:lang w:val="es-ES"/>
        </w:rPr>
        <w:t xml:space="preserve">el 9 de febrero de 2023 la Asamblea Nacional de Nicaragua (en adelante “la Asamblea Nacional”) </w:t>
      </w:r>
      <w:r w:rsidR="00523D9A" w:rsidRPr="00112300">
        <w:rPr>
          <w:rFonts w:ascii="Verdana" w:hAnsi="Verdana"/>
          <w:sz w:val="20"/>
          <w:szCs w:val="20"/>
          <w:lang w:val="es-ES"/>
        </w:rPr>
        <w:t>aprobó</w:t>
      </w:r>
      <w:r w:rsidR="00B56F64" w:rsidRPr="00112300">
        <w:rPr>
          <w:rFonts w:ascii="Verdana" w:hAnsi="Verdana"/>
          <w:sz w:val="20"/>
          <w:szCs w:val="20"/>
          <w:lang w:val="es-ES"/>
        </w:rPr>
        <w:t xml:space="preserve"> </w:t>
      </w:r>
      <w:r w:rsidR="00523D9A" w:rsidRPr="00112300">
        <w:rPr>
          <w:rFonts w:ascii="Verdana" w:hAnsi="Verdana"/>
          <w:sz w:val="20"/>
          <w:szCs w:val="20"/>
          <w:lang w:val="es-ES"/>
        </w:rPr>
        <w:t>la Ley de Reforma al artículo 21 de la Constitución Política de la República de Nicaragua para</w:t>
      </w:r>
      <w:r w:rsidR="00FB04CE" w:rsidRPr="00112300">
        <w:rPr>
          <w:rFonts w:ascii="Verdana" w:hAnsi="Verdana"/>
          <w:sz w:val="20"/>
          <w:szCs w:val="20"/>
          <w:lang w:val="es-ES"/>
        </w:rPr>
        <w:t xml:space="preserve"> </w:t>
      </w:r>
      <w:r w:rsidR="00F55BE2" w:rsidRPr="00112300">
        <w:rPr>
          <w:rFonts w:ascii="Verdana" w:hAnsi="Verdana"/>
          <w:sz w:val="20"/>
          <w:szCs w:val="20"/>
          <w:lang w:val="es-ES"/>
        </w:rPr>
        <w:t xml:space="preserve">incluir </w:t>
      </w:r>
      <w:r w:rsidR="0046643B" w:rsidRPr="00112300">
        <w:rPr>
          <w:rFonts w:ascii="Verdana" w:hAnsi="Verdana"/>
          <w:sz w:val="20"/>
          <w:szCs w:val="20"/>
          <w:lang w:val="es-ES"/>
        </w:rPr>
        <w:t xml:space="preserve">la posibilidad de que “los traidores a la </w:t>
      </w:r>
      <w:r w:rsidR="0046643B" w:rsidRPr="00112300">
        <w:rPr>
          <w:rFonts w:ascii="Verdana" w:hAnsi="Verdana"/>
          <w:sz w:val="20"/>
          <w:szCs w:val="20"/>
        </w:rPr>
        <w:t>Patria</w:t>
      </w:r>
      <w:r w:rsidR="0046643B" w:rsidRPr="00112300">
        <w:rPr>
          <w:rFonts w:ascii="Verdana" w:hAnsi="Verdana"/>
          <w:sz w:val="20"/>
          <w:szCs w:val="20"/>
          <w:lang w:val="es-ES"/>
        </w:rPr>
        <w:t xml:space="preserve">” pierdan </w:t>
      </w:r>
      <w:r w:rsidR="001717B3" w:rsidRPr="00112300">
        <w:rPr>
          <w:rFonts w:ascii="Verdana" w:hAnsi="Verdana"/>
          <w:sz w:val="20"/>
          <w:szCs w:val="20"/>
          <w:lang w:val="es-ES"/>
        </w:rPr>
        <w:t>“</w:t>
      </w:r>
      <w:r w:rsidR="0046643B" w:rsidRPr="00112300">
        <w:rPr>
          <w:rFonts w:ascii="Verdana" w:hAnsi="Verdana"/>
          <w:sz w:val="20"/>
          <w:szCs w:val="20"/>
          <w:lang w:val="es-ES"/>
        </w:rPr>
        <w:t>la calidad de nacional nicaragüense</w:t>
      </w:r>
      <w:r w:rsidR="001717B3" w:rsidRPr="00112300">
        <w:rPr>
          <w:rFonts w:ascii="Verdana" w:hAnsi="Verdana"/>
          <w:sz w:val="20"/>
          <w:szCs w:val="20"/>
          <w:lang w:val="es-ES"/>
        </w:rPr>
        <w:t>”.</w:t>
      </w:r>
      <w:r w:rsidR="0046643B" w:rsidRPr="00112300">
        <w:rPr>
          <w:rFonts w:ascii="Verdana" w:hAnsi="Verdana"/>
          <w:sz w:val="20"/>
          <w:szCs w:val="20"/>
          <w:lang w:val="es-ES"/>
        </w:rPr>
        <w:t xml:space="preserve"> </w:t>
      </w:r>
      <w:r w:rsidR="00271D33" w:rsidRPr="00112300">
        <w:rPr>
          <w:rFonts w:ascii="Verdana" w:hAnsi="Verdana"/>
          <w:sz w:val="20"/>
          <w:szCs w:val="20"/>
        </w:rPr>
        <w:t>La</w:t>
      </w:r>
      <w:r w:rsidR="00271D33" w:rsidRPr="00112300">
        <w:rPr>
          <w:rFonts w:ascii="Verdana" w:hAnsi="Verdana"/>
          <w:sz w:val="20"/>
          <w:szCs w:val="20"/>
          <w:lang w:val="es-ES"/>
        </w:rPr>
        <w:t xml:space="preserve"> reforma constitucional entraría en vigor una vez que fuera aprobada en Segunda Legislatura y publicada en</w:t>
      </w:r>
      <w:r w:rsidR="00431DC4" w:rsidRPr="00112300">
        <w:rPr>
          <w:rFonts w:ascii="Verdana" w:hAnsi="Verdana"/>
          <w:sz w:val="20"/>
          <w:szCs w:val="20"/>
          <w:lang w:val="es-ES"/>
        </w:rPr>
        <w:t xml:space="preserve"> el Diario Oficial</w:t>
      </w:r>
      <w:r w:rsidR="00271D33" w:rsidRPr="00112300">
        <w:rPr>
          <w:rFonts w:ascii="Verdana" w:hAnsi="Verdana"/>
          <w:sz w:val="20"/>
          <w:szCs w:val="20"/>
          <w:lang w:val="es-ES"/>
        </w:rPr>
        <w:t xml:space="preserve"> </w:t>
      </w:r>
      <w:r w:rsidR="00431DC4" w:rsidRPr="00112300">
        <w:rPr>
          <w:rFonts w:ascii="Verdana" w:hAnsi="Verdana"/>
          <w:sz w:val="20"/>
          <w:szCs w:val="20"/>
          <w:lang w:val="es-ES"/>
        </w:rPr>
        <w:t>“</w:t>
      </w:r>
      <w:r w:rsidR="00271D33" w:rsidRPr="00112300">
        <w:rPr>
          <w:rFonts w:ascii="Verdana" w:hAnsi="Verdana"/>
          <w:sz w:val="20"/>
          <w:szCs w:val="20"/>
          <w:lang w:val="es-ES"/>
        </w:rPr>
        <w:t>La Gaceta</w:t>
      </w:r>
      <w:r w:rsidR="00431DC4" w:rsidRPr="00112300">
        <w:rPr>
          <w:rFonts w:ascii="Verdana" w:hAnsi="Verdana"/>
          <w:sz w:val="20"/>
          <w:szCs w:val="20"/>
          <w:lang w:val="es-ES"/>
        </w:rPr>
        <w:t>”</w:t>
      </w:r>
      <w:r w:rsidR="00271D33" w:rsidRPr="00112300">
        <w:rPr>
          <w:rFonts w:ascii="Verdana" w:hAnsi="Verdana"/>
          <w:sz w:val="20"/>
          <w:szCs w:val="20"/>
          <w:lang w:val="es-ES"/>
        </w:rPr>
        <w:t>.</w:t>
      </w:r>
      <w:r w:rsidR="00271D33" w:rsidRPr="00112300">
        <w:rPr>
          <w:rFonts w:ascii="Verdana" w:hAnsi="Verdana"/>
          <w:b/>
          <w:bCs/>
          <w:sz w:val="20"/>
          <w:szCs w:val="20"/>
          <w:lang w:val="es-ES"/>
        </w:rPr>
        <w:t xml:space="preserve"> </w:t>
      </w:r>
      <w:r w:rsidR="000C309A" w:rsidRPr="00112300">
        <w:rPr>
          <w:rFonts w:ascii="Verdana" w:hAnsi="Verdana"/>
          <w:sz w:val="20"/>
          <w:szCs w:val="20"/>
          <w:lang w:val="es-ES"/>
        </w:rPr>
        <w:t xml:space="preserve">Asimismo, señalaron que, en la misma fecha, se </w:t>
      </w:r>
      <w:r w:rsidR="00BD70EA" w:rsidRPr="00112300">
        <w:rPr>
          <w:rFonts w:ascii="Verdana" w:hAnsi="Verdana"/>
          <w:sz w:val="20"/>
          <w:szCs w:val="20"/>
          <w:lang w:val="es-ES"/>
        </w:rPr>
        <w:t>aprobó en</w:t>
      </w:r>
      <w:r w:rsidR="000C309A" w:rsidRPr="00112300">
        <w:rPr>
          <w:rFonts w:ascii="Verdana" w:hAnsi="Verdana"/>
          <w:sz w:val="20"/>
          <w:szCs w:val="20"/>
          <w:lang w:val="es-ES"/>
        </w:rPr>
        <w:t xml:space="preserve"> la Asamblea </w:t>
      </w:r>
      <w:r w:rsidR="000C309A" w:rsidRPr="00112300">
        <w:rPr>
          <w:rFonts w:ascii="Verdana" w:hAnsi="Verdana"/>
          <w:sz w:val="20"/>
          <w:szCs w:val="20"/>
          <w:lang w:val="es-ES"/>
        </w:rPr>
        <w:lastRenderedPageBreak/>
        <w:t xml:space="preserve">Nacional una iniciativa de ley especial </w:t>
      </w:r>
      <w:r w:rsidR="00A0480A" w:rsidRPr="00112300">
        <w:rPr>
          <w:rFonts w:ascii="Verdana" w:hAnsi="Verdana"/>
          <w:sz w:val="20"/>
          <w:szCs w:val="20"/>
          <w:lang w:val="es-ES"/>
        </w:rPr>
        <w:t xml:space="preserve">para regular la pérdida de la nacionalidad nicaragüense en los términos del </w:t>
      </w:r>
      <w:r w:rsidR="00271D33" w:rsidRPr="00112300">
        <w:rPr>
          <w:rFonts w:ascii="Verdana" w:hAnsi="Verdana"/>
          <w:sz w:val="20"/>
          <w:szCs w:val="20"/>
          <w:lang w:val="es-ES"/>
        </w:rPr>
        <w:t xml:space="preserve">referido </w:t>
      </w:r>
      <w:r w:rsidR="00A0480A" w:rsidRPr="00112300">
        <w:rPr>
          <w:rFonts w:ascii="Verdana" w:hAnsi="Verdana"/>
          <w:sz w:val="20"/>
          <w:szCs w:val="20"/>
          <w:lang w:val="es-ES"/>
        </w:rPr>
        <w:t>artículo 21 de la Constitución Pol</w:t>
      </w:r>
      <w:r w:rsidR="006B1E37" w:rsidRPr="00112300">
        <w:rPr>
          <w:rFonts w:ascii="Verdana" w:hAnsi="Verdana"/>
          <w:sz w:val="20"/>
          <w:szCs w:val="20"/>
          <w:lang w:val="es-ES"/>
        </w:rPr>
        <w:t>ítica</w:t>
      </w:r>
      <w:r w:rsidR="00BD70EA" w:rsidRPr="00112300">
        <w:rPr>
          <w:rFonts w:ascii="Verdana" w:hAnsi="Verdana"/>
          <w:sz w:val="20"/>
          <w:szCs w:val="20"/>
          <w:lang w:val="es-ES"/>
        </w:rPr>
        <w:t xml:space="preserve">. </w:t>
      </w:r>
    </w:p>
    <w:p w14:paraId="5750DF7A" w14:textId="77777777" w:rsidR="00F916F2" w:rsidRPr="00112300" w:rsidRDefault="00F916F2" w:rsidP="00F916F2">
      <w:pPr>
        <w:jc w:val="both"/>
        <w:rPr>
          <w:rFonts w:ascii="Verdana" w:hAnsi="Verdana"/>
          <w:sz w:val="20"/>
          <w:szCs w:val="20"/>
        </w:rPr>
      </w:pPr>
    </w:p>
    <w:p w14:paraId="0EB27DE5" w14:textId="3067063B" w:rsidR="00056727" w:rsidRPr="00112300" w:rsidRDefault="007B0592" w:rsidP="00EF7DBA">
      <w:pPr>
        <w:numPr>
          <w:ilvl w:val="0"/>
          <w:numId w:val="25"/>
        </w:numPr>
        <w:ind w:left="0" w:firstLine="0"/>
        <w:jc w:val="both"/>
        <w:rPr>
          <w:rFonts w:ascii="Verdana" w:hAnsi="Verdana"/>
          <w:sz w:val="20"/>
          <w:szCs w:val="20"/>
        </w:rPr>
      </w:pPr>
      <w:r w:rsidRPr="00112300">
        <w:rPr>
          <w:rFonts w:ascii="Verdana" w:hAnsi="Verdana"/>
          <w:sz w:val="20"/>
          <w:szCs w:val="20"/>
        </w:rPr>
        <w:t xml:space="preserve">Aunado a lo anterior, </w:t>
      </w:r>
      <w:r w:rsidR="00431DC4" w:rsidRPr="00112300">
        <w:rPr>
          <w:rFonts w:ascii="Verdana" w:hAnsi="Verdana"/>
          <w:sz w:val="20"/>
          <w:szCs w:val="20"/>
        </w:rPr>
        <w:t>indicaron</w:t>
      </w:r>
      <w:r w:rsidRPr="00112300">
        <w:rPr>
          <w:rFonts w:ascii="Verdana" w:hAnsi="Verdana"/>
          <w:sz w:val="20"/>
          <w:szCs w:val="20"/>
        </w:rPr>
        <w:t xml:space="preserve"> que </w:t>
      </w:r>
      <w:r w:rsidR="00C0730B" w:rsidRPr="00112300">
        <w:rPr>
          <w:rFonts w:ascii="Verdana" w:hAnsi="Verdana"/>
          <w:sz w:val="20"/>
          <w:szCs w:val="20"/>
        </w:rPr>
        <w:t xml:space="preserve">el 14 de febrero de 2023 el licenciado M.J.R.P. presentó ante </w:t>
      </w:r>
      <w:r w:rsidR="00691AE8" w:rsidRPr="00112300">
        <w:rPr>
          <w:rFonts w:ascii="Verdana" w:hAnsi="Verdana"/>
          <w:sz w:val="20"/>
          <w:szCs w:val="20"/>
        </w:rPr>
        <w:t xml:space="preserve">el Complejo Judicial Central de Managua un escrito de acusación fiscal en contra de 94 personas, dentro de las cuales se encontraban </w:t>
      </w:r>
      <w:r w:rsidR="00D01E4A" w:rsidRPr="00112300">
        <w:rPr>
          <w:rFonts w:ascii="Verdana" w:hAnsi="Verdana"/>
          <w:sz w:val="20"/>
          <w:szCs w:val="20"/>
        </w:rPr>
        <w:t xml:space="preserve">los beneficiarios </w:t>
      </w:r>
      <w:r w:rsidR="00691AE8" w:rsidRPr="00112300">
        <w:rPr>
          <w:rFonts w:ascii="Verdana" w:hAnsi="Verdana"/>
          <w:sz w:val="20"/>
          <w:szCs w:val="20"/>
        </w:rPr>
        <w:t>Vilma Núñez de Escorcia, presidenta de</w:t>
      </w:r>
      <w:r w:rsidR="00992D5E" w:rsidRPr="00112300">
        <w:rPr>
          <w:rFonts w:ascii="Verdana" w:hAnsi="Verdana"/>
          <w:sz w:val="20"/>
          <w:szCs w:val="20"/>
        </w:rPr>
        <w:t>l</w:t>
      </w:r>
      <w:r w:rsidR="00691AE8" w:rsidRPr="00112300">
        <w:rPr>
          <w:rFonts w:ascii="Verdana" w:hAnsi="Verdana"/>
          <w:sz w:val="20"/>
          <w:szCs w:val="20"/>
        </w:rPr>
        <w:t xml:space="preserve"> CENIDH, y </w:t>
      </w:r>
      <w:r w:rsidR="00271D33" w:rsidRPr="00112300">
        <w:rPr>
          <w:rFonts w:ascii="Verdana" w:hAnsi="Verdana"/>
          <w:sz w:val="20"/>
          <w:szCs w:val="20"/>
        </w:rPr>
        <w:t xml:space="preserve">Guillermo </w:t>
      </w:r>
      <w:r w:rsidR="00D01E4A" w:rsidRPr="00112300">
        <w:rPr>
          <w:rFonts w:ascii="Verdana" w:hAnsi="Verdana"/>
          <w:sz w:val="20"/>
          <w:szCs w:val="20"/>
        </w:rPr>
        <w:t>Gonzalo Carrión.</w:t>
      </w:r>
      <w:r w:rsidR="00007370" w:rsidRPr="00112300">
        <w:rPr>
          <w:rFonts w:ascii="Verdana" w:hAnsi="Verdana"/>
          <w:sz w:val="20"/>
          <w:szCs w:val="20"/>
        </w:rPr>
        <w:t xml:space="preserve"> </w:t>
      </w:r>
      <w:r w:rsidR="0027331B" w:rsidRPr="00112300">
        <w:rPr>
          <w:rFonts w:ascii="Verdana" w:hAnsi="Verdana"/>
          <w:sz w:val="20"/>
          <w:szCs w:val="20"/>
        </w:rPr>
        <w:t xml:space="preserve">De acuerdo con lo indicado por los representantes, </w:t>
      </w:r>
      <w:r w:rsidR="00AB45A8" w:rsidRPr="00112300">
        <w:rPr>
          <w:rFonts w:ascii="Verdana" w:hAnsi="Verdana"/>
          <w:sz w:val="20"/>
          <w:szCs w:val="20"/>
        </w:rPr>
        <w:t xml:space="preserve">los beneficiarios fueron condenados </w:t>
      </w:r>
      <w:r w:rsidR="005B2F85" w:rsidRPr="00112300">
        <w:rPr>
          <w:rFonts w:ascii="Verdana" w:hAnsi="Verdana"/>
          <w:sz w:val="20"/>
          <w:szCs w:val="20"/>
        </w:rPr>
        <w:t xml:space="preserve">por el Tribunal de Apelaciones de Managua </w:t>
      </w:r>
      <w:r w:rsidR="000D083B" w:rsidRPr="00112300">
        <w:rPr>
          <w:rFonts w:ascii="Verdana" w:hAnsi="Verdana"/>
          <w:sz w:val="20"/>
          <w:szCs w:val="20"/>
        </w:rPr>
        <w:t xml:space="preserve">un día después, el 15 de febrero de 2023, </w:t>
      </w:r>
      <w:r w:rsidR="002F1477" w:rsidRPr="00112300">
        <w:rPr>
          <w:rFonts w:ascii="Verdana" w:hAnsi="Verdana"/>
          <w:sz w:val="20"/>
          <w:szCs w:val="20"/>
        </w:rPr>
        <w:t>por “delitos de conspiración para cometer menoscabo a la integridad nacional en concurso real con el delito de propagación de noticias falsas a través</w:t>
      </w:r>
      <w:r w:rsidR="00C81105" w:rsidRPr="00112300">
        <w:rPr>
          <w:rFonts w:ascii="Verdana" w:hAnsi="Verdana"/>
          <w:sz w:val="20"/>
          <w:szCs w:val="20"/>
        </w:rPr>
        <w:t xml:space="preserve"> de las tecnologías de la información y la comunicación</w:t>
      </w:r>
      <w:r w:rsidR="002F1477" w:rsidRPr="00112300">
        <w:rPr>
          <w:rFonts w:ascii="Verdana" w:hAnsi="Verdana"/>
          <w:sz w:val="20"/>
          <w:szCs w:val="20"/>
        </w:rPr>
        <w:t>”</w:t>
      </w:r>
      <w:r w:rsidR="004F5936" w:rsidRPr="00112300">
        <w:rPr>
          <w:rFonts w:ascii="Verdana" w:hAnsi="Verdana"/>
          <w:sz w:val="20"/>
          <w:szCs w:val="20"/>
        </w:rPr>
        <w:t>.</w:t>
      </w:r>
      <w:r w:rsidR="00271D33" w:rsidRPr="00112300">
        <w:rPr>
          <w:rFonts w:ascii="Verdana" w:hAnsi="Verdana"/>
          <w:sz w:val="20"/>
          <w:szCs w:val="20"/>
        </w:rPr>
        <w:t xml:space="preserve"> </w:t>
      </w:r>
      <w:r w:rsidR="00DA041F">
        <w:rPr>
          <w:rFonts w:ascii="Verdana" w:hAnsi="Verdana"/>
          <w:sz w:val="20"/>
          <w:szCs w:val="20"/>
        </w:rPr>
        <w:t>Dichas</w:t>
      </w:r>
      <w:r w:rsidR="00DA041F" w:rsidRPr="00112300">
        <w:rPr>
          <w:rFonts w:ascii="Verdana" w:hAnsi="Verdana"/>
          <w:sz w:val="20"/>
          <w:szCs w:val="20"/>
        </w:rPr>
        <w:t xml:space="preserve"> </w:t>
      </w:r>
      <w:r w:rsidR="00271D33" w:rsidRPr="00112300">
        <w:rPr>
          <w:rFonts w:ascii="Verdana" w:hAnsi="Verdana"/>
          <w:sz w:val="20"/>
          <w:szCs w:val="20"/>
        </w:rPr>
        <w:t>personas habrían sido acusadas como traidoras a la patria, de conformidad con l</w:t>
      </w:r>
      <w:r w:rsidR="00264754">
        <w:rPr>
          <w:rFonts w:ascii="Verdana" w:hAnsi="Verdana"/>
          <w:sz w:val="20"/>
          <w:szCs w:val="20"/>
        </w:rPr>
        <w:t>o prescrito en la</w:t>
      </w:r>
      <w:r w:rsidR="00271D33" w:rsidRPr="00112300">
        <w:rPr>
          <w:rFonts w:ascii="Verdana" w:hAnsi="Verdana"/>
          <w:sz w:val="20"/>
          <w:szCs w:val="20"/>
        </w:rPr>
        <w:t xml:space="preserve"> </w:t>
      </w:r>
      <w:r w:rsidR="00AF4476" w:rsidRPr="00112300">
        <w:rPr>
          <w:rFonts w:ascii="Verdana" w:hAnsi="Verdana"/>
          <w:sz w:val="20"/>
          <w:szCs w:val="20"/>
        </w:rPr>
        <w:t>Ley</w:t>
      </w:r>
      <w:r w:rsidR="00271D33" w:rsidRPr="00112300">
        <w:rPr>
          <w:rFonts w:ascii="Verdana" w:hAnsi="Verdana"/>
          <w:sz w:val="20"/>
          <w:szCs w:val="20"/>
        </w:rPr>
        <w:t xml:space="preserve"> No. 1055</w:t>
      </w:r>
      <w:r w:rsidR="00271D33" w:rsidRPr="00112300">
        <w:rPr>
          <w:rStyle w:val="Refdenotaalpie"/>
          <w:rFonts w:ascii="Verdana" w:hAnsi="Verdana"/>
          <w:sz w:val="20"/>
          <w:szCs w:val="20"/>
        </w:rPr>
        <w:footnoteReference w:id="18"/>
      </w:r>
      <w:r w:rsidR="00AF4476" w:rsidRPr="00112300">
        <w:rPr>
          <w:rFonts w:ascii="Verdana" w:hAnsi="Verdana"/>
          <w:sz w:val="20"/>
          <w:szCs w:val="20"/>
        </w:rPr>
        <w:t>.</w:t>
      </w:r>
      <w:r w:rsidR="004F5936" w:rsidRPr="00112300">
        <w:rPr>
          <w:rFonts w:ascii="Verdana" w:hAnsi="Verdana"/>
          <w:sz w:val="20"/>
          <w:szCs w:val="20"/>
        </w:rPr>
        <w:t xml:space="preserve"> </w:t>
      </w:r>
      <w:r w:rsidR="00C81105" w:rsidRPr="00112300">
        <w:rPr>
          <w:rFonts w:ascii="Verdana" w:hAnsi="Verdana"/>
          <w:sz w:val="20"/>
          <w:szCs w:val="20"/>
        </w:rPr>
        <w:t>Asimismo,</w:t>
      </w:r>
      <w:r w:rsidR="00D96FE9" w:rsidRPr="00112300">
        <w:rPr>
          <w:rFonts w:ascii="Verdana" w:hAnsi="Verdana"/>
          <w:sz w:val="20"/>
          <w:szCs w:val="20"/>
        </w:rPr>
        <w:t xml:space="preserve"> señalaron que se impusieron penas accesorias a los </w:t>
      </w:r>
      <w:r w:rsidR="00203E18" w:rsidRPr="00112300">
        <w:rPr>
          <w:rFonts w:ascii="Verdana" w:hAnsi="Verdana"/>
          <w:sz w:val="20"/>
          <w:szCs w:val="20"/>
        </w:rPr>
        <w:t xml:space="preserve">referidos </w:t>
      </w:r>
      <w:r w:rsidR="00D96FE9" w:rsidRPr="00112300">
        <w:rPr>
          <w:rFonts w:ascii="Verdana" w:hAnsi="Verdana"/>
          <w:sz w:val="20"/>
          <w:szCs w:val="20"/>
        </w:rPr>
        <w:t>beneficiarios</w:t>
      </w:r>
      <w:r w:rsidR="00203E18" w:rsidRPr="00112300">
        <w:rPr>
          <w:rFonts w:ascii="Verdana" w:hAnsi="Verdana"/>
          <w:sz w:val="20"/>
          <w:szCs w:val="20"/>
        </w:rPr>
        <w:t xml:space="preserve"> </w:t>
      </w:r>
      <w:r w:rsidR="00452E31" w:rsidRPr="00112300">
        <w:rPr>
          <w:rFonts w:ascii="Verdana" w:hAnsi="Verdana"/>
          <w:sz w:val="20"/>
          <w:szCs w:val="20"/>
        </w:rPr>
        <w:t xml:space="preserve">consistentes en </w:t>
      </w:r>
      <w:r w:rsidR="00656F82" w:rsidRPr="00112300">
        <w:rPr>
          <w:rFonts w:ascii="Verdana" w:hAnsi="Verdana"/>
          <w:sz w:val="20"/>
          <w:szCs w:val="20"/>
        </w:rPr>
        <w:t xml:space="preserve">la pérdida de sus derechos ciudadanos </w:t>
      </w:r>
      <w:r w:rsidR="006F6DE4" w:rsidRPr="00112300">
        <w:rPr>
          <w:rFonts w:ascii="Verdana" w:hAnsi="Verdana"/>
          <w:sz w:val="20"/>
          <w:szCs w:val="20"/>
        </w:rPr>
        <w:t xml:space="preserve">y </w:t>
      </w:r>
      <w:r w:rsidR="00452E31" w:rsidRPr="00112300">
        <w:rPr>
          <w:rFonts w:ascii="Verdana" w:hAnsi="Verdana"/>
          <w:sz w:val="20"/>
          <w:szCs w:val="20"/>
        </w:rPr>
        <w:t>la inhabilitación absoluta y especial para ejercer cargos públicos</w:t>
      </w:r>
      <w:r w:rsidR="001A09D5" w:rsidRPr="00112300">
        <w:rPr>
          <w:rFonts w:ascii="Verdana" w:hAnsi="Verdana"/>
          <w:sz w:val="20"/>
          <w:szCs w:val="20"/>
        </w:rPr>
        <w:t xml:space="preserve"> y</w:t>
      </w:r>
      <w:r w:rsidR="00C261DD" w:rsidRPr="00112300">
        <w:rPr>
          <w:rFonts w:ascii="Verdana" w:hAnsi="Verdana"/>
          <w:sz w:val="20"/>
          <w:szCs w:val="20"/>
        </w:rPr>
        <w:t xml:space="preserve"> de elección </w:t>
      </w:r>
      <w:r w:rsidR="00056C4F" w:rsidRPr="00112300">
        <w:rPr>
          <w:rFonts w:ascii="Verdana" w:hAnsi="Verdana"/>
          <w:sz w:val="20"/>
          <w:szCs w:val="20"/>
        </w:rPr>
        <w:t>popular.</w:t>
      </w:r>
      <w:r w:rsidR="006F6DE4" w:rsidRPr="00112300">
        <w:rPr>
          <w:rFonts w:ascii="Verdana" w:hAnsi="Verdana"/>
          <w:sz w:val="20"/>
          <w:szCs w:val="20"/>
        </w:rPr>
        <w:t xml:space="preserve"> </w:t>
      </w:r>
      <w:r w:rsidR="00D914F7" w:rsidRPr="00112300">
        <w:rPr>
          <w:rFonts w:ascii="Verdana" w:hAnsi="Verdana"/>
          <w:sz w:val="20"/>
          <w:szCs w:val="20"/>
        </w:rPr>
        <w:t xml:space="preserve">Indicaron que en la referida sentencia también se ordenó </w:t>
      </w:r>
      <w:r w:rsidR="00822F93" w:rsidRPr="00112300">
        <w:rPr>
          <w:rFonts w:ascii="Verdana" w:hAnsi="Verdana"/>
          <w:sz w:val="20"/>
          <w:szCs w:val="20"/>
        </w:rPr>
        <w:t>“la p</w:t>
      </w:r>
      <w:r w:rsidR="009960DE">
        <w:rPr>
          <w:rFonts w:ascii="Verdana" w:hAnsi="Verdana"/>
          <w:sz w:val="20"/>
          <w:szCs w:val="20"/>
        </w:rPr>
        <w:t>é</w:t>
      </w:r>
      <w:r w:rsidR="00822F93" w:rsidRPr="00112300">
        <w:rPr>
          <w:rFonts w:ascii="Verdana" w:hAnsi="Verdana"/>
          <w:sz w:val="20"/>
          <w:szCs w:val="20"/>
        </w:rPr>
        <w:t>rdida de la nacionalidad nicaragüense” y la “inmovilización y decomiso a favor del Estado de Nicaragua de todos los bienes inmuebles y sociedades que los procesados tengan inscritas a su</w:t>
      </w:r>
      <w:r w:rsidR="00056727" w:rsidRPr="00112300">
        <w:rPr>
          <w:rFonts w:ascii="Verdana" w:hAnsi="Verdana"/>
          <w:sz w:val="20"/>
          <w:szCs w:val="20"/>
        </w:rPr>
        <w:t xml:space="preserve"> favor, ya sea a título personal o de personas jurídicas o sociedades en las que participan como socios</w:t>
      </w:r>
      <w:r w:rsidR="00822F93" w:rsidRPr="00112300">
        <w:rPr>
          <w:rFonts w:ascii="Verdana" w:hAnsi="Verdana"/>
          <w:sz w:val="20"/>
          <w:szCs w:val="20"/>
        </w:rPr>
        <w:t>”</w:t>
      </w:r>
      <w:r w:rsidR="00056727" w:rsidRPr="00112300">
        <w:rPr>
          <w:rFonts w:ascii="Verdana" w:hAnsi="Verdana"/>
          <w:sz w:val="20"/>
          <w:szCs w:val="20"/>
        </w:rPr>
        <w:t xml:space="preserve">. </w:t>
      </w:r>
    </w:p>
    <w:p w14:paraId="07855EB6" w14:textId="77777777" w:rsidR="00056727" w:rsidRPr="00112300" w:rsidRDefault="00056727" w:rsidP="00056727">
      <w:pPr>
        <w:jc w:val="both"/>
        <w:rPr>
          <w:rFonts w:ascii="Verdana" w:hAnsi="Verdana"/>
          <w:sz w:val="20"/>
          <w:szCs w:val="20"/>
        </w:rPr>
      </w:pPr>
    </w:p>
    <w:p w14:paraId="3B1886C5" w14:textId="36219722" w:rsidR="00BE5F54" w:rsidRPr="00112300" w:rsidRDefault="006C295F" w:rsidP="00035507">
      <w:pPr>
        <w:numPr>
          <w:ilvl w:val="0"/>
          <w:numId w:val="25"/>
        </w:numPr>
        <w:ind w:left="0" w:firstLine="0"/>
        <w:jc w:val="both"/>
        <w:rPr>
          <w:rFonts w:ascii="Verdana" w:hAnsi="Verdana"/>
          <w:sz w:val="20"/>
          <w:szCs w:val="20"/>
        </w:rPr>
      </w:pPr>
      <w:r w:rsidRPr="00112300">
        <w:rPr>
          <w:rFonts w:ascii="Verdana" w:hAnsi="Verdana"/>
          <w:sz w:val="20"/>
          <w:szCs w:val="20"/>
        </w:rPr>
        <w:t xml:space="preserve"> </w:t>
      </w:r>
      <w:r w:rsidR="004C4954" w:rsidRPr="00112300">
        <w:rPr>
          <w:rFonts w:ascii="Verdana" w:hAnsi="Verdana"/>
          <w:sz w:val="20"/>
          <w:szCs w:val="20"/>
        </w:rPr>
        <w:t>Adicionalmente</w:t>
      </w:r>
      <w:r w:rsidR="00904CA9" w:rsidRPr="00112300">
        <w:rPr>
          <w:rFonts w:ascii="Verdana" w:hAnsi="Verdana"/>
          <w:sz w:val="20"/>
          <w:szCs w:val="20"/>
        </w:rPr>
        <w:t xml:space="preserve">, </w:t>
      </w:r>
      <w:r w:rsidR="00056727" w:rsidRPr="00112300">
        <w:rPr>
          <w:rFonts w:ascii="Verdana" w:hAnsi="Verdana"/>
          <w:sz w:val="20"/>
          <w:szCs w:val="20"/>
        </w:rPr>
        <w:t xml:space="preserve">señalaron que </w:t>
      </w:r>
      <w:r w:rsidR="0045275F" w:rsidRPr="00112300">
        <w:rPr>
          <w:rFonts w:ascii="Verdana" w:hAnsi="Verdana"/>
          <w:sz w:val="20"/>
          <w:szCs w:val="20"/>
        </w:rPr>
        <w:t>l</w:t>
      </w:r>
      <w:r w:rsidR="00EE68A1" w:rsidRPr="00112300">
        <w:rPr>
          <w:rFonts w:ascii="Verdana" w:hAnsi="Verdana"/>
          <w:sz w:val="20"/>
          <w:szCs w:val="20"/>
        </w:rPr>
        <w:t xml:space="preserve">os beneficiarios nunca fueron informados de la existencia del proceso </w:t>
      </w:r>
      <w:r w:rsidR="00264754">
        <w:rPr>
          <w:rFonts w:ascii="Verdana" w:hAnsi="Verdana"/>
          <w:sz w:val="20"/>
          <w:szCs w:val="20"/>
        </w:rPr>
        <w:t>incoado</w:t>
      </w:r>
      <w:r w:rsidR="00264754" w:rsidRPr="00112300">
        <w:rPr>
          <w:rFonts w:ascii="Verdana" w:hAnsi="Verdana"/>
          <w:sz w:val="20"/>
          <w:szCs w:val="20"/>
        </w:rPr>
        <w:t xml:space="preserve"> </w:t>
      </w:r>
      <w:r w:rsidR="00EE68A1" w:rsidRPr="00112300">
        <w:rPr>
          <w:rFonts w:ascii="Verdana" w:hAnsi="Verdana"/>
          <w:sz w:val="20"/>
          <w:szCs w:val="20"/>
        </w:rPr>
        <w:t>en su contra</w:t>
      </w:r>
      <w:r w:rsidR="00416EFA" w:rsidRPr="00112300">
        <w:rPr>
          <w:rFonts w:ascii="Verdana" w:hAnsi="Verdana"/>
          <w:sz w:val="20"/>
          <w:szCs w:val="20"/>
        </w:rPr>
        <w:t xml:space="preserve"> o citados para asistir a ningún acto procesal vinculado a </w:t>
      </w:r>
      <w:r w:rsidR="004A77A0" w:rsidRPr="00112300">
        <w:rPr>
          <w:rFonts w:ascii="Verdana" w:hAnsi="Verdana"/>
          <w:sz w:val="20"/>
          <w:szCs w:val="20"/>
        </w:rPr>
        <w:t>las acusaciones</w:t>
      </w:r>
      <w:r w:rsidR="00416EFA" w:rsidRPr="00112300">
        <w:rPr>
          <w:rFonts w:ascii="Verdana" w:hAnsi="Verdana"/>
          <w:sz w:val="20"/>
          <w:szCs w:val="20"/>
        </w:rPr>
        <w:t xml:space="preserve">. </w:t>
      </w:r>
      <w:r w:rsidR="003B666F" w:rsidRPr="00112300">
        <w:rPr>
          <w:rFonts w:ascii="Verdana" w:hAnsi="Verdana"/>
          <w:sz w:val="20"/>
          <w:szCs w:val="20"/>
        </w:rPr>
        <w:t>Indicaron que l</w:t>
      </w:r>
      <w:r w:rsidR="00DA7531" w:rsidRPr="00112300">
        <w:rPr>
          <w:rFonts w:ascii="Verdana" w:hAnsi="Verdana"/>
          <w:sz w:val="20"/>
          <w:szCs w:val="20"/>
        </w:rPr>
        <w:t xml:space="preserve">as penas fueron impuestas a los beneficiarios sin que </w:t>
      </w:r>
      <w:r w:rsidR="00271D33" w:rsidRPr="00112300">
        <w:rPr>
          <w:rFonts w:ascii="Verdana" w:hAnsi="Verdana"/>
          <w:sz w:val="20"/>
          <w:szCs w:val="20"/>
        </w:rPr>
        <w:t>pudieran conocer</w:t>
      </w:r>
      <w:r w:rsidR="00DA7531" w:rsidRPr="00112300">
        <w:rPr>
          <w:rFonts w:ascii="Verdana" w:hAnsi="Verdana"/>
          <w:sz w:val="20"/>
          <w:szCs w:val="20"/>
        </w:rPr>
        <w:t xml:space="preserve"> “los fundamentos jurídicos y fácticos que motivaron la imposición de las mismas”. </w:t>
      </w:r>
      <w:r w:rsidR="004C4954" w:rsidRPr="00112300">
        <w:rPr>
          <w:rFonts w:ascii="Verdana" w:hAnsi="Verdana"/>
          <w:sz w:val="20"/>
          <w:szCs w:val="20"/>
        </w:rPr>
        <w:t>También</w:t>
      </w:r>
      <w:r w:rsidR="003A70F4" w:rsidRPr="00112300">
        <w:rPr>
          <w:rFonts w:ascii="Verdana" w:hAnsi="Verdana"/>
          <w:sz w:val="20"/>
          <w:szCs w:val="20"/>
        </w:rPr>
        <w:t xml:space="preserve"> informaron que los beneficiarios han sido declarados “prófugos”</w:t>
      </w:r>
      <w:r w:rsidR="00271D33" w:rsidRPr="00112300">
        <w:rPr>
          <w:rFonts w:ascii="Verdana" w:hAnsi="Verdana"/>
          <w:sz w:val="20"/>
          <w:szCs w:val="20"/>
        </w:rPr>
        <w:t>,</w:t>
      </w:r>
      <w:r w:rsidR="003A70F4" w:rsidRPr="00112300">
        <w:rPr>
          <w:rFonts w:ascii="Verdana" w:hAnsi="Verdana"/>
          <w:sz w:val="20"/>
          <w:szCs w:val="20"/>
        </w:rPr>
        <w:t xml:space="preserve"> </w:t>
      </w:r>
      <w:r w:rsidR="00035507" w:rsidRPr="00112300">
        <w:rPr>
          <w:rFonts w:ascii="Verdana" w:hAnsi="Verdana"/>
          <w:sz w:val="20"/>
          <w:szCs w:val="20"/>
        </w:rPr>
        <w:t>por lo que corren el riesgo “extremo” de ser “capturados y privados de libertad”.</w:t>
      </w:r>
      <w:r w:rsidR="004C4954" w:rsidRPr="00112300">
        <w:rPr>
          <w:rFonts w:ascii="Verdana" w:hAnsi="Verdana"/>
          <w:sz w:val="20"/>
          <w:szCs w:val="20"/>
        </w:rPr>
        <w:t xml:space="preserve"> </w:t>
      </w:r>
    </w:p>
    <w:p w14:paraId="5BB521E8" w14:textId="77777777" w:rsidR="00014D1B" w:rsidRPr="00112300" w:rsidRDefault="00014D1B" w:rsidP="00014D1B">
      <w:pPr>
        <w:pStyle w:val="Prrafodelista"/>
        <w:rPr>
          <w:rFonts w:ascii="Verdana" w:hAnsi="Verdana"/>
          <w:sz w:val="20"/>
          <w:szCs w:val="20"/>
        </w:rPr>
      </w:pPr>
    </w:p>
    <w:p w14:paraId="3D7F6792" w14:textId="27B9A03D" w:rsidR="00014D1B" w:rsidRPr="00112300" w:rsidRDefault="00B26557" w:rsidP="00035507">
      <w:pPr>
        <w:numPr>
          <w:ilvl w:val="0"/>
          <w:numId w:val="25"/>
        </w:numPr>
        <w:ind w:left="0" w:firstLine="0"/>
        <w:jc w:val="both"/>
        <w:rPr>
          <w:rFonts w:ascii="Verdana" w:hAnsi="Verdana"/>
          <w:sz w:val="20"/>
          <w:szCs w:val="20"/>
        </w:rPr>
      </w:pPr>
      <w:r w:rsidRPr="00112300">
        <w:rPr>
          <w:rFonts w:ascii="Verdana" w:hAnsi="Verdana"/>
          <w:sz w:val="20"/>
          <w:szCs w:val="20"/>
        </w:rPr>
        <w:t>Los representantes también</w:t>
      </w:r>
      <w:r w:rsidR="00EA3FAB" w:rsidRPr="00112300">
        <w:rPr>
          <w:rFonts w:ascii="Verdana" w:hAnsi="Verdana"/>
          <w:sz w:val="20"/>
          <w:szCs w:val="20"/>
        </w:rPr>
        <w:t xml:space="preserve"> informaron que el 11 de mayo de 2023, el Consejo Nacional de Administración y Carrera Judicial perteneciente a la Corte Suprema de Justicia de Nicaragua emitió una resolución mediante la cual resolvió “suspender</w:t>
      </w:r>
      <w:r w:rsidR="00427F30" w:rsidRPr="00112300">
        <w:rPr>
          <w:rFonts w:ascii="Verdana" w:hAnsi="Verdana"/>
          <w:sz w:val="20"/>
          <w:szCs w:val="20"/>
        </w:rPr>
        <w:t>, de forma definitiva, el ejercicio de la profesión y anular los títulos de abogados</w:t>
      </w:r>
      <w:r w:rsidR="00EA3FAB" w:rsidRPr="00112300">
        <w:rPr>
          <w:rFonts w:ascii="Verdana" w:hAnsi="Verdana"/>
          <w:sz w:val="20"/>
          <w:szCs w:val="20"/>
        </w:rPr>
        <w:t>”</w:t>
      </w:r>
      <w:r w:rsidR="00427F30" w:rsidRPr="00112300">
        <w:rPr>
          <w:rFonts w:ascii="Verdana" w:hAnsi="Verdana"/>
          <w:sz w:val="20"/>
          <w:szCs w:val="20"/>
        </w:rPr>
        <w:t xml:space="preserve"> de Vilma Núñez Ruí</w:t>
      </w:r>
      <w:r w:rsidR="00200FCC" w:rsidRPr="00112300">
        <w:rPr>
          <w:rFonts w:ascii="Verdana" w:hAnsi="Verdana"/>
          <w:sz w:val="20"/>
          <w:szCs w:val="20"/>
        </w:rPr>
        <w:t>z de Escorcia y Guillermo Gonzalo Carrión</w:t>
      </w:r>
      <w:r w:rsidR="001803B1" w:rsidRPr="00112300">
        <w:rPr>
          <w:rFonts w:ascii="Verdana" w:hAnsi="Verdana"/>
          <w:sz w:val="20"/>
          <w:szCs w:val="20"/>
        </w:rPr>
        <w:t xml:space="preserve"> Maradiaga</w:t>
      </w:r>
      <w:r w:rsidR="00200FCC" w:rsidRPr="00112300">
        <w:rPr>
          <w:rFonts w:ascii="Verdana" w:hAnsi="Verdana"/>
          <w:sz w:val="20"/>
          <w:szCs w:val="20"/>
        </w:rPr>
        <w:t xml:space="preserve">. </w:t>
      </w:r>
      <w:r w:rsidR="005C0D30" w:rsidRPr="00112300">
        <w:rPr>
          <w:rFonts w:ascii="Verdana" w:hAnsi="Verdana"/>
          <w:sz w:val="20"/>
          <w:szCs w:val="20"/>
        </w:rPr>
        <w:t>Los representantes indicaron que la medida adoptada se habría llevado a cabo sin la existencia de un procedimiento previo que fuera “respetuoso de las garantías judiciales” y “que permitiera algún tipo de defensa</w:t>
      </w:r>
      <w:r w:rsidR="00064D82">
        <w:rPr>
          <w:rFonts w:ascii="Verdana" w:hAnsi="Verdana"/>
          <w:sz w:val="20"/>
          <w:szCs w:val="20"/>
        </w:rPr>
        <w:t>”.</w:t>
      </w:r>
    </w:p>
    <w:p w14:paraId="71AC9D7F" w14:textId="77777777" w:rsidR="00031D6D" w:rsidRPr="00112300" w:rsidRDefault="00031D6D" w:rsidP="00031D6D">
      <w:pPr>
        <w:pStyle w:val="Prrafodelista"/>
        <w:rPr>
          <w:rFonts w:ascii="Verdana" w:hAnsi="Verdana"/>
          <w:sz w:val="20"/>
          <w:szCs w:val="20"/>
        </w:rPr>
      </w:pPr>
    </w:p>
    <w:p w14:paraId="7D4D15FF" w14:textId="01C73212" w:rsidR="00031D6D" w:rsidRPr="00112300" w:rsidRDefault="00031D6D" w:rsidP="00031D6D">
      <w:pPr>
        <w:numPr>
          <w:ilvl w:val="0"/>
          <w:numId w:val="25"/>
        </w:numPr>
        <w:ind w:left="0" w:firstLine="0"/>
        <w:jc w:val="both"/>
        <w:rPr>
          <w:rFonts w:ascii="Verdana" w:hAnsi="Verdana"/>
          <w:sz w:val="20"/>
          <w:szCs w:val="20"/>
        </w:rPr>
      </w:pPr>
      <w:r w:rsidRPr="00112300">
        <w:rPr>
          <w:rFonts w:ascii="Verdana" w:hAnsi="Verdana"/>
          <w:sz w:val="20"/>
          <w:szCs w:val="20"/>
        </w:rPr>
        <w:t xml:space="preserve">Añadieron que el </w:t>
      </w:r>
      <w:r w:rsidR="0017782E" w:rsidRPr="00112300">
        <w:rPr>
          <w:rFonts w:ascii="Verdana" w:hAnsi="Verdana"/>
          <w:sz w:val="20"/>
          <w:szCs w:val="20"/>
        </w:rPr>
        <w:t>beneficiario</w:t>
      </w:r>
      <w:r w:rsidRPr="00112300">
        <w:rPr>
          <w:rFonts w:ascii="Verdana" w:hAnsi="Verdana"/>
          <w:sz w:val="20"/>
          <w:szCs w:val="20"/>
        </w:rPr>
        <w:t xml:space="preserve"> Juan Carlos Arce Campos habría sido objeto de hostigamientos a través de </w:t>
      </w:r>
      <w:r w:rsidR="00064D82" w:rsidRPr="00112300">
        <w:rPr>
          <w:rFonts w:ascii="Verdana" w:hAnsi="Verdana"/>
          <w:sz w:val="20"/>
          <w:szCs w:val="20"/>
        </w:rPr>
        <w:t>WhatsApp</w:t>
      </w:r>
      <w:r w:rsidRPr="00112300">
        <w:rPr>
          <w:rFonts w:ascii="Verdana" w:hAnsi="Verdana"/>
          <w:sz w:val="20"/>
          <w:szCs w:val="20"/>
        </w:rPr>
        <w:t xml:space="preserve"> y Facebook. En particular, el señor Arce Campos se encontraría impedido de hacer uso de</w:t>
      </w:r>
      <w:r w:rsidR="00F672E4" w:rsidRPr="00112300">
        <w:rPr>
          <w:rFonts w:ascii="Verdana" w:hAnsi="Verdana"/>
          <w:sz w:val="20"/>
          <w:szCs w:val="20"/>
        </w:rPr>
        <w:t xml:space="preserve"> la red social</w:t>
      </w:r>
      <w:r w:rsidRPr="00112300">
        <w:rPr>
          <w:rFonts w:ascii="Verdana" w:hAnsi="Verdana"/>
          <w:sz w:val="20"/>
          <w:szCs w:val="20"/>
        </w:rPr>
        <w:t xml:space="preserve"> </w:t>
      </w:r>
      <w:r w:rsidR="00F672E4" w:rsidRPr="00112300">
        <w:rPr>
          <w:rFonts w:ascii="Verdana" w:hAnsi="Verdana"/>
          <w:sz w:val="20"/>
          <w:szCs w:val="20"/>
        </w:rPr>
        <w:t>“</w:t>
      </w:r>
      <w:r w:rsidRPr="00112300">
        <w:rPr>
          <w:rFonts w:ascii="Verdana" w:hAnsi="Verdana"/>
          <w:sz w:val="20"/>
          <w:szCs w:val="20"/>
        </w:rPr>
        <w:t>Facebook</w:t>
      </w:r>
      <w:r w:rsidR="00F672E4" w:rsidRPr="00112300">
        <w:rPr>
          <w:rFonts w:ascii="Verdana" w:hAnsi="Verdana"/>
          <w:sz w:val="20"/>
          <w:szCs w:val="20"/>
        </w:rPr>
        <w:t>”</w:t>
      </w:r>
      <w:r w:rsidRPr="00112300">
        <w:rPr>
          <w:rFonts w:ascii="Verdana" w:hAnsi="Verdana"/>
          <w:sz w:val="20"/>
          <w:szCs w:val="20"/>
        </w:rPr>
        <w:t xml:space="preserve"> debido a que sus 59 publicaciones sobre denuncias de violaciones de derechos humanos en el país habrían sido reportadas o denunciadas ante la plataforma como “publicaciones inapropiadas”.</w:t>
      </w:r>
      <w:r w:rsidRPr="00112300">
        <w:rPr>
          <w:rFonts w:ascii="Verdana" w:hAnsi="Verdana"/>
          <w:b/>
          <w:bCs/>
          <w:sz w:val="20"/>
          <w:szCs w:val="20"/>
        </w:rPr>
        <w:t xml:space="preserve"> </w:t>
      </w:r>
    </w:p>
    <w:p w14:paraId="36F6F488" w14:textId="77777777" w:rsidR="00BE5F54" w:rsidRPr="00112300" w:rsidRDefault="00BE5F54" w:rsidP="00433965">
      <w:pPr>
        <w:rPr>
          <w:rFonts w:ascii="Verdana" w:hAnsi="Verdana"/>
          <w:sz w:val="20"/>
          <w:szCs w:val="20"/>
        </w:rPr>
      </w:pPr>
    </w:p>
    <w:p w14:paraId="07DFB11B" w14:textId="07485D5C" w:rsidR="005953DB" w:rsidRPr="00064D82" w:rsidRDefault="00D82EB3" w:rsidP="002C0958">
      <w:pPr>
        <w:numPr>
          <w:ilvl w:val="0"/>
          <w:numId w:val="25"/>
        </w:numPr>
        <w:ind w:left="0" w:firstLine="0"/>
        <w:jc w:val="both"/>
      </w:pPr>
      <w:r w:rsidRPr="00112300">
        <w:rPr>
          <w:rFonts w:ascii="Verdana" w:hAnsi="Verdana"/>
          <w:sz w:val="20"/>
          <w:szCs w:val="20"/>
        </w:rPr>
        <w:t xml:space="preserve">Finalmente, </w:t>
      </w:r>
      <w:r w:rsidR="00737F06" w:rsidRPr="00112300">
        <w:rPr>
          <w:rFonts w:ascii="Verdana" w:hAnsi="Verdana"/>
          <w:sz w:val="20"/>
          <w:szCs w:val="20"/>
        </w:rPr>
        <w:t>argumentaron</w:t>
      </w:r>
      <w:r w:rsidRPr="00112300">
        <w:rPr>
          <w:rFonts w:ascii="Verdana" w:hAnsi="Verdana"/>
          <w:sz w:val="20"/>
          <w:szCs w:val="20"/>
        </w:rPr>
        <w:t xml:space="preserve"> que “la arbitrariedad e ilegalidad” del proceso judicial seguido contra </w:t>
      </w:r>
      <w:r w:rsidR="00031D6D" w:rsidRPr="00112300">
        <w:rPr>
          <w:rFonts w:ascii="Verdana" w:hAnsi="Verdana"/>
          <w:sz w:val="20"/>
          <w:szCs w:val="20"/>
        </w:rPr>
        <w:t xml:space="preserve">Vilma Núñez Ruíz de Escorcia y Guillermo Gonzalo Carrión Maradiaga </w:t>
      </w:r>
      <w:r w:rsidR="00375C79" w:rsidRPr="00112300">
        <w:rPr>
          <w:rFonts w:ascii="Verdana" w:hAnsi="Verdana"/>
          <w:sz w:val="20"/>
          <w:szCs w:val="20"/>
        </w:rPr>
        <w:t xml:space="preserve">acrecientan “exponencialmente” el riesgo de sufrir daños a sus derechos </w:t>
      </w:r>
      <w:r w:rsidR="003A70F4" w:rsidRPr="00112300">
        <w:rPr>
          <w:rFonts w:ascii="Verdana" w:hAnsi="Verdana"/>
          <w:sz w:val="20"/>
          <w:szCs w:val="20"/>
        </w:rPr>
        <w:t>a la vida e integridad</w:t>
      </w:r>
      <w:r w:rsidR="00EA154E" w:rsidRPr="00112300">
        <w:rPr>
          <w:rFonts w:ascii="Verdana" w:hAnsi="Verdana"/>
          <w:sz w:val="20"/>
          <w:szCs w:val="20"/>
        </w:rPr>
        <w:t>, por lo</w:t>
      </w:r>
      <w:r w:rsidR="006730B0" w:rsidRPr="00112300">
        <w:rPr>
          <w:rFonts w:ascii="Verdana" w:hAnsi="Verdana"/>
          <w:sz w:val="20"/>
          <w:szCs w:val="20"/>
        </w:rPr>
        <w:t xml:space="preserve"> que </w:t>
      </w:r>
      <w:r w:rsidR="00EA154E" w:rsidRPr="00112300">
        <w:rPr>
          <w:rFonts w:ascii="Verdana" w:hAnsi="Verdana"/>
          <w:sz w:val="20"/>
          <w:szCs w:val="20"/>
        </w:rPr>
        <w:t xml:space="preserve">resulta necesario que </w:t>
      </w:r>
      <w:r w:rsidR="006730B0" w:rsidRPr="00112300">
        <w:rPr>
          <w:rFonts w:ascii="Verdana" w:hAnsi="Verdana"/>
          <w:sz w:val="20"/>
          <w:szCs w:val="20"/>
        </w:rPr>
        <w:t>la Corte requiera al Estado que “se abstenga de realizar acciones que pongan en riesgo la vida e integridad de los beneficiarios de las presentes medidas</w:t>
      </w:r>
      <w:r w:rsidR="00892BE1" w:rsidRPr="00112300">
        <w:rPr>
          <w:rFonts w:ascii="Verdana" w:hAnsi="Verdana"/>
          <w:sz w:val="20"/>
          <w:szCs w:val="20"/>
        </w:rPr>
        <w:t>”.</w:t>
      </w:r>
      <w:r w:rsidR="008D6459" w:rsidRPr="00112300">
        <w:rPr>
          <w:rFonts w:ascii="Verdana" w:hAnsi="Verdana"/>
          <w:sz w:val="20"/>
          <w:szCs w:val="20"/>
        </w:rPr>
        <w:t xml:space="preserve"> </w:t>
      </w:r>
      <w:r w:rsidR="00031D6D" w:rsidRPr="00112300">
        <w:rPr>
          <w:rFonts w:ascii="Verdana" w:hAnsi="Verdana"/>
          <w:sz w:val="20"/>
          <w:szCs w:val="20"/>
        </w:rPr>
        <w:t>A lo anterior se sumaría el “desacato absoluto” de lo ordenado por la Corte en las presentes medidas provisionales, lo cual constituiría un “riesgo adicional” para las personas beneficiarias.</w:t>
      </w:r>
      <w:r w:rsidR="00031D6D" w:rsidRPr="00112300">
        <w:rPr>
          <w:rFonts w:ascii="Verdana" w:hAnsi="Verdana"/>
          <w:b/>
          <w:bCs/>
          <w:sz w:val="20"/>
          <w:szCs w:val="20"/>
        </w:rPr>
        <w:t xml:space="preserve"> </w:t>
      </w:r>
    </w:p>
    <w:p w14:paraId="450F9BDE" w14:textId="77777777" w:rsidR="00064D82" w:rsidRDefault="00064D82" w:rsidP="00064D82">
      <w:pPr>
        <w:pStyle w:val="Prrafodelista"/>
      </w:pPr>
    </w:p>
    <w:p w14:paraId="4F7BEE9B" w14:textId="7B66E530" w:rsidR="00031D6D" w:rsidRPr="00112300" w:rsidRDefault="00853D26" w:rsidP="001803B1">
      <w:pPr>
        <w:numPr>
          <w:ilvl w:val="0"/>
          <w:numId w:val="25"/>
        </w:numPr>
        <w:ind w:left="0" w:firstLine="0"/>
        <w:jc w:val="both"/>
        <w:rPr>
          <w:rFonts w:ascii="Verdana" w:hAnsi="Verdana"/>
          <w:b/>
          <w:bCs/>
          <w:sz w:val="20"/>
          <w:szCs w:val="20"/>
          <w:lang w:val="es-ES"/>
        </w:rPr>
      </w:pPr>
      <w:r w:rsidRPr="00112300">
        <w:rPr>
          <w:rFonts w:ascii="Verdana" w:hAnsi="Verdana"/>
          <w:sz w:val="20"/>
          <w:szCs w:val="20"/>
        </w:rPr>
        <w:lastRenderedPageBreak/>
        <w:t xml:space="preserve">La </w:t>
      </w:r>
      <w:r w:rsidRPr="00112300">
        <w:rPr>
          <w:rFonts w:ascii="Verdana" w:hAnsi="Verdana"/>
          <w:b/>
          <w:i/>
          <w:sz w:val="20"/>
          <w:szCs w:val="20"/>
        </w:rPr>
        <w:t>Comisión</w:t>
      </w:r>
      <w:r w:rsidRPr="00112300">
        <w:rPr>
          <w:rFonts w:ascii="Verdana" w:hAnsi="Verdana"/>
          <w:sz w:val="20"/>
          <w:szCs w:val="20"/>
        </w:rPr>
        <w:t xml:space="preserve"> </w:t>
      </w:r>
      <w:r w:rsidR="00AF359D" w:rsidRPr="00112300">
        <w:rPr>
          <w:rFonts w:ascii="Verdana" w:hAnsi="Verdana"/>
          <w:sz w:val="20"/>
          <w:szCs w:val="20"/>
        </w:rPr>
        <w:t xml:space="preserve">advirtió </w:t>
      </w:r>
      <w:r w:rsidR="00D10F02" w:rsidRPr="00112300">
        <w:rPr>
          <w:rFonts w:ascii="Verdana" w:hAnsi="Verdana"/>
          <w:sz w:val="20"/>
          <w:szCs w:val="20"/>
        </w:rPr>
        <w:t xml:space="preserve">que en el presente caso los beneficiarios Vilma Núñez de Escorcia y Guillermo Gonzalo Carrión </w:t>
      </w:r>
      <w:r w:rsidR="001803B1" w:rsidRPr="00112300">
        <w:rPr>
          <w:rFonts w:ascii="Verdana" w:hAnsi="Verdana"/>
          <w:sz w:val="20"/>
          <w:szCs w:val="20"/>
        </w:rPr>
        <w:t xml:space="preserve">Maradiaga </w:t>
      </w:r>
      <w:r w:rsidR="00D10F02" w:rsidRPr="00112300">
        <w:rPr>
          <w:rFonts w:ascii="Verdana" w:hAnsi="Verdana"/>
          <w:sz w:val="20"/>
          <w:szCs w:val="20"/>
        </w:rPr>
        <w:t>fu</w:t>
      </w:r>
      <w:r w:rsidR="007F4546" w:rsidRPr="00112300">
        <w:rPr>
          <w:rFonts w:ascii="Verdana" w:hAnsi="Verdana"/>
          <w:sz w:val="20"/>
          <w:szCs w:val="20"/>
        </w:rPr>
        <w:t xml:space="preserve">eron sometidos a penas que incluyen la privación de nacionalidad, derechos políticos y propiedades “en la ausencia de un proceso penal”. </w:t>
      </w:r>
      <w:r w:rsidR="00801E03" w:rsidRPr="00112300">
        <w:rPr>
          <w:rFonts w:ascii="Verdana" w:hAnsi="Verdana"/>
          <w:sz w:val="20"/>
          <w:szCs w:val="20"/>
        </w:rPr>
        <w:t xml:space="preserve">Además, </w:t>
      </w:r>
      <w:r w:rsidR="00973073" w:rsidRPr="00112300">
        <w:rPr>
          <w:rFonts w:ascii="Verdana" w:hAnsi="Verdana"/>
          <w:sz w:val="20"/>
          <w:szCs w:val="20"/>
        </w:rPr>
        <w:t>indicó</w:t>
      </w:r>
      <w:r w:rsidR="00801E03" w:rsidRPr="00112300">
        <w:rPr>
          <w:rFonts w:ascii="Verdana" w:hAnsi="Verdana"/>
          <w:sz w:val="20"/>
          <w:szCs w:val="20"/>
        </w:rPr>
        <w:t xml:space="preserve"> que las referidas personas habrían sido calificadas como “prófugas de la justicia”, lo que implicaría el riesgo de que los beneficiarios sean “capturados y privados de libertad”. </w:t>
      </w:r>
      <w:r w:rsidR="00C709A8" w:rsidRPr="00112300">
        <w:rPr>
          <w:rFonts w:ascii="Verdana" w:hAnsi="Verdana"/>
          <w:sz w:val="20"/>
          <w:szCs w:val="20"/>
        </w:rPr>
        <w:t xml:space="preserve">Asimismo, la Comisión reiteró el contenido de un comunicado público que habría sido emitido en el contexto de los hechos que denuncian los representantes, en el cual indicó que </w:t>
      </w:r>
      <w:r w:rsidR="009960DE">
        <w:rPr>
          <w:rFonts w:ascii="Verdana" w:hAnsi="Verdana"/>
          <w:sz w:val="20"/>
          <w:szCs w:val="20"/>
        </w:rPr>
        <w:t>“</w:t>
      </w:r>
      <w:r w:rsidR="00C709A8" w:rsidRPr="00112300">
        <w:rPr>
          <w:rFonts w:ascii="Verdana" w:hAnsi="Verdana"/>
          <w:sz w:val="20"/>
          <w:szCs w:val="20"/>
        </w:rPr>
        <w:t xml:space="preserve">la privación </w:t>
      </w:r>
      <w:r w:rsidR="00546BA8" w:rsidRPr="00112300">
        <w:rPr>
          <w:rFonts w:ascii="Verdana" w:hAnsi="Verdana"/>
          <w:sz w:val="20"/>
          <w:szCs w:val="20"/>
        </w:rPr>
        <w:t>arbitraria de la nacionalidad se encuentra prohibida por el derecho internacional de los derechos humanos y por la Convención para reducir los casos de apatridia, de la cual Nicaragua es Estado Parte</w:t>
      </w:r>
      <w:r w:rsidR="00C709A8" w:rsidRPr="00112300">
        <w:rPr>
          <w:rFonts w:ascii="Verdana" w:hAnsi="Verdana"/>
          <w:sz w:val="20"/>
          <w:szCs w:val="20"/>
        </w:rPr>
        <w:t>”</w:t>
      </w:r>
      <w:r w:rsidR="00546BA8" w:rsidRPr="00112300">
        <w:rPr>
          <w:rStyle w:val="Refdenotaalpie"/>
          <w:rFonts w:ascii="Verdana" w:hAnsi="Verdana"/>
          <w:sz w:val="20"/>
          <w:szCs w:val="20"/>
        </w:rPr>
        <w:footnoteReference w:id="19"/>
      </w:r>
      <w:r w:rsidR="00546BA8" w:rsidRPr="00112300">
        <w:rPr>
          <w:rFonts w:ascii="Verdana" w:hAnsi="Verdana"/>
          <w:sz w:val="20"/>
          <w:szCs w:val="20"/>
        </w:rPr>
        <w:t xml:space="preserve">. </w:t>
      </w:r>
      <w:r w:rsidR="001803B1" w:rsidRPr="00112300">
        <w:rPr>
          <w:rFonts w:ascii="Verdana" w:hAnsi="Verdana"/>
          <w:sz w:val="20"/>
          <w:szCs w:val="20"/>
        </w:rPr>
        <w:t>Asimismo, destacó qu</w:t>
      </w:r>
      <w:r w:rsidR="005B1C51" w:rsidRPr="00112300">
        <w:rPr>
          <w:rFonts w:ascii="Verdana" w:hAnsi="Verdana"/>
          <w:sz w:val="20"/>
          <w:szCs w:val="20"/>
        </w:rPr>
        <w:t>e</w:t>
      </w:r>
      <w:r w:rsidR="001803B1" w:rsidRPr="00112300">
        <w:rPr>
          <w:rFonts w:ascii="Verdana" w:hAnsi="Verdana"/>
          <w:sz w:val="20"/>
          <w:szCs w:val="20"/>
        </w:rPr>
        <w:t xml:space="preserve"> el Estado no ha proporcionado ningún tipo de información en el marco de las presentes medidas provisionales. </w:t>
      </w:r>
    </w:p>
    <w:p w14:paraId="607D94F0" w14:textId="77777777" w:rsidR="00031D6D" w:rsidRPr="00112300" w:rsidRDefault="00031D6D" w:rsidP="00031D6D">
      <w:pPr>
        <w:pStyle w:val="Prrafodelista"/>
        <w:rPr>
          <w:rFonts w:ascii="Verdana" w:hAnsi="Verdana"/>
          <w:sz w:val="20"/>
          <w:szCs w:val="20"/>
        </w:rPr>
      </w:pPr>
    </w:p>
    <w:p w14:paraId="5DD7A918" w14:textId="37A23EF8" w:rsidR="001803B1" w:rsidRPr="00112300" w:rsidRDefault="001803B1" w:rsidP="001803B1">
      <w:pPr>
        <w:numPr>
          <w:ilvl w:val="0"/>
          <w:numId w:val="25"/>
        </w:numPr>
        <w:ind w:left="0" w:firstLine="0"/>
        <w:jc w:val="both"/>
        <w:rPr>
          <w:rFonts w:ascii="Verdana" w:hAnsi="Verdana"/>
          <w:b/>
          <w:bCs/>
          <w:sz w:val="20"/>
          <w:szCs w:val="20"/>
          <w:lang w:val="es-ES"/>
        </w:rPr>
      </w:pPr>
      <w:r w:rsidRPr="00112300">
        <w:rPr>
          <w:rFonts w:ascii="Verdana" w:hAnsi="Verdana"/>
          <w:sz w:val="20"/>
          <w:szCs w:val="20"/>
        </w:rPr>
        <w:t>En vista de lo anterior, solicitó a la Corte que reiterara al Estado “los puntos resolutivos de las medidas provisionales en todos sus extremos” y que se pronuncie sobre la “reciente privación de la nacionalidad de las personas beneficiarias, así como respecto de su posible detención”.</w:t>
      </w:r>
      <w:r w:rsidR="00CB637E" w:rsidRPr="00112300">
        <w:rPr>
          <w:rFonts w:ascii="Verdana" w:hAnsi="Verdana"/>
          <w:sz w:val="20"/>
          <w:szCs w:val="20"/>
        </w:rPr>
        <w:t xml:space="preserve"> </w:t>
      </w:r>
    </w:p>
    <w:p w14:paraId="407D0F9E" w14:textId="77777777" w:rsidR="005D6932" w:rsidRPr="00112300" w:rsidRDefault="005D6932" w:rsidP="005D6932">
      <w:pPr>
        <w:pStyle w:val="Prrafodelista"/>
        <w:rPr>
          <w:rFonts w:ascii="Verdana" w:hAnsi="Verdana"/>
          <w:b/>
          <w:bCs/>
          <w:sz w:val="20"/>
          <w:szCs w:val="20"/>
          <w:lang w:val="es-ES"/>
        </w:rPr>
      </w:pPr>
    </w:p>
    <w:p w14:paraId="2257B2ED" w14:textId="7A3BABC7" w:rsidR="005D6932" w:rsidRPr="00112300" w:rsidRDefault="005D6932" w:rsidP="005D6932">
      <w:pPr>
        <w:numPr>
          <w:ilvl w:val="0"/>
          <w:numId w:val="25"/>
        </w:numPr>
        <w:ind w:left="0" w:firstLine="0"/>
        <w:jc w:val="both"/>
        <w:rPr>
          <w:rFonts w:ascii="Verdana" w:hAnsi="Verdana"/>
          <w:sz w:val="20"/>
          <w:szCs w:val="20"/>
        </w:rPr>
      </w:pPr>
      <w:r w:rsidRPr="00112300">
        <w:rPr>
          <w:rFonts w:ascii="Verdana" w:hAnsi="Verdana"/>
          <w:sz w:val="20"/>
          <w:szCs w:val="20"/>
        </w:rPr>
        <w:t xml:space="preserve">El </w:t>
      </w:r>
      <w:r w:rsidRPr="00112300">
        <w:rPr>
          <w:rFonts w:ascii="Verdana" w:hAnsi="Verdana"/>
          <w:b/>
          <w:bCs/>
          <w:i/>
          <w:iCs/>
          <w:sz w:val="20"/>
          <w:szCs w:val="20"/>
        </w:rPr>
        <w:t>Estado</w:t>
      </w:r>
      <w:r w:rsidRPr="00112300">
        <w:rPr>
          <w:rFonts w:ascii="Verdana" w:hAnsi="Verdana"/>
          <w:sz w:val="20"/>
          <w:szCs w:val="20"/>
        </w:rPr>
        <w:t xml:space="preserve"> no efectuó </w:t>
      </w:r>
      <w:r w:rsidR="001803B1" w:rsidRPr="00112300">
        <w:rPr>
          <w:rFonts w:ascii="Verdana" w:hAnsi="Verdana"/>
          <w:sz w:val="20"/>
          <w:szCs w:val="20"/>
        </w:rPr>
        <w:t>observaciones al respecto.</w:t>
      </w:r>
      <w:r w:rsidRPr="00112300">
        <w:rPr>
          <w:rFonts w:ascii="Verdana" w:hAnsi="Verdana"/>
          <w:sz w:val="20"/>
          <w:szCs w:val="20"/>
        </w:rPr>
        <w:t xml:space="preserve"> </w:t>
      </w:r>
    </w:p>
    <w:p w14:paraId="51F3BA1A" w14:textId="77777777" w:rsidR="00056C07" w:rsidRPr="00112300" w:rsidRDefault="00056C07" w:rsidP="00056C07">
      <w:pPr>
        <w:jc w:val="both"/>
        <w:rPr>
          <w:rFonts w:ascii="Verdana" w:eastAsiaTheme="minorHAnsi" w:hAnsi="Verdana" w:cs="Cambria"/>
          <w:sz w:val="20"/>
          <w:szCs w:val="20"/>
          <w:lang w:val="es-CR"/>
        </w:rPr>
      </w:pPr>
    </w:p>
    <w:p w14:paraId="689E2715" w14:textId="0430BEC3" w:rsidR="00056C07" w:rsidRPr="00112300" w:rsidRDefault="00056C07" w:rsidP="00056C07">
      <w:pPr>
        <w:pStyle w:val="Ttulo3"/>
        <w:keepNext w:val="0"/>
        <w:keepLines w:val="0"/>
        <w:pBdr>
          <w:top w:val="nil"/>
        </w:pBdr>
        <w:tabs>
          <w:tab w:val="left" w:pos="426"/>
        </w:tabs>
        <w:spacing w:before="0"/>
        <w:ind w:left="708"/>
        <w:jc w:val="both"/>
        <w:rPr>
          <w:rFonts w:ascii="Verdana" w:hAnsi="Verdana"/>
          <w:b/>
          <w:i/>
          <w:iCs/>
          <w:noProof/>
          <w:color w:val="auto"/>
          <w:sz w:val="20"/>
          <w:szCs w:val="20"/>
        </w:rPr>
      </w:pPr>
      <w:r w:rsidRPr="00112300">
        <w:rPr>
          <w:rFonts w:ascii="Verdana" w:hAnsi="Verdana"/>
          <w:b/>
          <w:i/>
          <w:iCs/>
          <w:noProof/>
          <w:color w:val="auto"/>
          <w:sz w:val="20"/>
          <w:szCs w:val="20"/>
        </w:rPr>
        <w:t>A.2. Consideraciones de la Corte</w:t>
      </w:r>
    </w:p>
    <w:p w14:paraId="32C38335" w14:textId="77777777" w:rsidR="006A55A4" w:rsidRPr="00112300" w:rsidRDefault="006A55A4" w:rsidP="006A55A4">
      <w:pPr>
        <w:rPr>
          <w:rFonts w:ascii="Verdana" w:hAnsi="Verdana"/>
          <w:sz w:val="20"/>
          <w:szCs w:val="20"/>
        </w:rPr>
      </w:pPr>
    </w:p>
    <w:p w14:paraId="73C03504" w14:textId="77652BE3" w:rsidR="006A55A4" w:rsidRPr="00112300" w:rsidRDefault="006A55A4" w:rsidP="006A55A4">
      <w:pPr>
        <w:ind w:left="705"/>
        <w:jc w:val="both"/>
        <w:rPr>
          <w:rFonts w:ascii="Verdana" w:hAnsi="Verdana"/>
          <w:i/>
          <w:iCs/>
          <w:sz w:val="20"/>
          <w:szCs w:val="20"/>
        </w:rPr>
      </w:pPr>
      <w:r w:rsidRPr="00112300">
        <w:rPr>
          <w:rFonts w:ascii="Verdana" w:hAnsi="Verdana"/>
          <w:i/>
          <w:iCs/>
          <w:sz w:val="20"/>
          <w:szCs w:val="20"/>
        </w:rPr>
        <w:t xml:space="preserve">A.2.1. Respecto de las medidas provisionales a adoptar en relación con </w:t>
      </w:r>
      <w:r w:rsidRPr="00112300">
        <w:rPr>
          <w:rFonts w:ascii="Verdana" w:eastAsiaTheme="minorHAnsi" w:hAnsi="Verdana" w:cs="Verdana"/>
          <w:i/>
          <w:iCs/>
          <w:sz w:val="20"/>
          <w:szCs w:val="20"/>
          <w:lang w:val="es-CR"/>
        </w:rPr>
        <w:t xml:space="preserve">los beneficiarios </w:t>
      </w:r>
      <w:r w:rsidRPr="00112300">
        <w:rPr>
          <w:rFonts w:ascii="Verdana" w:hAnsi="Verdana"/>
          <w:i/>
          <w:iCs/>
          <w:sz w:val="20"/>
          <w:szCs w:val="20"/>
        </w:rPr>
        <w:t>Vilma Núñez de Escorcia y Guillermo Gonzalo Carrión Maradiaga</w:t>
      </w:r>
    </w:p>
    <w:p w14:paraId="45464B77" w14:textId="77777777" w:rsidR="002F3E2B" w:rsidRPr="00112300" w:rsidRDefault="002F3E2B" w:rsidP="00013F89">
      <w:pPr>
        <w:jc w:val="both"/>
        <w:rPr>
          <w:rFonts w:ascii="Verdana" w:hAnsi="Verdana"/>
          <w:sz w:val="20"/>
          <w:szCs w:val="20"/>
          <w:lang w:val="es-ES" w:eastAsia="es-CR"/>
        </w:rPr>
      </w:pPr>
    </w:p>
    <w:p w14:paraId="424987F1" w14:textId="278E629E" w:rsidR="00B64A1E" w:rsidRPr="00112300" w:rsidRDefault="00E51AD5" w:rsidP="00C94726">
      <w:pPr>
        <w:numPr>
          <w:ilvl w:val="0"/>
          <w:numId w:val="25"/>
        </w:numPr>
        <w:ind w:left="0" w:firstLine="0"/>
        <w:jc w:val="both"/>
        <w:rPr>
          <w:rFonts w:ascii="Verdana" w:eastAsiaTheme="minorHAnsi" w:hAnsi="Verdana" w:cs="Cambria"/>
          <w:sz w:val="20"/>
          <w:szCs w:val="20"/>
        </w:rPr>
      </w:pPr>
      <w:r w:rsidRPr="00112300">
        <w:rPr>
          <w:rFonts w:ascii="Verdana" w:hAnsi="Verdana"/>
          <w:sz w:val="20"/>
          <w:szCs w:val="20"/>
          <w:lang w:val="es-ES"/>
        </w:rPr>
        <w:t>En primer lugar,</w:t>
      </w:r>
      <w:r w:rsidR="00DA041F">
        <w:rPr>
          <w:rFonts w:ascii="Verdana" w:hAnsi="Verdana"/>
          <w:sz w:val="20"/>
          <w:szCs w:val="20"/>
          <w:lang w:val="es-ES"/>
        </w:rPr>
        <w:t xml:space="preserve"> </w:t>
      </w:r>
      <w:r w:rsidR="000327CC">
        <w:rPr>
          <w:rFonts w:ascii="Verdana" w:hAnsi="Verdana"/>
          <w:sz w:val="20"/>
          <w:szCs w:val="20"/>
          <w:lang w:val="es-ES"/>
        </w:rPr>
        <w:t>la</w:t>
      </w:r>
      <w:r w:rsidR="000327CC" w:rsidRPr="00112300">
        <w:rPr>
          <w:rFonts w:ascii="Verdana" w:hAnsi="Verdana"/>
          <w:sz w:val="20"/>
          <w:szCs w:val="20"/>
          <w:lang w:val="es-ES"/>
        </w:rPr>
        <w:t xml:space="preserve"> </w:t>
      </w:r>
      <w:r w:rsidR="000327CC">
        <w:rPr>
          <w:rFonts w:ascii="Verdana" w:eastAsiaTheme="minorHAnsi" w:hAnsi="Verdana" w:cs="Verdana"/>
          <w:b/>
          <w:i/>
          <w:sz w:val="20"/>
          <w:szCs w:val="20"/>
          <w:lang w:val="es-CR"/>
        </w:rPr>
        <w:t>Corte</w:t>
      </w:r>
      <w:r w:rsidR="00224B74" w:rsidRPr="00112300">
        <w:rPr>
          <w:rFonts w:ascii="Verdana" w:eastAsiaTheme="minorHAnsi" w:hAnsi="Verdana" w:cs="Verdana"/>
          <w:sz w:val="20"/>
          <w:szCs w:val="20"/>
          <w:lang w:val="es-CR"/>
        </w:rPr>
        <w:t xml:space="preserve"> obser</w:t>
      </w:r>
      <w:r w:rsidR="005F3398" w:rsidRPr="00112300">
        <w:rPr>
          <w:rFonts w:ascii="Verdana" w:eastAsiaTheme="minorHAnsi" w:hAnsi="Verdana" w:cs="Verdana"/>
          <w:sz w:val="20"/>
          <w:szCs w:val="20"/>
          <w:lang w:val="es-CR"/>
        </w:rPr>
        <w:t>va</w:t>
      </w:r>
      <w:r w:rsidR="00B275FE" w:rsidRPr="00112300">
        <w:rPr>
          <w:rFonts w:ascii="Verdana" w:eastAsiaTheme="minorHAnsi" w:hAnsi="Verdana" w:cs="Verdana"/>
          <w:sz w:val="20"/>
          <w:szCs w:val="20"/>
          <w:lang w:val="es-CR"/>
        </w:rPr>
        <w:t xml:space="preserve"> que,</w:t>
      </w:r>
      <w:r w:rsidR="005F3398" w:rsidRPr="00112300">
        <w:rPr>
          <w:rFonts w:ascii="Verdana" w:eastAsiaTheme="minorHAnsi" w:hAnsi="Verdana" w:cs="Verdana"/>
          <w:sz w:val="20"/>
          <w:szCs w:val="20"/>
          <w:lang w:val="es-CR"/>
        </w:rPr>
        <w:t xml:space="preserve"> según lo indicado por los representantes</w:t>
      </w:r>
      <w:r w:rsidRPr="00112300">
        <w:rPr>
          <w:rFonts w:ascii="Verdana" w:eastAsiaTheme="minorHAnsi" w:hAnsi="Verdana" w:cs="Verdana"/>
          <w:sz w:val="20"/>
          <w:szCs w:val="20"/>
          <w:lang w:val="es-CR"/>
        </w:rPr>
        <w:t xml:space="preserve"> y que no ha sido desvirtuado por el Estado</w:t>
      </w:r>
      <w:r w:rsidR="00224B74" w:rsidRPr="00112300">
        <w:rPr>
          <w:rFonts w:ascii="Verdana" w:eastAsiaTheme="minorHAnsi" w:hAnsi="Verdana" w:cs="Verdana"/>
          <w:sz w:val="20"/>
          <w:szCs w:val="20"/>
          <w:lang w:val="es-CR"/>
        </w:rPr>
        <w:t xml:space="preserve">, </w:t>
      </w:r>
      <w:r w:rsidR="007226FF" w:rsidRPr="00112300">
        <w:rPr>
          <w:rFonts w:ascii="Verdana" w:eastAsiaTheme="minorHAnsi" w:hAnsi="Verdana" w:cs="Verdana"/>
          <w:sz w:val="20"/>
          <w:szCs w:val="20"/>
          <w:lang w:val="es-CR"/>
        </w:rPr>
        <w:t xml:space="preserve">los beneficiarios </w:t>
      </w:r>
      <w:r w:rsidR="000E2A81" w:rsidRPr="00112300">
        <w:rPr>
          <w:rFonts w:ascii="Verdana" w:hAnsi="Verdana"/>
          <w:sz w:val="20"/>
          <w:szCs w:val="20"/>
        </w:rPr>
        <w:t>Vilma Núñez de Escorcia y Guillermo Gonzalo Carrión</w:t>
      </w:r>
      <w:r w:rsidR="009D61C6" w:rsidRPr="00112300">
        <w:rPr>
          <w:rFonts w:ascii="Verdana" w:hAnsi="Verdana"/>
          <w:sz w:val="20"/>
          <w:szCs w:val="20"/>
        </w:rPr>
        <w:t xml:space="preserve"> </w:t>
      </w:r>
      <w:r w:rsidR="001803B1" w:rsidRPr="00112300">
        <w:rPr>
          <w:rFonts w:ascii="Verdana" w:hAnsi="Verdana"/>
          <w:sz w:val="20"/>
          <w:szCs w:val="20"/>
        </w:rPr>
        <w:t>Maradiaga</w:t>
      </w:r>
      <w:r w:rsidR="001803B1" w:rsidRPr="00112300">
        <w:rPr>
          <w:rFonts w:ascii="Verdana" w:eastAsiaTheme="minorHAnsi" w:hAnsi="Verdana" w:cs="Verdana"/>
          <w:sz w:val="20"/>
          <w:szCs w:val="20"/>
          <w:lang w:val="es-CR"/>
        </w:rPr>
        <w:t xml:space="preserve"> </w:t>
      </w:r>
      <w:r w:rsidR="00581F6E" w:rsidRPr="00112300">
        <w:rPr>
          <w:rFonts w:ascii="Verdana" w:eastAsiaTheme="minorHAnsi" w:hAnsi="Verdana" w:cs="Verdana"/>
          <w:sz w:val="20"/>
          <w:szCs w:val="20"/>
          <w:lang w:val="es-CR"/>
        </w:rPr>
        <w:t>habrían sido condenados penalmente</w:t>
      </w:r>
      <w:r w:rsidRPr="00112300">
        <w:rPr>
          <w:rFonts w:ascii="Verdana" w:eastAsiaTheme="minorHAnsi" w:hAnsi="Verdana" w:cs="Verdana"/>
          <w:sz w:val="20"/>
          <w:szCs w:val="20"/>
          <w:lang w:val="es-CR"/>
        </w:rPr>
        <w:t xml:space="preserve"> </w:t>
      </w:r>
      <w:r w:rsidR="00D65208" w:rsidRPr="00112300">
        <w:rPr>
          <w:rFonts w:ascii="Verdana" w:eastAsiaTheme="minorHAnsi" w:hAnsi="Verdana" w:cs="Verdana"/>
          <w:sz w:val="20"/>
          <w:szCs w:val="20"/>
          <w:lang w:val="es-CR"/>
        </w:rPr>
        <w:t xml:space="preserve">en ausencia de </w:t>
      </w:r>
      <w:r w:rsidR="00CB70B0" w:rsidRPr="00112300">
        <w:rPr>
          <w:rFonts w:ascii="Verdana" w:eastAsiaTheme="minorHAnsi" w:hAnsi="Verdana" w:cs="Verdana"/>
          <w:sz w:val="20"/>
          <w:szCs w:val="20"/>
          <w:lang w:val="es-CR"/>
        </w:rPr>
        <w:t>una acusación formal</w:t>
      </w:r>
      <w:r w:rsidRPr="00112300">
        <w:rPr>
          <w:rFonts w:ascii="Verdana" w:eastAsiaTheme="minorHAnsi" w:hAnsi="Verdana" w:cs="Verdana"/>
          <w:sz w:val="20"/>
          <w:szCs w:val="20"/>
          <w:lang w:val="es-CR"/>
        </w:rPr>
        <w:t>,</w:t>
      </w:r>
      <w:r w:rsidR="00CE53DA" w:rsidRPr="00112300">
        <w:rPr>
          <w:rFonts w:ascii="Verdana" w:eastAsiaTheme="minorHAnsi" w:hAnsi="Verdana" w:cs="Verdana"/>
          <w:sz w:val="20"/>
          <w:szCs w:val="20"/>
          <w:lang w:val="es-CR"/>
        </w:rPr>
        <w:t xml:space="preserve"> sin que fueran citados para asistir a ningún acto procesal</w:t>
      </w:r>
      <w:r w:rsidR="00581F6E" w:rsidRPr="00112300">
        <w:rPr>
          <w:rFonts w:ascii="Verdana" w:eastAsiaTheme="minorHAnsi" w:hAnsi="Verdana" w:cs="Verdana"/>
          <w:sz w:val="20"/>
          <w:szCs w:val="20"/>
          <w:lang w:val="es-CR"/>
        </w:rPr>
        <w:t xml:space="preserve"> y, por tanto, sin que pudieran participar en el proceso</w:t>
      </w:r>
      <w:r w:rsidR="00CE53DA" w:rsidRPr="00112300">
        <w:rPr>
          <w:rFonts w:ascii="Verdana" w:eastAsiaTheme="minorHAnsi" w:hAnsi="Verdana" w:cs="Verdana"/>
          <w:sz w:val="20"/>
          <w:szCs w:val="20"/>
          <w:lang w:val="es-CR"/>
        </w:rPr>
        <w:t>.</w:t>
      </w:r>
      <w:r w:rsidR="006721AB" w:rsidRPr="00112300">
        <w:rPr>
          <w:rFonts w:ascii="Verdana" w:eastAsiaTheme="minorHAnsi" w:hAnsi="Verdana" w:cs="Verdana"/>
          <w:sz w:val="20"/>
          <w:szCs w:val="20"/>
          <w:lang w:val="es-CR"/>
        </w:rPr>
        <w:t xml:space="preserve"> </w:t>
      </w:r>
      <w:r w:rsidR="00581F6E" w:rsidRPr="00112300">
        <w:rPr>
          <w:rFonts w:ascii="Verdana" w:hAnsi="Verdana"/>
          <w:sz w:val="20"/>
          <w:szCs w:val="20"/>
        </w:rPr>
        <w:t>E</w:t>
      </w:r>
      <w:r w:rsidR="00B64A1E" w:rsidRPr="00112300">
        <w:rPr>
          <w:rFonts w:ascii="Verdana" w:hAnsi="Verdana"/>
          <w:sz w:val="20"/>
          <w:szCs w:val="20"/>
        </w:rPr>
        <w:t>l Tribunal advierte</w:t>
      </w:r>
      <w:r w:rsidR="003A7868" w:rsidRPr="00112300">
        <w:rPr>
          <w:rFonts w:ascii="Verdana" w:hAnsi="Verdana"/>
          <w:sz w:val="20"/>
          <w:szCs w:val="20"/>
        </w:rPr>
        <w:t>,</w:t>
      </w:r>
      <w:r w:rsidR="00067A39" w:rsidRPr="00112300">
        <w:rPr>
          <w:rFonts w:ascii="Verdana" w:hAnsi="Verdana"/>
          <w:sz w:val="20"/>
          <w:szCs w:val="20"/>
        </w:rPr>
        <w:t xml:space="preserve"> </w:t>
      </w:r>
      <w:r w:rsidR="00B64A1E" w:rsidRPr="00112300">
        <w:rPr>
          <w:rFonts w:ascii="Verdana" w:hAnsi="Verdana"/>
          <w:sz w:val="20"/>
          <w:szCs w:val="20"/>
        </w:rPr>
        <w:t>con preocupación</w:t>
      </w:r>
      <w:r w:rsidR="003A7868" w:rsidRPr="00112300">
        <w:rPr>
          <w:rFonts w:ascii="Verdana" w:hAnsi="Verdana"/>
          <w:sz w:val="20"/>
          <w:szCs w:val="20"/>
        </w:rPr>
        <w:t>,</w:t>
      </w:r>
      <w:r w:rsidR="00B64A1E" w:rsidRPr="00112300">
        <w:rPr>
          <w:rFonts w:ascii="Verdana" w:hAnsi="Verdana"/>
          <w:sz w:val="20"/>
          <w:szCs w:val="20"/>
        </w:rPr>
        <w:t xml:space="preserve"> que </w:t>
      </w:r>
      <w:r w:rsidR="006721AB" w:rsidRPr="00112300">
        <w:rPr>
          <w:rFonts w:ascii="Verdana" w:hAnsi="Verdana"/>
          <w:sz w:val="20"/>
          <w:szCs w:val="20"/>
        </w:rPr>
        <w:t>estas causas penales</w:t>
      </w:r>
      <w:r w:rsidR="00653D77" w:rsidRPr="00112300">
        <w:rPr>
          <w:rFonts w:ascii="Verdana" w:hAnsi="Verdana"/>
          <w:sz w:val="20"/>
          <w:szCs w:val="20"/>
        </w:rPr>
        <w:t xml:space="preserve"> se ha</w:t>
      </w:r>
      <w:r w:rsidR="006721AB" w:rsidRPr="00112300">
        <w:rPr>
          <w:rFonts w:ascii="Verdana" w:hAnsi="Verdana"/>
          <w:sz w:val="20"/>
          <w:szCs w:val="20"/>
        </w:rPr>
        <w:t>n</w:t>
      </w:r>
      <w:r w:rsidR="00B64A1E" w:rsidRPr="00112300">
        <w:rPr>
          <w:rFonts w:ascii="Verdana" w:hAnsi="Verdana"/>
          <w:sz w:val="20"/>
          <w:szCs w:val="20"/>
        </w:rPr>
        <w:t xml:space="preserve"> realizado en un contexto que ya ha sido objeto de análisis en varias Resoluciones de medidas provisionales de este T</w:t>
      </w:r>
      <w:r w:rsidR="00B275FE" w:rsidRPr="00112300">
        <w:rPr>
          <w:rFonts w:ascii="Verdana" w:hAnsi="Verdana"/>
          <w:sz w:val="20"/>
          <w:szCs w:val="20"/>
        </w:rPr>
        <w:t xml:space="preserve">ribunal, donde se ha advertido </w:t>
      </w:r>
      <w:r w:rsidR="00653D77" w:rsidRPr="00112300">
        <w:rPr>
          <w:rFonts w:ascii="Verdana" w:hAnsi="Verdana"/>
          <w:sz w:val="20"/>
          <w:szCs w:val="20"/>
        </w:rPr>
        <w:t xml:space="preserve">la existencia de una </w:t>
      </w:r>
      <w:r w:rsidR="00B64A1E" w:rsidRPr="00112300">
        <w:rPr>
          <w:rFonts w:ascii="Verdana" w:hAnsi="Verdana"/>
          <w:sz w:val="20"/>
          <w:szCs w:val="20"/>
        </w:rPr>
        <w:t>“situación de especial riesgo y vulnerabilidad de las personas pertenecientes a la oposición o identificadas como opositoras al actual Gobierno del país”, siendo estas personas “objeto de persecuciones y amenazas desde abril de 2018, en un contexto de hostigamiento, a través de diferentes mecanismos como seguimientos, amenazas y privaciones de facto de la libertad”</w:t>
      </w:r>
      <w:r w:rsidR="00B64A1E" w:rsidRPr="00112300">
        <w:rPr>
          <w:rStyle w:val="Refdenotaalpie"/>
          <w:rFonts w:ascii="Verdana" w:hAnsi="Verdana"/>
          <w:sz w:val="20"/>
          <w:szCs w:val="20"/>
        </w:rPr>
        <w:footnoteReference w:id="20"/>
      </w:r>
      <w:r w:rsidR="00B64A1E" w:rsidRPr="00112300">
        <w:rPr>
          <w:rFonts w:ascii="Verdana" w:hAnsi="Verdana"/>
          <w:sz w:val="20"/>
          <w:szCs w:val="20"/>
        </w:rPr>
        <w:t>. Además, el Tribunal también destaca lo señalado en su Resolución de 1 de septiembre de 2021 relativa al presente asunto, donde observó</w:t>
      </w:r>
      <w:r w:rsidR="00852759" w:rsidRPr="00112300">
        <w:rPr>
          <w:rFonts w:ascii="Verdana" w:hAnsi="Verdana"/>
          <w:sz w:val="20"/>
          <w:szCs w:val="20"/>
        </w:rPr>
        <w:t>,</w:t>
      </w:r>
      <w:r w:rsidR="00B64A1E" w:rsidRPr="00112300">
        <w:rPr>
          <w:rFonts w:ascii="Verdana" w:hAnsi="Verdana"/>
          <w:sz w:val="20"/>
          <w:szCs w:val="20"/>
        </w:rPr>
        <w:t xml:space="preserve"> con preocupación</w:t>
      </w:r>
      <w:r w:rsidR="00852759" w:rsidRPr="00112300">
        <w:rPr>
          <w:rFonts w:ascii="Verdana" w:hAnsi="Verdana"/>
          <w:sz w:val="20"/>
          <w:szCs w:val="20"/>
        </w:rPr>
        <w:t>,</w:t>
      </w:r>
      <w:r w:rsidR="00B64A1E" w:rsidRPr="00112300">
        <w:rPr>
          <w:rFonts w:ascii="Verdana" w:hAnsi="Verdana"/>
          <w:sz w:val="20"/>
          <w:szCs w:val="20"/>
        </w:rPr>
        <w:t xml:space="preserve"> “la relativamente reciente aprobación de ciertas leyes, tales como la Ley No. 1040, de Regulación de Agentes Extranjeros y la Ley Especial de Ciberdelitos, cuya compatibilidad con estándares internacionales de derechos humanos ha sido puesta en duda por varios Relatores Especiales de la Organización de las Naciones Unidas y ha sido abiertamente cuestionada por la Comisión Interamericana, así como por ONGs nacionales e internacionales” y consideró que dicho marco jurídico “puede obstaculizar el derecho a defender los derechos humanos en Nicaragua </w:t>
      </w:r>
      <w:r w:rsidR="00B64A1E" w:rsidRPr="00112300">
        <w:rPr>
          <w:rFonts w:ascii="Verdana" w:hAnsi="Verdana"/>
          <w:sz w:val="20"/>
          <w:szCs w:val="20"/>
        </w:rPr>
        <w:lastRenderedPageBreak/>
        <w:t>y contribuir a la creación de un clima hostil de hostigamiento y persecución contra organizaciones de derechos humanos”</w:t>
      </w:r>
      <w:r w:rsidR="00B64A1E" w:rsidRPr="00112300">
        <w:rPr>
          <w:rStyle w:val="Refdenotaalpie"/>
          <w:rFonts w:ascii="Verdana" w:hAnsi="Verdana"/>
          <w:sz w:val="20"/>
          <w:szCs w:val="20"/>
        </w:rPr>
        <w:footnoteReference w:id="21"/>
      </w:r>
      <w:r w:rsidR="00B64A1E" w:rsidRPr="00112300">
        <w:rPr>
          <w:rFonts w:ascii="Verdana" w:hAnsi="Verdana"/>
          <w:sz w:val="20"/>
          <w:szCs w:val="20"/>
        </w:rPr>
        <w:t>.</w:t>
      </w:r>
      <w:r w:rsidR="00162B90" w:rsidRPr="00112300">
        <w:rPr>
          <w:rFonts w:ascii="Verdana" w:hAnsi="Verdana"/>
          <w:sz w:val="20"/>
          <w:szCs w:val="20"/>
        </w:rPr>
        <w:t xml:space="preserve"> </w:t>
      </w:r>
    </w:p>
    <w:p w14:paraId="35C2F76A" w14:textId="77777777" w:rsidR="00162B90" w:rsidRPr="00112300" w:rsidRDefault="00162B90" w:rsidP="00162B90">
      <w:pPr>
        <w:jc w:val="both"/>
        <w:rPr>
          <w:rFonts w:ascii="Verdana" w:eastAsiaTheme="minorHAnsi" w:hAnsi="Verdana" w:cs="Cambria"/>
          <w:sz w:val="20"/>
          <w:szCs w:val="20"/>
        </w:rPr>
      </w:pPr>
    </w:p>
    <w:p w14:paraId="7BF05B98" w14:textId="30206072" w:rsidR="00AD2C21" w:rsidRPr="00112300" w:rsidRDefault="00581F6E" w:rsidP="002F66B5">
      <w:pPr>
        <w:numPr>
          <w:ilvl w:val="0"/>
          <w:numId w:val="25"/>
        </w:numPr>
        <w:ind w:left="0" w:firstLine="0"/>
        <w:jc w:val="both"/>
        <w:rPr>
          <w:rFonts w:ascii="Verdana" w:hAnsi="Verdana"/>
          <w:sz w:val="20"/>
          <w:szCs w:val="20"/>
        </w:rPr>
      </w:pPr>
      <w:r w:rsidRPr="00112300">
        <w:rPr>
          <w:rFonts w:ascii="Verdana" w:hAnsi="Verdana"/>
          <w:sz w:val="20"/>
          <w:szCs w:val="20"/>
          <w:lang w:val="es-CR"/>
        </w:rPr>
        <w:t>En particular, l</w:t>
      </w:r>
      <w:r w:rsidR="00914254" w:rsidRPr="00112300">
        <w:rPr>
          <w:rFonts w:ascii="Verdana" w:hAnsi="Verdana"/>
          <w:sz w:val="20"/>
          <w:szCs w:val="20"/>
          <w:lang w:val="es-CR"/>
        </w:rPr>
        <w:t xml:space="preserve">a Corte advierte que los referidos beneficiarios </w:t>
      </w:r>
      <w:r w:rsidR="00AD2C21" w:rsidRPr="00112300">
        <w:rPr>
          <w:rFonts w:ascii="Verdana" w:hAnsi="Verdana"/>
          <w:sz w:val="20"/>
          <w:szCs w:val="20"/>
          <w:lang w:val="es-CR"/>
        </w:rPr>
        <w:t>fueron procesados penalmente y</w:t>
      </w:r>
      <w:r w:rsidR="00E517F8">
        <w:rPr>
          <w:rFonts w:ascii="Verdana" w:hAnsi="Verdana"/>
          <w:sz w:val="20"/>
          <w:szCs w:val="20"/>
          <w:lang w:val="es-CR"/>
        </w:rPr>
        <w:t xml:space="preserve"> </w:t>
      </w:r>
      <w:r w:rsidR="00AD2C21" w:rsidRPr="00112300">
        <w:rPr>
          <w:rFonts w:ascii="Verdana" w:hAnsi="Verdana"/>
          <w:sz w:val="20"/>
          <w:szCs w:val="20"/>
          <w:lang w:val="es-CR"/>
        </w:rPr>
        <w:t>condenados el 15 de febrero de 2023</w:t>
      </w:r>
      <w:r w:rsidR="00914254" w:rsidRPr="00112300">
        <w:rPr>
          <w:rFonts w:ascii="Verdana" w:hAnsi="Verdana"/>
          <w:sz w:val="20"/>
          <w:szCs w:val="20"/>
          <w:lang w:val="es-CR"/>
        </w:rPr>
        <w:t xml:space="preserve"> </w:t>
      </w:r>
      <w:r w:rsidR="00914254" w:rsidRPr="00112300">
        <w:rPr>
          <w:rFonts w:ascii="Verdana" w:hAnsi="Verdana"/>
          <w:sz w:val="20"/>
          <w:szCs w:val="20"/>
        </w:rPr>
        <w:t>“por los delitos de conspiración para cometer menoscabo a la integridad nacional en concurso real con el delito de propagación de noticias falsas a través de tecnologías de la información y la comunicación”</w:t>
      </w:r>
      <w:r w:rsidR="00AD2C21" w:rsidRPr="00112300">
        <w:rPr>
          <w:rFonts w:ascii="Verdana" w:hAnsi="Verdana"/>
          <w:sz w:val="20"/>
          <w:szCs w:val="20"/>
        </w:rPr>
        <w:t xml:space="preserve"> a</w:t>
      </w:r>
      <w:r w:rsidR="00921B6A" w:rsidRPr="00112300">
        <w:rPr>
          <w:rFonts w:ascii="Verdana" w:hAnsi="Verdana"/>
          <w:sz w:val="20"/>
          <w:szCs w:val="20"/>
        </w:rPr>
        <w:t>:</w:t>
      </w:r>
      <w:r w:rsidR="00AD2C21" w:rsidRPr="00112300">
        <w:rPr>
          <w:rFonts w:ascii="Verdana" w:hAnsi="Verdana"/>
          <w:sz w:val="20"/>
          <w:szCs w:val="20"/>
        </w:rPr>
        <w:t xml:space="preserve"> (i) la “inhabilitación absoluta y especial para ejercer cargos públicos, ejercer la función pública en nombre o al servicio del Estado de Nicaragua, así como ejercer cargos de elección popular y la pérdida de sus derechos ciudadanos de forma perpetua”</w:t>
      </w:r>
      <w:r w:rsidR="00AD2C21" w:rsidRPr="00112300">
        <w:rPr>
          <w:rStyle w:val="Refdenotaalpie"/>
          <w:rFonts w:ascii="Verdana" w:hAnsi="Verdana"/>
          <w:sz w:val="20"/>
          <w:szCs w:val="20"/>
        </w:rPr>
        <w:footnoteReference w:id="22"/>
      </w:r>
      <w:r w:rsidR="00921B6A" w:rsidRPr="00112300">
        <w:rPr>
          <w:rFonts w:ascii="Verdana" w:hAnsi="Verdana"/>
          <w:sz w:val="20"/>
          <w:szCs w:val="20"/>
        </w:rPr>
        <w:t>;</w:t>
      </w:r>
      <w:r w:rsidR="005E5D37" w:rsidRPr="00112300">
        <w:rPr>
          <w:rFonts w:ascii="Verdana" w:hAnsi="Verdana"/>
          <w:sz w:val="20"/>
          <w:szCs w:val="20"/>
        </w:rPr>
        <w:t xml:space="preserve"> </w:t>
      </w:r>
      <w:r w:rsidR="00AD2C21" w:rsidRPr="00112300">
        <w:rPr>
          <w:rFonts w:ascii="Verdana" w:hAnsi="Verdana"/>
          <w:sz w:val="20"/>
          <w:szCs w:val="20"/>
        </w:rPr>
        <w:t>(ii) la pérdida de la nacionalidad nicaragüense, así como (iii) “la inmovilización y el decomiso a favor del Estado de Nicaragua a todos los bienes inmuebles y sociedades que los procesados tengan inscritos a su favor, ya sea a título personal o de personas jurídicas o sociedades en las que participen como socios”</w:t>
      </w:r>
      <w:r w:rsidR="00AD2C21" w:rsidRPr="00112300">
        <w:rPr>
          <w:rStyle w:val="Refdenotaalpie"/>
          <w:rFonts w:ascii="Verdana" w:hAnsi="Verdana"/>
          <w:sz w:val="20"/>
          <w:szCs w:val="20"/>
        </w:rPr>
        <w:footnoteReference w:id="23"/>
      </w:r>
      <w:r w:rsidR="00AD2C21" w:rsidRPr="00112300">
        <w:rPr>
          <w:rFonts w:ascii="Verdana" w:hAnsi="Verdana"/>
          <w:sz w:val="20"/>
          <w:szCs w:val="20"/>
        </w:rPr>
        <w:t>. Asimismo, la Corte nota que el 11 de mayo de 2023, el Consejo Nacional de Administración y Carrera Judicial</w:t>
      </w:r>
      <w:r w:rsidR="005C10BA" w:rsidRPr="00112300">
        <w:rPr>
          <w:rFonts w:ascii="Verdana" w:hAnsi="Verdana"/>
          <w:sz w:val="20"/>
          <w:szCs w:val="20"/>
        </w:rPr>
        <w:t>,</w:t>
      </w:r>
      <w:r w:rsidR="00AD2C21" w:rsidRPr="00112300">
        <w:rPr>
          <w:rFonts w:ascii="Verdana" w:hAnsi="Verdana"/>
          <w:sz w:val="20"/>
          <w:szCs w:val="20"/>
        </w:rPr>
        <w:t xml:space="preserve"> perteneciente a la Corte Suprema de Justicia de Nicaragua</w:t>
      </w:r>
      <w:r w:rsidR="005C10BA" w:rsidRPr="00112300">
        <w:rPr>
          <w:rFonts w:ascii="Verdana" w:hAnsi="Verdana"/>
          <w:sz w:val="20"/>
          <w:szCs w:val="20"/>
        </w:rPr>
        <w:t>,</w:t>
      </w:r>
      <w:r w:rsidR="00AD2C21" w:rsidRPr="00112300">
        <w:rPr>
          <w:rFonts w:ascii="Verdana" w:hAnsi="Verdana"/>
          <w:sz w:val="20"/>
          <w:szCs w:val="20"/>
        </w:rPr>
        <w:t xml:space="preserve"> emitió una resolución mediante la cual resolvió</w:t>
      </w:r>
      <w:r w:rsidR="00831CC3" w:rsidRPr="00112300">
        <w:rPr>
          <w:rFonts w:ascii="Verdana" w:hAnsi="Verdana"/>
          <w:sz w:val="20"/>
          <w:szCs w:val="20"/>
        </w:rPr>
        <w:t xml:space="preserve"> (iv)</w:t>
      </w:r>
      <w:r w:rsidR="00AD2C21" w:rsidRPr="00112300">
        <w:rPr>
          <w:rFonts w:ascii="Verdana" w:hAnsi="Verdana"/>
          <w:sz w:val="20"/>
          <w:szCs w:val="20"/>
        </w:rPr>
        <w:t xml:space="preserve"> “suspender, de forma definitiva, el ejercicio de la profesión y anular los títulos de abogados”</w:t>
      </w:r>
      <w:r w:rsidR="00AD2C21" w:rsidRPr="00112300">
        <w:rPr>
          <w:rStyle w:val="Refdenotaalpie"/>
          <w:rFonts w:ascii="Verdana" w:hAnsi="Verdana"/>
          <w:sz w:val="20"/>
          <w:szCs w:val="20"/>
        </w:rPr>
        <w:footnoteReference w:id="24"/>
      </w:r>
      <w:r w:rsidR="00AD2C21" w:rsidRPr="00112300">
        <w:rPr>
          <w:rFonts w:ascii="Verdana" w:hAnsi="Verdana"/>
          <w:sz w:val="20"/>
          <w:szCs w:val="20"/>
        </w:rPr>
        <w:t xml:space="preserve"> de Vilma Núñez Ruíz de Escorcia y Guillermo Gonzalo Carrión Maradiaga, sin que los beneficiarios pudieran ejercer derecho alguno de defensa frente a la sanción aplicada. Además, los mencionados beneficiarios fueron declarados “prófugos de la justicia”</w:t>
      </w:r>
      <w:r w:rsidR="00AD2C21" w:rsidRPr="00112300">
        <w:rPr>
          <w:rStyle w:val="Refdenotaalpie"/>
          <w:rFonts w:ascii="Verdana" w:hAnsi="Verdana"/>
          <w:sz w:val="20"/>
          <w:szCs w:val="20"/>
        </w:rPr>
        <w:footnoteReference w:id="25"/>
      </w:r>
      <w:r w:rsidR="00AD2C21" w:rsidRPr="00112300">
        <w:rPr>
          <w:rFonts w:ascii="Verdana" w:hAnsi="Verdana"/>
          <w:sz w:val="20"/>
          <w:szCs w:val="20"/>
        </w:rPr>
        <w:t xml:space="preserve">. </w:t>
      </w:r>
    </w:p>
    <w:p w14:paraId="683DC424" w14:textId="77777777" w:rsidR="00AD2C21" w:rsidRPr="00112300" w:rsidRDefault="00AD2C21" w:rsidP="00AD2C21">
      <w:pPr>
        <w:jc w:val="both"/>
        <w:rPr>
          <w:rFonts w:ascii="Verdana" w:hAnsi="Verdana"/>
          <w:sz w:val="20"/>
          <w:szCs w:val="20"/>
        </w:rPr>
      </w:pPr>
    </w:p>
    <w:p w14:paraId="1F3A9C75" w14:textId="553E449C" w:rsidR="009959EB" w:rsidRDefault="00AD2C21" w:rsidP="00B5086D">
      <w:pPr>
        <w:numPr>
          <w:ilvl w:val="0"/>
          <w:numId w:val="25"/>
        </w:numPr>
        <w:ind w:left="0" w:firstLine="0"/>
        <w:jc w:val="both"/>
        <w:rPr>
          <w:rFonts w:ascii="Verdana" w:hAnsi="Verdana"/>
          <w:sz w:val="20"/>
          <w:szCs w:val="20"/>
        </w:rPr>
      </w:pPr>
      <w:r w:rsidRPr="00112300">
        <w:rPr>
          <w:rFonts w:ascii="Verdana" w:hAnsi="Verdana"/>
          <w:sz w:val="20"/>
          <w:szCs w:val="20"/>
        </w:rPr>
        <w:t xml:space="preserve">El Tribunal </w:t>
      </w:r>
      <w:r w:rsidR="00581F6E" w:rsidRPr="00112300">
        <w:rPr>
          <w:rFonts w:ascii="Verdana" w:hAnsi="Verdana"/>
          <w:sz w:val="20"/>
          <w:szCs w:val="20"/>
        </w:rPr>
        <w:t>nota</w:t>
      </w:r>
      <w:r w:rsidRPr="00112300">
        <w:rPr>
          <w:rFonts w:ascii="Verdana" w:hAnsi="Verdana"/>
          <w:sz w:val="20"/>
          <w:szCs w:val="20"/>
        </w:rPr>
        <w:t xml:space="preserve"> que este proceso penal, según lo indicado por los representantes y que no ha sido desvirtuado por el Estado, habría tenido una duración inferior a 24 horas, en el marco del cual los beneficiarios habrían tomado conocimiento de</w:t>
      </w:r>
      <w:r w:rsidR="000E5285" w:rsidRPr="00112300">
        <w:rPr>
          <w:rFonts w:ascii="Verdana" w:hAnsi="Verdana"/>
          <w:sz w:val="20"/>
          <w:szCs w:val="20"/>
        </w:rPr>
        <w:t xml:space="preserve">l mismo </w:t>
      </w:r>
      <w:r w:rsidRPr="00112300">
        <w:rPr>
          <w:rFonts w:ascii="Verdana" w:hAnsi="Verdana"/>
          <w:sz w:val="20"/>
          <w:szCs w:val="20"/>
        </w:rPr>
        <w:t>por primera vez al momento de la conferencia de prensa convocada por el Magistrado Presidente del Tribunal de Apelaciones de Man</w:t>
      </w:r>
      <w:r w:rsidR="0088545D" w:rsidRPr="00112300">
        <w:rPr>
          <w:rFonts w:ascii="Verdana" w:hAnsi="Verdana"/>
          <w:sz w:val="20"/>
          <w:szCs w:val="20"/>
        </w:rPr>
        <w:t>a</w:t>
      </w:r>
      <w:r w:rsidRPr="00112300">
        <w:rPr>
          <w:rFonts w:ascii="Verdana" w:hAnsi="Verdana"/>
          <w:sz w:val="20"/>
          <w:szCs w:val="20"/>
        </w:rPr>
        <w:t xml:space="preserve">gua, lo cual habría impedido </w:t>
      </w:r>
      <w:r w:rsidR="00E725DF">
        <w:rPr>
          <w:rFonts w:ascii="Verdana" w:hAnsi="Verdana"/>
          <w:sz w:val="20"/>
          <w:szCs w:val="20"/>
        </w:rPr>
        <w:t xml:space="preserve">de plano </w:t>
      </w:r>
      <w:r w:rsidRPr="00112300">
        <w:rPr>
          <w:rFonts w:ascii="Verdana" w:hAnsi="Verdana"/>
          <w:sz w:val="20"/>
          <w:szCs w:val="20"/>
        </w:rPr>
        <w:t>ejercer su derecho a la defensa</w:t>
      </w:r>
      <w:r w:rsidRPr="00112300">
        <w:rPr>
          <w:rStyle w:val="Refdenotaalpie"/>
          <w:rFonts w:ascii="Verdana" w:hAnsi="Verdana"/>
          <w:sz w:val="20"/>
          <w:szCs w:val="20"/>
        </w:rPr>
        <w:footnoteReference w:id="26"/>
      </w:r>
      <w:r w:rsidRPr="00112300">
        <w:rPr>
          <w:rFonts w:ascii="Verdana" w:hAnsi="Verdana"/>
          <w:sz w:val="20"/>
          <w:szCs w:val="20"/>
        </w:rPr>
        <w:t>.</w:t>
      </w:r>
      <w:r w:rsidR="00581F6E" w:rsidRPr="00112300">
        <w:rPr>
          <w:rFonts w:ascii="Verdana" w:hAnsi="Verdana"/>
          <w:sz w:val="20"/>
          <w:szCs w:val="20"/>
        </w:rPr>
        <w:t xml:space="preserve"> Dicho proceso, </w:t>
      </w:r>
      <w:r w:rsidR="00581F6E" w:rsidRPr="00112300">
        <w:rPr>
          <w:rFonts w:ascii="Verdana" w:hAnsi="Verdana"/>
          <w:i/>
          <w:iCs/>
          <w:sz w:val="20"/>
          <w:szCs w:val="20"/>
        </w:rPr>
        <w:t>prima facie</w:t>
      </w:r>
      <w:r w:rsidR="00581F6E" w:rsidRPr="00112300">
        <w:rPr>
          <w:rFonts w:ascii="Verdana" w:hAnsi="Verdana"/>
          <w:sz w:val="20"/>
          <w:szCs w:val="20"/>
        </w:rPr>
        <w:t>, habría incumplido con toda garantía mínima que debe regir en un proceso penal.</w:t>
      </w:r>
      <w:r w:rsidR="00EC5D5E" w:rsidRPr="00EC5D5E">
        <w:rPr>
          <w:rFonts w:ascii="Verdana" w:hAnsi="Verdana"/>
          <w:sz w:val="20"/>
          <w:szCs w:val="20"/>
        </w:rPr>
        <w:t xml:space="preserve"> </w:t>
      </w:r>
    </w:p>
    <w:p w14:paraId="2690FCD0" w14:textId="77777777" w:rsidR="009959EB" w:rsidRDefault="009959EB" w:rsidP="009959EB">
      <w:pPr>
        <w:pStyle w:val="Prrafodelista"/>
        <w:rPr>
          <w:rFonts w:ascii="Verdana" w:hAnsi="Verdana"/>
          <w:sz w:val="20"/>
          <w:szCs w:val="20"/>
        </w:rPr>
      </w:pPr>
    </w:p>
    <w:p w14:paraId="2E24CF90" w14:textId="2B3D604E" w:rsidR="008A23E7" w:rsidRPr="00112300" w:rsidRDefault="003B69CB" w:rsidP="009B50F9">
      <w:pPr>
        <w:numPr>
          <w:ilvl w:val="0"/>
          <w:numId w:val="25"/>
        </w:numPr>
        <w:ind w:left="0" w:firstLine="0"/>
        <w:jc w:val="both"/>
        <w:rPr>
          <w:rFonts w:ascii="Verdana" w:hAnsi="Verdana"/>
          <w:sz w:val="20"/>
          <w:szCs w:val="20"/>
        </w:rPr>
      </w:pPr>
      <w:r w:rsidRPr="00112300">
        <w:rPr>
          <w:rFonts w:ascii="Verdana" w:hAnsi="Verdana"/>
          <w:sz w:val="20"/>
          <w:szCs w:val="20"/>
        </w:rPr>
        <w:t xml:space="preserve">Aunado a lo anterior, la Corte nota que la declaratoria de </w:t>
      </w:r>
      <w:r w:rsidR="00FD74DF" w:rsidRPr="00112300">
        <w:rPr>
          <w:rFonts w:ascii="Verdana" w:hAnsi="Verdana"/>
          <w:sz w:val="20"/>
          <w:szCs w:val="20"/>
        </w:rPr>
        <w:t>la señora Núñez de Escorcia y del señor Carrión</w:t>
      </w:r>
      <w:r w:rsidR="001803B1" w:rsidRPr="00112300">
        <w:rPr>
          <w:rFonts w:ascii="Verdana" w:hAnsi="Verdana"/>
          <w:sz w:val="20"/>
          <w:szCs w:val="20"/>
        </w:rPr>
        <w:t xml:space="preserve"> </w:t>
      </w:r>
      <w:r w:rsidR="00382534" w:rsidRPr="00112300">
        <w:rPr>
          <w:rFonts w:ascii="Verdana" w:hAnsi="Verdana"/>
          <w:sz w:val="20"/>
          <w:szCs w:val="20"/>
        </w:rPr>
        <w:t xml:space="preserve">como “prófugos de la justicia” </w:t>
      </w:r>
      <w:r w:rsidR="00FD74DF" w:rsidRPr="00112300">
        <w:rPr>
          <w:rFonts w:ascii="Verdana" w:hAnsi="Verdana"/>
          <w:sz w:val="20"/>
          <w:szCs w:val="20"/>
        </w:rPr>
        <w:t xml:space="preserve">constituye una situación </w:t>
      </w:r>
      <w:r w:rsidR="00B83806" w:rsidRPr="00112300">
        <w:rPr>
          <w:rFonts w:ascii="Verdana" w:hAnsi="Verdana"/>
          <w:sz w:val="20"/>
          <w:szCs w:val="20"/>
        </w:rPr>
        <w:t>latente de riesgo para la integridad personal de estos beneficiaros</w:t>
      </w:r>
      <w:r w:rsidR="00CA137F" w:rsidRPr="00112300">
        <w:rPr>
          <w:rFonts w:ascii="Verdana" w:hAnsi="Verdana"/>
          <w:sz w:val="20"/>
          <w:szCs w:val="20"/>
        </w:rPr>
        <w:t>,</w:t>
      </w:r>
      <w:r w:rsidR="00B83806" w:rsidRPr="00112300">
        <w:rPr>
          <w:rFonts w:ascii="Verdana" w:hAnsi="Verdana"/>
          <w:sz w:val="20"/>
          <w:szCs w:val="20"/>
        </w:rPr>
        <w:t xml:space="preserve"> por cuanto podrían ser privados de libertad por las autoridades estatales con </w:t>
      </w:r>
      <w:r w:rsidR="00030F1C" w:rsidRPr="00112300">
        <w:rPr>
          <w:rFonts w:ascii="Verdana" w:hAnsi="Verdana"/>
          <w:sz w:val="20"/>
          <w:szCs w:val="20"/>
        </w:rPr>
        <w:t>miras a ejecutar las penas dictadas en su contra.</w:t>
      </w:r>
      <w:r w:rsidR="006A55A4" w:rsidRPr="00112300">
        <w:rPr>
          <w:rFonts w:ascii="Verdana" w:hAnsi="Verdana"/>
          <w:sz w:val="20"/>
          <w:szCs w:val="20"/>
        </w:rPr>
        <w:t xml:space="preserve"> A este respecto, la Corte ya ha </w:t>
      </w:r>
      <w:r w:rsidR="00D75716" w:rsidRPr="00112300">
        <w:rPr>
          <w:rFonts w:ascii="Verdana" w:hAnsi="Verdana"/>
          <w:sz w:val="20"/>
          <w:szCs w:val="20"/>
        </w:rPr>
        <w:t>advertido sobre</w:t>
      </w:r>
      <w:r w:rsidR="006A55A4" w:rsidRPr="00112300">
        <w:rPr>
          <w:rFonts w:ascii="Verdana" w:hAnsi="Verdana"/>
          <w:sz w:val="20"/>
          <w:szCs w:val="20"/>
        </w:rPr>
        <w:t xml:space="preserve"> las deficientes condiciones de detención a la</w:t>
      </w:r>
      <w:r w:rsidR="000327CC">
        <w:rPr>
          <w:rFonts w:ascii="Verdana" w:hAnsi="Verdana"/>
          <w:sz w:val="20"/>
          <w:szCs w:val="20"/>
        </w:rPr>
        <w:t>s</w:t>
      </w:r>
      <w:r w:rsidR="006A55A4" w:rsidRPr="00112300">
        <w:rPr>
          <w:rFonts w:ascii="Verdana" w:hAnsi="Verdana"/>
          <w:sz w:val="20"/>
          <w:szCs w:val="20"/>
        </w:rPr>
        <w:t xml:space="preserve"> que están siendo sometidas numerosas personas calificadas por el Estado como </w:t>
      </w:r>
      <w:r w:rsidR="000774A1" w:rsidRPr="00112300">
        <w:rPr>
          <w:rFonts w:ascii="Verdana" w:hAnsi="Verdana"/>
          <w:sz w:val="20"/>
          <w:szCs w:val="20"/>
        </w:rPr>
        <w:t>opositoras</w:t>
      </w:r>
      <w:r w:rsidR="00D75716" w:rsidRPr="00112300">
        <w:rPr>
          <w:rFonts w:ascii="Verdana" w:hAnsi="Verdana"/>
          <w:sz w:val="20"/>
          <w:szCs w:val="20"/>
        </w:rPr>
        <w:t xml:space="preserve">, descritas </w:t>
      </w:r>
      <w:r w:rsidR="00FC3471" w:rsidRPr="00112300">
        <w:rPr>
          <w:rFonts w:ascii="Verdana" w:hAnsi="Verdana"/>
          <w:sz w:val="20"/>
          <w:szCs w:val="20"/>
        </w:rPr>
        <w:t xml:space="preserve">por este Tribunal </w:t>
      </w:r>
      <w:r w:rsidR="00D75716" w:rsidRPr="00112300">
        <w:rPr>
          <w:rFonts w:ascii="Verdana" w:hAnsi="Verdana"/>
          <w:sz w:val="20"/>
          <w:szCs w:val="20"/>
        </w:rPr>
        <w:t xml:space="preserve">como “severas, degradantes e inhumanas y que evidencian la gravedad y urgencia de evitar que se materialicen riesgos inminentes para su vida, integridad </w:t>
      </w:r>
      <w:r w:rsidR="00D75716" w:rsidRPr="00112300">
        <w:rPr>
          <w:rFonts w:ascii="Verdana" w:hAnsi="Verdana"/>
          <w:sz w:val="20"/>
          <w:szCs w:val="20"/>
        </w:rPr>
        <w:lastRenderedPageBreak/>
        <w:t>y salud”</w:t>
      </w:r>
      <w:r w:rsidR="00D75716" w:rsidRPr="00112300">
        <w:rPr>
          <w:rStyle w:val="Refdenotaalpie"/>
          <w:rFonts w:ascii="Verdana" w:hAnsi="Verdana"/>
          <w:sz w:val="20"/>
          <w:szCs w:val="20"/>
        </w:rPr>
        <w:footnoteReference w:id="27"/>
      </w:r>
      <w:r w:rsidR="000774A1" w:rsidRPr="00112300">
        <w:rPr>
          <w:rFonts w:ascii="Verdana" w:hAnsi="Verdana"/>
          <w:sz w:val="20"/>
          <w:szCs w:val="20"/>
        </w:rPr>
        <w:t>.</w:t>
      </w:r>
      <w:r w:rsidR="00286CC9" w:rsidRPr="00112300">
        <w:rPr>
          <w:rFonts w:ascii="Verdana" w:hAnsi="Verdana"/>
          <w:sz w:val="20"/>
          <w:szCs w:val="20"/>
        </w:rPr>
        <w:t xml:space="preserve"> </w:t>
      </w:r>
      <w:r w:rsidR="00D75716" w:rsidRPr="00112300">
        <w:rPr>
          <w:rFonts w:ascii="Verdana" w:hAnsi="Verdana"/>
          <w:sz w:val="20"/>
          <w:szCs w:val="20"/>
        </w:rPr>
        <w:t>En particular</w:t>
      </w:r>
      <w:r w:rsidR="00286CC9" w:rsidRPr="00112300">
        <w:rPr>
          <w:rFonts w:ascii="Verdana" w:hAnsi="Verdana"/>
          <w:sz w:val="20"/>
          <w:szCs w:val="20"/>
        </w:rPr>
        <w:t xml:space="preserve">, la Corte ha </w:t>
      </w:r>
      <w:r w:rsidR="003466BF" w:rsidRPr="00112300">
        <w:rPr>
          <w:rFonts w:ascii="Verdana" w:hAnsi="Verdana"/>
          <w:sz w:val="20"/>
          <w:szCs w:val="20"/>
        </w:rPr>
        <w:t>hecho referencia en otras medidas provisionales</w:t>
      </w:r>
      <w:r w:rsidR="004B4624" w:rsidRPr="00112300">
        <w:rPr>
          <w:rFonts w:ascii="Verdana" w:hAnsi="Verdana"/>
          <w:sz w:val="20"/>
          <w:szCs w:val="20"/>
        </w:rPr>
        <w:t xml:space="preserve"> a las condiciones específicas de detención de</w:t>
      </w:r>
      <w:r w:rsidR="004841F0" w:rsidRPr="00112300">
        <w:rPr>
          <w:rFonts w:ascii="Verdana" w:hAnsi="Verdana"/>
          <w:sz w:val="20"/>
          <w:szCs w:val="20"/>
        </w:rPr>
        <w:t xml:space="preserve"> los “presos políticos” </w:t>
      </w:r>
      <w:r w:rsidR="00346978" w:rsidRPr="00112300">
        <w:rPr>
          <w:rFonts w:ascii="Verdana" w:hAnsi="Verdana"/>
          <w:sz w:val="20"/>
          <w:szCs w:val="20"/>
        </w:rPr>
        <w:t xml:space="preserve">en la cárcel “La Modelo”, </w:t>
      </w:r>
      <w:r w:rsidR="00FE695E" w:rsidRPr="00112300">
        <w:rPr>
          <w:rFonts w:ascii="Verdana" w:hAnsi="Verdana"/>
          <w:sz w:val="20"/>
          <w:szCs w:val="20"/>
        </w:rPr>
        <w:t>donde ha constatado situaciones insalubres</w:t>
      </w:r>
      <w:r w:rsidR="00FE695E" w:rsidRPr="00112300">
        <w:rPr>
          <w:rStyle w:val="Refdenotaalpie"/>
          <w:rFonts w:ascii="Verdana" w:hAnsi="Verdana"/>
          <w:sz w:val="20"/>
          <w:szCs w:val="20"/>
        </w:rPr>
        <w:footnoteReference w:id="28"/>
      </w:r>
      <w:r w:rsidR="00183769" w:rsidRPr="00112300">
        <w:rPr>
          <w:rFonts w:ascii="Verdana" w:hAnsi="Verdana"/>
          <w:sz w:val="20"/>
          <w:szCs w:val="20"/>
        </w:rPr>
        <w:t>, caracterizadas por la falta de acceso a agua potable</w:t>
      </w:r>
      <w:r w:rsidR="00183769" w:rsidRPr="00112300">
        <w:rPr>
          <w:rStyle w:val="Refdenotaalpie"/>
          <w:rFonts w:ascii="Verdana" w:hAnsi="Verdana"/>
          <w:sz w:val="20"/>
          <w:szCs w:val="20"/>
        </w:rPr>
        <w:footnoteReference w:id="29"/>
      </w:r>
      <w:r w:rsidR="00FE695E" w:rsidRPr="00112300">
        <w:rPr>
          <w:rFonts w:ascii="Verdana" w:hAnsi="Verdana"/>
          <w:sz w:val="20"/>
          <w:szCs w:val="20"/>
        </w:rPr>
        <w:t xml:space="preserve"> </w:t>
      </w:r>
      <w:r w:rsidR="00183769" w:rsidRPr="00112300">
        <w:rPr>
          <w:rFonts w:ascii="Verdana" w:hAnsi="Verdana"/>
          <w:sz w:val="20"/>
          <w:szCs w:val="20"/>
        </w:rPr>
        <w:t>y baterías sanitarias</w:t>
      </w:r>
      <w:r w:rsidR="00183769" w:rsidRPr="00112300">
        <w:rPr>
          <w:rStyle w:val="Refdenotaalpie"/>
          <w:rFonts w:ascii="Verdana" w:hAnsi="Verdana"/>
          <w:sz w:val="20"/>
          <w:szCs w:val="20"/>
        </w:rPr>
        <w:footnoteReference w:id="30"/>
      </w:r>
      <w:r w:rsidR="00183769" w:rsidRPr="00112300">
        <w:rPr>
          <w:rFonts w:ascii="Verdana" w:hAnsi="Verdana"/>
          <w:sz w:val="20"/>
          <w:szCs w:val="20"/>
        </w:rPr>
        <w:t xml:space="preserve">. </w:t>
      </w:r>
      <w:r w:rsidR="00F3166A" w:rsidRPr="00112300">
        <w:rPr>
          <w:rFonts w:ascii="Verdana" w:hAnsi="Verdana"/>
          <w:sz w:val="20"/>
          <w:szCs w:val="20"/>
        </w:rPr>
        <w:t xml:space="preserve">El </w:t>
      </w:r>
      <w:r w:rsidR="00E673E3" w:rsidRPr="00112300">
        <w:rPr>
          <w:rFonts w:ascii="Verdana" w:hAnsi="Verdana"/>
          <w:sz w:val="20"/>
          <w:szCs w:val="20"/>
        </w:rPr>
        <w:t xml:space="preserve">Tribunal </w:t>
      </w:r>
      <w:r w:rsidR="00F3166A" w:rsidRPr="00112300">
        <w:rPr>
          <w:rFonts w:ascii="Verdana" w:hAnsi="Verdana"/>
          <w:sz w:val="20"/>
          <w:szCs w:val="20"/>
        </w:rPr>
        <w:t xml:space="preserve">también </w:t>
      </w:r>
      <w:r w:rsidR="008A23E7" w:rsidRPr="00112300">
        <w:rPr>
          <w:rFonts w:ascii="Verdana" w:hAnsi="Verdana"/>
          <w:sz w:val="20"/>
          <w:szCs w:val="20"/>
        </w:rPr>
        <w:t xml:space="preserve">ha </w:t>
      </w:r>
      <w:r w:rsidR="00412684" w:rsidRPr="00112300">
        <w:rPr>
          <w:rFonts w:ascii="Verdana" w:hAnsi="Verdana"/>
          <w:sz w:val="20"/>
          <w:szCs w:val="20"/>
        </w:rPr>
        <w:t>hecho referencia</w:t>
      </w:r>
      <w:r w:rsidR="00FF4B12" w:rsidRPr="00112300">
        <w:rPr>
          <w:rFonts w:ascii="Verdana" w:hAnsi="Verdana"/>
          <w:sz w:val="20"/>
          <w:szCs w:val="20"/>
        </w:rPr>
        <w:t xml:space="preserve"> a las condiciones de</w:t>
      </w:r>
      <w:r w:rsidR="004D032C" w:rsidRPr="00112300">
        <w:rPr>
          <w:rFonts w:ascii="Verdana" w:hAnsi="Verdana"/>
          <w:sz w:val="20"/>
          <w:szCs w:val="20"/>
        </w:rPr>
        <w:t xml:space="preserve"> los denominados “presos políticos” detenidos</w:t>
      </w:r>
      <w:r w:rsidR="00FF4B12" w:rsidRPr="00112300">
        <w:rPr>
          <w:rFonts w:ascii="Verdana" w:hAnsi="Verdana"/>
          <w:sz w:val="20"/>
          <w:szCs w:val="20"/>
        </w:rPr>
        <w:t xml:space="preserve"> </w:t>
      </w:r>
      <w:r w:rsidR="004D032C" w:rsidRPr="00112300">
        <w:rPr>
          <w:rFonts w:ascii="Verdana" w:hAnsi="Verdana"/>
          <w:sz w:val="20"/>
          <w:szCs w:val="20"/>
        </w:rPr>
        <w:t>en</w:t>
      </w:r>
      <w:r w:rsidR="00E673E3" w:rsidRPr="00112300">
        <w:rPr>
          <w:rFonts w:ascii="Verdana" w:hAnsi="Verdana"/>
          <w:sz w:val="20"/>
          <w:szCs w:val="20"/>
        </w:rPr>
        <w:t xml:space="preserve"> </w:t>
      </w:r>
      <w:r w:rsidR="00FF4B12" w:rsidRPr="00112300">
        <w:rPr>
          <w:rFonts w:ascii="Verdana" w:hAnsi="Verdana"/>
          <w:sz w:val="20"/>
          <w:szCs w:val="20"/>
        </w:rPr>
        <w:t>la cárcel “El Infiernillo”</w:t>
      </w:r>
      <w:r w:rsidR="00E673E3" w:rsidRPr="00112300">
        <w:rPr>
          <w:rFonts w:ascii="Verdana" w:hAnsi="Verdana"/>
          <w:sz w:val="20"/>
          <w:szCs w:val="20"/>
        </w:rPr>
        <w:t xml:space="preserve">, </w:t>
      </w:r>
      <w:r w:rsidR="004E6BBE" w:rsidRPr="00112300">
        <w:rPr>
          <w:rFonts w:ascii="Verdana" w:hAnsi="Verdana"/>
          <w:sz w:val="20"/>
          <w:szCs w:val="20"/>
        </w:rPr>
        <w:t>donde ha constatado la existencia de “espacios reducidos de 2x3 metros, que carecían de ventilación, acceso a luz solar, agua potable y servicios higiénicos adecuados”</w:t>
      </w:r>
      <w:r w:rsidR="002E6534" w:rsidRPr="00112300">
        <w:rPr>
          <w:rStyle w:val="Refdenotaalpie"/>
          <w:rFonts w:ascii="Verdana" w:hAnsi="Verdana"/>
          <w:sz w:val="20"/>
          <w:szCs w:val="20"/>
        </w:rPr>
        <w:footnoteReference w:id="31"/>
      </w:r>
      <w:r w:rsidR="002E6534" w:rsidRPr="00112300">
        <w:rPr>
          <w:rFonts w:ascii="Verdana" w:hAnsi="Verdana"/>
          <w:sz w:val="20"/>
          <w:szCs w:val="20"/>
        </w:rPr>
        <w:t>.</w:t>
      </w:r>
      <w:r w:rsidR="00773DA3" w:rsidRPr="00773DA3">
        <w:rPr>
          <w:rFonts w:ascii="Verdana" w:hAnsi="Verdana"/>
          <w:sz w:val="20"/>
          <w:szCs w:val="20"/>
        </w:rPr>
        <w:t xml:space="preserve"> </w:t>
      </w:r>
    </w:p>
    <w:p w14:paraId="5A2A1538" w14:textId="77777777" w:rsidR="00F1387C" w:rsidRPr="00112300" w:rsidRDefault="00F1387C" w:rsidP="00F1387C">
      <w:pPr>
        <w:pStyle w:val="Prrafodelista"/>
        <w:rPr>
          <w:rFonts w:ascii="Verdana" w:hAnsi="Verdana"/>
          <w:sz w:val="20"/>
          <w:szCs w:val="20"/>
        </w:rPr>
      </w:pPr>
    </w:p>
    <w:p w14:paraId="0E615BC3" w14:textId="10FE9548" w:rsidR="00867C80" w:rsidRPr="00E725DF" w:rsidRDefault="006A55A4" w:rsidP="00867C80">
      <w:pPr>
        <w:numPr>
          <w:ilvl w:val="0"/>
          <w:numId w:val="25"/>
        </w:numPr>
        <w:ind w:left="0" w:firstLine="0"/>
        <w:jc w:val="both"/>
        <w:rPr>
          <w:rFonts w:ascii="Verdana" w:hAnsi="Verdana"/>
          <w:sz w:val="20"/>
          <w:szCs w:val="20"/>
        </w:rPr>
      </w:pPr>
      <w:r w:rsidRPr="005E58DF">
        <w:rPr>
          <w:rFonts w:ascii="Verdana" w:hAnsi="Verdana"/>
          <w:sz w:val="20"/>
          <w:szCs w:val="20"/>
        </w:rPr>
        <w:t>Todo lo anterior se enmarca</w:t>
      </w:r>
      <w:r w:rsidR="00852759" w:rsidRPr="005E58DF">
        <w:rPr>
          <w:rFonts w:ascii="Verdana" w:hAnsi="Verdana"/>
          <w:sz w:val="20"/>
          <w:szCs w:val="20"/>
        </w:rPr>
        <w:t xml:space="preserve">, tal y como la Corte ha señalado en Resoluciones previas, </w:t>
      </w:r>
      <w:r w:rsidRPr="005E58DF">
        <w:rPr>
          <w:rFonts w:ascii="Verdana" w:hAnsi="Verdana"/>
          <w:sz w:val="20"/>
          <w:szCs w:val="20"/>
        </w:rPr>
        <w:t>en un contexto de</w:t>
      </w:r>
      <w:r w:rsidR="00692951" w:rsidRPr="005E58DF">
        <w:rPr>
          <w:rFonts w:ascii="Verdana" w:hAnsi="Verdana"/>
          <w:sz w:val="20"/>
          <w:szCs w:val="20"/>
        </w:rPr>
        <w:t xml:space="preserve"> </w:t>
      </w:r>
      <w:r w:rsidR="00416BF3" w:rsidRPr="005E58DF">
        <w:rPr>
          <w:rFonts w:ascii="Verdana" w:hAnsi="Verdana"/>
          <w:sz w:val="20"/>
          <w:szCs w:val="20"/>
        </w:rPr>
        <w:t>“hostigamiento, a través de</w:t>
      </w:r>
      <w:r w:rsidR="00715DC8" w:rsidRPr="005E58DF">
        <w:rPr>
          <w:rFonts w:ascii="Verdana" w:hAnsi="Verdana"/>
          <w:sz w:val="20"/>
          <w:szCs w:val="20"/>
        </w:rPr>
        <w:t xml:space="preserve"> diferentes mecanismos como seguimientos, amenazas y privaciones de facto de la libertad</w:t>
      </w:r>
      <w:r w:rsidR="00416BF3" w:rsidRPr="005E58DF">
        <w:rPr>
          <w:rFonts w:ascii="Verdana" w:hAnsi="Verdana"/>
          <w:sz w:val="20"/>
          <w:szCs w:val="20"/>
        </w:rPr>
        <w:t>”</w:t>
      </w:r>
      <w:r w:rsidR="00715DC8" w:rsidRPr="005E58DF">
        <w:rPr>
          <w:rFonts w:ascii="Verdana" w:hAnsi="Verdana"/>
          <w:sz w:val="20"/>
          <w:szCs w:val="20"/>
        </w:rPr>
        <w:t xml:space="preserve"> de “</w:t>
      </w:r>
      <w:r w:rsidR="006441FA" w:rsidRPr="005E58DF">
        <w:rPr>
          <w:rFonts w:ascii="Verdana" w:hAnsi="Verdana"/>
          <w:sz w:val="20"/>
          <w:szCs w:val="20"/>
        </w:rPr>
        <w:t xml:space="preserve">quienes se identifican </w:t>
      </w:r>
      <w:r w:rsidR="00380E37" w:rsidRPr="005E58DF">
        <w:rPr>
          <w:rFonts w:ascii="Verdana" w:hAnsi="Verdana"/>
          <w:sz w:val="20"/>
          <w:szCs w:val="20"/>
        </w:rPr>
        <w:t>como integrantes de la oposición</w:t>
      </w:r>
      <w:r w:rsidR="00715DC8" w:rsidRPr="005E58DF">
        <w:rPr>
          <w:rFonts w:ascii="Verdana" w:hAnsi="Verdana"/>
          <w:sz w:val="20"/>
          <w:szCs w:val="20"/>
        </w:rPr>
        <w:t>”</w:t>
      </w:r>
      <w:r w:rsidR="00292F99" w:rsidRPr="005E58DF">
        <w:rPr>
          <w:rFonts w:ascii="Verdana" w:hAnsi="Verdana"/>
          <w:sz w:val="20"/>
          <w:szCs w:val="20"/>
        </w:rPr>
        <w:t xml:space="preserve"> en general, así como “contra defensores y defensores de derechos humanos en particular”</w:t>
      </w:r>
      <w:r w:rsidR="00701422" w:rsidRPr="005E58DF">
        <w:rPr>
          <w:rStyle w:val="Refdenotaalpie"/>
          <w:rFonts w:ascii="Verdana" w:hAnsi="Verdana"/>
          <w:sz w:val="20"/>
          <w:szCs w:val="20"/>
        </w:rPr>
        <w:footnoteReference w:id="32"/>
      </w:r>
      <w:r w:rsidR="00292F99" w:rsidRPr="005E58DF">
        <w:rPr>
          <w:rFonts w:ascii="Verdana" w:hAnsi="Verdana"/>
          <w:sz w:val="20"/>
          <w:szCs w:val="20"/>
        </w:rPr>
        <w:t>.</w:t>
      </w:r>
      <w:r w:rsidR="006924FE" w:rsidRPr="005E58DF">
        <w:rPr>
          <w:rFonts w:ascii="Verdana" w:hAnsi="Verdana"/>
          <w:sz w:val="20"/>
          <w:szCs w:val="20"/>
        </w:rPr>
        <w:t xml:space="preserve"> </w:t>
      </w:r>
      <w:r w:rsidR="00867C80">
        <w:rPr>
          <w:rFonts w:ascii="Verdana" w:hAnsi="Verdana"/>
          <w:sz w:val="20"/>
          <w:szCs w:val="20"/>
        </w:rPr>
        <w:t>En línea con lo anterior</w:t>
      </w:r>
      <w:r w:rsidR="00867C80" w:rsidRPr="005E58DF">
        <w:rPr>
          <w:rFonts w:ascii="Verdana" w:hAnsi="Verdana"/>
          <w:sz w:val="20"/>
          <w:szCs w:val="20"/>
        </w:rPr>
        <w:t>,</w:t>
      </w:r>
      <w:r w:rsidR="00867C80">
        <w:rPr>
          <w:rFonts w:ascii="Verdana" w:hAnsi="Verdana"/>
          <w:sz w:val="20"/>
          <w:szCs w:val="20"/>
        </w:rPr>
        <w:t xml:space="preserve"> el Tribunal observa que</w:t>
      </w:r>
      <w:r w:rsidR="00867C80" w:rsidRPr="005E58DF">
        <w:rPr>
          <w:rFonts w:ascii="Verdana" w:hAnsi="Verdana"/>
          <w:sz w:val="20"/>
          <w:szCs w:val="20"/>
        </w:rPr>
        <w:t xml:space="preserve"> la presente condena impuesta viene precedida de años de campañas de estigmatización y desacreditación contra las y los integrantes de CENIDH y CPDH, así como de graves actos de </w:t>
      </w:r>
      <w:r w:rsidR="00867C80" w:rsidRPr="005E58DF">
        <w:rPr>
          <w:rFonts w:ascii="Verdana" w:hAnsi="Verdana"/>
          <w:sz w:val="20"/>
          <w:szCs w:val="20"/>
          <w:lang w:val="es-ES"/>
        </w:rPr>
        <w:t>amedr</w:t>
      </w:r>
      <w:r w:rsidR="00E517F8">
        <w:rPr>
          <w:rFonts w:ascii="Verdana" w:hAnsi="Verdana"/>
          <w:sz w:val="20"/>
          <w:szCs w:val="20"/>
          <w:lang w:val="es-ES"/>
        </w:rPr>
        <w:t>e</w:t>
      </w:r>
      <w:r w:rsidR="00867C80" w:rsidRPr="005E58DF">
        <w:rPr>
          <w:rFonts w:ascii="Verdana" w:hAnsi="Verdana"/>
          <w:sz w:val="20"/>
          <w:szCs w:val="20"/>
          <w:lang w:val="es-ES"/>
        </w:rPr>
        <w:t>ntamiento</w:t>
      </w:r>
      <w:r w:rsidR="00867C80" w:rsidRPr="005E58DF">
        <w:rPr>
          <w:rFonts w:ascii="Verdana" w:hAnsi="Verdana"/>
          <w:sz w:val="20"/>
          <w:szCs w:val="20"/>
        </w:rPr>
        <w:t xml:space="preserve">. Al respecto, la Corte advierte que la condena y subsiguiente privación de libertad de los denominados “opositores políticos” constituyen mecanismos utilizados para disuadir y silenciar a </w:t>
      </w:r>
      <w:r w:rsidR="00867C80" w:rsidRPr="00E725DF">
        <w:rPr>
          <w:rFonts w:ascii="Verdana" w:hAnsi="Verdana"/>
          <w:sz w:val="20"/>
          <w:szCs w:val="20"/>
        </w:rPr>
        <w:t>toda persona que ejerza una crítica contra el régimen nicaragüense en legítimo ejercicio de su derecho a la libertad de expresión, situación que, de persistir, estaría erosionando las reglas del juego democrático y del Estado de Derecho</w:t>
      </w:r>
      <w:r w:rsidR="00867C80" w:rsidRPr="00E725DF">
        <w:rPr>
          <w:rStyle w:val="Refdenotaalpie"/>
          <w:rFonts w:ascii="Verdana" w:hAnsi="Verdana"/>
          <w:sz w:val="20"/>
          <w:szCs w:val="20"/>
        </w:rPr>
        <w:footnoteReference w:id="33"/>
      </w:r>
      <w:r w:rsidR="00867C80" w:rsidRPr="00E725DF">
        <w:rPr>
          <w:rFonts w:ascii="Verdana" w:hAnsi="Verdana"/>
          <w:sz w:val="20"/>
          <w:szCs w:val="20"/>
        </w:rPr>
        <w:t>. En tal sentido, la Corte recuerda que “[e]n una sociedad democrática los derechos y libertades inherentes a la persona, sus garantías y el Estado de Derecho constituyen una tríada, cada uno de cuyos componentes se define, completa y adquiere sentido en función de los otros”</w:t>
      </w:r>
      <w:r w:rsidR="00867C80" w:rsidRPr="00E725DF">
        <w:rPr>
          <w:rStyle w:val="Refdenotaalpie"/>
          <w:rFonts w:ascii="Verdana" w:hAnsi="Verdana"/>
          <w:sz w:val="20"/>
          <w:szCs w:val="20"/>
        </w:rPr>
        <w:footnoteReference w:id="34"/>
      </w:r>
      <w:r w:rsidR="00867C80" w:rsidRPr="00E725DF">
        <w:rPr>
          <w:rFonts w:ascii="Verdana" w:hAnsi="Verdana"/>
          <w:sz w:val="20"/>
          <w:szCs w:val="20"/>
        </w:rPr>
        <w:t>.</w:t>
      </w:r>
    </w:p>
    <w:p w14:paraId="52E913C9" w14:textId="77777777" w:rsidR="00867C80" w:rsidRPr="00E725DF" w:rsidRDefault="00867C80" w:rsidP="00867C80">
      <w:pPr>
        <w:jc w:val="both"/>
        <w:rPr>
          <w:rFonts w:ascii="Verdana" w:hAnsi="Verdana"/>
          <w:sz w:val="20"/>
          <w:szCs w:val="20"/>
        </w:rPr>
      </w:pPr>
    </w:p>
    <w:p w14:paraId="45CB9A03" w14:textId="77777777" w:rsidR="004D20DA" w:rsidRDefault="00867C80" w:rsidP="00867C80">
      <w:pPr>
        <w:numPr>
          <w:ilvl w:val="0"/>
          <w:numId w:val="25"/>
        </w:numPr>
        <w:ind w:left="0" w:firstLine="0"/>
        <w:jc w:val="both"/>
        <w:rPr>
          <w:rFonts w:ascii="Verdana" w:hAnsi="Verdana"/>
          <w:sz w:val="20"/>
          <w:szCs w:val="20"/>
        </w:rPr>
      </w:pPr>
      <w:r w:rsidRPr="00E725DF">
        <w:rPr>
          <w:rFonts w:ascii="Verdana" w:hAnsi="Verdana"/>
          <w:sz w:val="20"/>
          <w:szCs w:val="20"/>
        </w:rPr>
        <w:t xml:space="preserve">Adicionalmente, el Tribunal advierte que las penas específicas impuestas a los </w:t>
      </w:r>
      <w:r w:rsidRPr="00E725DF">
        <w:rPr>
          <w:rFonts w:ascii="Verdana" w:eastAsiaTheme="minorHAnsi" w:hAnsi="Verdana" w:cs="Verdana"/>
          <w:sz w:val="20"/>
          <w:szCs w:val="20"/>
          <w:lang w:val="es-CR"/>
        </w:rPr>
        <w:t xml:space="preserve">beneficiarios </w:t>
      </w:r>
      <w:r w:rsidRPr="00E725DF">
        <w:rPr>
          <w:rFonts w:ascii="Verdana" w:hAnsi="Verdana"/>
          <w:sz w:val="20"/>
          <w:szCs w:val="20"/>
        </w:rPr>
        <w:t xml:space="preserve">Vilma Núñez de Escorcia y Guillermo Gonzalo Carrión Maradiaga </w:t>
      </w:r>
      <w:r w:rsidRPr="00E961D2">
        <w:rPr>
          <w:rFonts w:ascii="Verdana" w:hAnsi="Verdana"/>
          <w:sz w:val="20"/>
          <w:szCs w:val="20"/>
        </w:rPr>
        <w:t>podrían suponer</w:t>
      </w:r>
      <w:r w:rsidRPr="00E725DF">
        <w:rPr>
          <w:rFonts w:ascii="Verdana" w:hAnsi="Verdana"/>
          <w:sz w:val="20"/>
          <w:szCs w:val="20"/>
        </w:rPr>
        <w:t xml:space="preserve"> una instrumentalización de los procesos penales para </w:t>
      </w:r>
      <w:r w:rsidR="00E725DF">
        <w:rPr>
          <w:rFonts w:ascii="Verdana" w:hAnsi="Verdana"/>
          <w:sz w:val="20"/>
          <w:szCs w:val="20"/>
        </w:rPr>
        <w:t>continuar y agravar las acciones de amedr</w:t>
      </w:r>
      <w:r w:rsidR="00E961D2">
        <w:rPr>
          <w:rFonts w:ascii="Verdana" w:hAnsi="Verdana"/>
          <w:sz w:val="20"/>
          <w:szCs w:val="20"/>
        </w:rPr>
        <w:t>e</w:t>
      </w:r>
      <w:r w:rsidR="00E725DF">
        <w:rPr>
          <w:rFonts w:ascii="Verdana" w:hAnsi="Verdana"/>
          <w:sz w:val="20"/>
          <w:szCs w:val="20"/>
        </w:rPr>
        <w:t>ntamiento y silenciamiento de</w:t>
      </w:r>
      <w:r w:rsidRPr="00E725DF">
        <w:rPr>
          <w:rFonts w:ascii="Verdana" w:hAnsi="Verdana"/>
          <w:sz w:val="20"/>
          <w:szCs w:val="20"/>
        </w:rPr>
        <w:t xml:space="preserve"> estos defensores de derechos humanos. Con respecto a la privación de la nacionalidad, la Corte advierte que este tipo de sanción expone a las personas beneficiarias a una posible situación de apatridia, acrecentando así su situación de vulnerabilidad</w:t>
      </w:r>
      <w:r w:rsidR="0033022A">
        <w:rPr>
          <w:rStyle w:val="Refdenotaalpie"/>
          <w:rFonts w:ascii="Verdana" w:hAnsi="Verdana"/>
          <w:sz w:val="20"/>
          <w:szCs w:val="20"/>
        </w:rPr>
        <w:footnoteReference w:id="35"/>
      </w:r>
      <w:r w:rsidRPr="00E725DF">
        <w:rPr>
          <w:rFonts w:ascii="Verdana" w:hAnsi="Verdana"/>
          <w:sz w:val="20"/>
          <w:szCs w:val="20"/>
        </w:rPr>
        <w:t xml:space="preserve">. Por otro lado, la confiscación de bienes en el marco de un proceso -con carácter </w:t>
      </w:r>
      <w:r w:rsidRPr="00E725DF">
        <w:rPr>
          <w:rFonts w:ascii="Verdana" w:hAnsi="Verdana"/>
          <w:i/>
          <w:iCs/>
          <w:sz w:val="20"/>
          <w:szCs w:val="20"/>
        </w:rPr>
        <w:t>prima facie</w:t>
      </w:r>
      <w:r w:rsidRPr="00E725DF">
        <w:rPr>
          <w:rFonts w:ascii="Verdana" w:hAnsi="Verdana"/>
          <w:sz w:val="20"/>
          <w:szCs w:val="20"/>
        </w:rPr>
        <w:t>- plagado de irregularidades</w:t>
      </w:r>
      <w:r w:rsidR="00E517F8">
        <w:rPr>
          <w:rFonts w:ascii="Verdana" w:hAnsi="Verdana"/>
          <w:sz w:val="20"/>
          <w:szCs w:val="20"/>
        </w:rPr>
        <w:t>,</w:t>
      </w:r>
      <w:r w:rsidRPr="00E725DF">
        <w:rPr>
          <w:rFonts w:ascii="Verdana" w:hAnsi="Verdana"/>
          <w:sz w:val="20"/>
          <w:szCs w:val="20"/>
        </w:rPr>
        <w:t xml:space="preserve"> deviene un acto de </w:t>
      </w:r>
      <w:r w:rsidR="00990944" w:rsidRPr="00E725DF">
        <w:rPr>
          <w:rFonts w:ascii="Verdana" w:hAnsi="Verdana"/>
          <w:sz w:val="20"/>
          <w:szCs w:val="20"/>
        </w:rPr>
        <w:t>hostigamiento</w:t>
      </w:r>
      <w:r w:rsidRPr="00E725DF">
        <w:rPr>
          <w:rFonts w:ascii="Verdana" w:hAnsi="Verdana"/>
          <w:sz w:val="20"/>
          <w:szCs w:val="20"/>
        </w:rPr>
        <w:t xml:space="preserve"> adicional al que llevan sometidas las personas beneficiarias durante años. </w:t>
      </w:r>
    </w:p>
    <w:p w14:paraId="2EE02CB9" w14:textId="77777777" w:rsidR="004D20DA" w:rsidRDefault="004D20DA" w:rsidP="00AE0709">
      <w:pPr>
        <w:pStyle w:val="Prrafodelista"/>
        <w:rPr>
          <w:rFonts w:ascii="Verdana" w:hAnsi="Verdana"/>
          <w:sz w:val="20"/>
          <w:szCs w:val="20"/>
        </w:rPr>
      </w:pPr>
    </w:p>
    <w:p w14:paraId="0F037B27" w14:textId="68C10137" w:rsidR="00867C80" w:rsidRPr="00E725DF" w:rsidRDefault="00867C80" w:rsidP="00867C80">
      <w:pPr>
        <w:numPr>
          <w:ilvl w:val="0"/>
          <w:numId w:val="25"/>
        </w:numPr>
        <w:ind w:left="0" w:firstLine="0"/>
        <w:jc w:val="both"/>
        <w:rPr>
          <w:rFonts w:ascii="Verdana" w:hAnsi="Verdana"/>
          <w:sz w:val="20"/>
          <w:szCs w:val="20"/>
        </w:rPr>
      </w:pPr>
      <w:r w:rsidRPr="00E725DF">
        <w:rPr>
          <w:rFonts w:ascii="Verdana" w:hAnsi="Verdana"/>
          <w:sz w:val="20"/>
          <w:szCs w:val="20"/>
        </w:rPr>
        <w:t xml:space="preserve">En suma, las condenas impuestas en el marco de un juicio </w:t>
      </w:r>
      <w:r w:rsidR="00E961D2">
        <w:rPr>
          <w:rFonts w:ascii="Verdana" w:hAnsi="Verdana"/>
          <w:sz w:val="20"/>
          <w:szCs w:val="20"/>
        </w:rPr>
        <w:t>en el que no se habría respetado</w:t>
      </w:r>
      <w:r w:rsidRPr="00E725DF">
        <w:rPr>
          <w:rFonts w:ascii="Verdana" w:hAnsi="Verdana"/>
          <w:sz w:val="20"/>
          <w:szCs w:val="20"/>
        </w:rPr>
        <w:t xml:space="preserve"> ninguna garantía de debido proceso, </w:t>
      </w:r>
      <w:r w:rsidR="00AE0709">
        <w:rPr>
          <w:rFonts w:ascii="Verdana" w:hAnsi="Verdana"/>
          <w:sz w:val="20"/>
          <w:szCs w:val="20"/>
        </w:rPr>
        <w:t>impide</w:t>
      </w:r>
      <w:r w:rsidR="00AE0709" w:rsidRPr="00E725DF">
        <w:rPr>
          <w:rFonts w:ascii="Verdana" w:hAnsi="Verdana"/>
          <w:sz w:val="20"/>
          <w:szCs w:val="20"/>
        </w:rPr>
        <w:t xml:space="preserve"> </w:t>
      </w:r>
      <w:r w:rsidRPr="00E725DF">
        <w:rPr>
          <w:rFonts w:ascii="Verdana" w:hAnsi="Verdana"/>
          <w:sz w:val="20"/>
          <w:szCs w:val="20"/>
        </w:rPr>
        <w:t>a las personas beneficiarias ejercer</w:t>
      </w:r>
      <w:r w:rsidR="00DA041F">
        <w:rPr>
          <w:rFonts w:ascii="Verdana" w:hAnsi="Verdana"/>
          <w:sz w:val="20"/>
          <w:szCs w:val="20"/>
        </w:rPr>
        <w:t>,</w:t>
      </w:r>
      <w:r w:rsidRPr="00E725DF">
        <w:rPr>
          <w:rFonts w:ascii="Verdana" w:hAnsi="Verdana"/>
          <w:sz w:val="20"/>
          <w:szCs w:val="20"/>
        </w:rPr>
        <w:t xml:space="preserve"> no sólo sus derechos básicos como ciudadanos</w:t>
      </w:r>
      <w:r w:rsidR="00E517F8">
        <w:rPr>
          <w:rFonts w:ascii="Verdana" w:hAnsi="Verdana"/>
          <w:sz w:val="20"/>
          <w:szCs w:val="20"/>
        </w:rPr>
        <w:t xml:space="preserve"> y ciudadanas</w:t>
      </w:r>
      <w:r w:rsidRPr="00E725DF">
        <w:rPr>
          <w:rFonts w:ascii="Verdana" w:hAnsi="Verdana"/>
          <w:sz w:val="20"/>
          <w:szCs w:val="20"/>
        </w:rPr>
        <w:t>, sino</w:t>
      </w:r>
      <w:r w:rsidR="00E517F8">
        <w:rPr>
          <w:rFonts w:ascii="Verdana" w:hAnsi="Verdana"/>
          <w:sz w:val="20"/>
          <w:szCs w:val="20"/>
        </w:rPr>
        <w:t>,</w:t>
      </w:r>
      <w:r w:rsidRPr="00E725DF">
        <w:rPr>
          <w:rFonts w:ascii="Verdana" w:hAnsi="Verdana"/>
          <w:sz w:val="20"/>
          <w:szCs w:val="20"/>
        </w:rPr>
        <w:t xml:space="preserve"> además</w:t>
      </w:r>
      <w:r w:rsidR="00E517F8">
        <w:rPr>
          <w:rFonts w:ascii="Verdana" w:hAnsi="Verdana"/>
          <w:sz w:val="20"/>
          <w:szCs w:val="20"/>
        </w:rPr>
        <w:t>,</w:t>
      </w:r>
      <w:r w:rsidRPr="00E725DF">
        <w:rPr>
          <w:rFonts w:ascii="Verdana" w:hAnsi="Verdana"/>
          <w:sz w:val="20"/>
          <w:szCs w:val="20"/>
        </w:rPr>
        <w:t xml:space="preserve"> el libre ejercicio de la abogacía y suponen un acto extremo de persecución política dirigido contra </w:t>
      </w:r>
      <w:r w:rsidR="00990944" w:rsidRPr="00E725DF">
        <w:rPr>
          <w:rFonts w:ascii="Verdana" w:hAnsi="Verdana"/>
          <w:sz w:val="20"/>
          <w:szCs w:val="20"/>
        </w:rPr>
        <w:t>personas defensoras de derechos humanos</w:t>
      </w:r>
      <w:r w:rsidR="00095BA5" w:rsidRPr="00E725DF">
        <w:rPr>
          <w:rFonts w:ascii="Verdana" w:hAnsi="Verdana"/>
          <w:sz w:val="20"/>
          <w:szCs w:val="20"/>
        </w:rPr>
        <w:t xml:space="preserve"> y contra todo aquel que </w:t>
      </w:r>
      <w:r w:rsidR="00E725DF">
        <w:rPr>
          <w:rFonts w:ascii="Verdana" w:hAnsi="Verdana"/>
          <w:sz w:val="20"/>
          <w:szCs w:val="20"/>
        </w:rPr>
        <w:t>emita</w:t>
      </w:r>
      <w:r w:rsidR="00095BA5" w:rsidRPr="00E725DF">
        <w:rPr>
          <w:rFonts w:ascii="Verdana" w:hAnsi="Verdana"/>
          <w:sz w:val="20"/>
          <w:szCs w:val="20"/>
        </w:rPr>
        <w:t xml:space="preserve"> una voz crítica con el régimen actual</w:t>
      </w:r>
      <w:r w:rsidR="00990944" w:rsidRPr="00E725DF">
        <w:rPr>
          <w:rFonts w:ascii="Verdana" w:hAnsi="Verdana"/>
          <w:sz w:val="20"/>
          <w:szCs w:val="20"/>
        </w:rPr>
        <w:t>, cuestión inadmisible en un Estado democrático</w:t>
      </w:r>
      <w:r w:rsidR="00095BA5" w:rsidRPr="00E725DF">
        <w:rPr>
          <w:rFonts w:ascii="Verdana" w:hAnsi="Verdana"/>
          <w:sz w:val="20"/>
          <w:szCs w:val="20"/>
        </w:rPr>
        <w:t xml:space="preserve"> de derecho</w:t>
      </w:r>
      <w:r w:rsidRPr="00E725DF">
        <w:rPr>
          <w:rFonts w:ascii="Verdana" w:hAnsi="Verdana"/>
          <w:sz w:val="20"/>
          <w:szCs w:val="20"/>
        </w:rPr>
        <w:t>. Esta Corte reitera que el cumplimiento del deber de crear las condiciones necesarias para el efectivo goce y disfrute de los derechos establecidos en la Convención está intrínsecamente ligado a la protección y al reconocimiento de la importancia del papel</w:t>
      </w:r>
      <w:r w:rsidRPr="00E725DF">
        <w:rPr>
          <w:rFonts w:ascii="Verdana" w:hAnsi="Verdana"/>
          <w:b/>
          <w:sz w:val="20"/>
          <w:szCs w:val="20"/>
        </w:rPr>
        <w:t xml:space="preserve"> </w:t>
      </w:r>
      <w:r w:rsidRPr="00E725DF">
        <w:rPr>
          <w:rFonts w:ascii="Verdana" w:hAnsi="Verdana"/>
          <w:sz w:val="20"/>
          <w:szCs w:val="20"/>
        </w:rPr>
        <w:t>que cumplen las y los defensores de derechos humanos</w:t>
      </w:r>
      <w:r w:rsidRPr="00E725DF">
        <w:rPr>
          <w:rStyle w:val="Refdenotaalpie"/>
          <w:rFonts w:ascii="Verdana" w:hAnsi="Verdana"/>
          <w:sz w:val="20"/>
          <w:szCs w:val="20"/>
        </w:rPr>
        <w:footnoteReference w:id="36"/>
      </w:r>
      <w:r w:rsidRPr="00E725DF">
        <w:rPr>
          <w:rFonts w:ascii="Verdana" w:hAnsi="Verdana"/>
          <w:sz w:val="20"/>
          <w:szCs w:val="20"/>
        </w:rPr>
        <w:t>, cuya labor es fundamental para el fortalecimiento de la democracia y el Estado de Derecho. El Tribunal recuerda, además, que las actividades de vigilancia, denuncia y educación que realizan contribuyen de manera esencial a la observancia de los derechos humanos, pues actúan como garantes contra la impunidad. De esta manera se complementa el rol, no tan solo de los Estados, sino del Sistema Interamericano de Derechos Humanos en su conjunto</w:t>
      </w:r>
      <w:r w:rsidRPr="00E725DF">
        <w:rPr>
          <w:rStyle w:val="Refdenotaalpie"/>
          <w:rFonts w:ascii="Verdana" w:hAnsi="Verdana"/>
          <w:sz w:val="20"/>
          <w:szCs w:val="20"/>
        </w:rPr>
        <w:footnoteReference w:id="37"/>
      </w:r>
      <w:r w:rsidRPr="00E725DF">
        <w:rPr>
          <w:rFonts w:ascii="Verdana" w:hAnsi="Verdana"/>
          <w:sz w:val="20"/>
          <w:szCs w:val="20"/>
        </w:rPr>
        <w:t>.</w:t>
      </w:r>
    </w:p>
    <w:p w14:paraId="4882EC13" w14:textId="77777777" w:rsidR="00723B5D" w:rsidRPr="00E725DF" w:rsidRDefault="00723B5D" w:rsidP="00723B5D">
      <w:pPr>
        <w:jc w:val="both"/>
        <w:rPr>
          <w:rFonts w:ascii="Verdana" w:hAnsi="Verdana"/>
          <w:sz w:val="20"/>
          <w:szCs w:val="20"/>
        </w:rPr>
      </w:pPr>
    </w:p>
    <w:p w14:paraId="045361BC" w14:textId="3947D607" w:rsidR="00EB52C2" w:rsidRPr="00E25CDB" w:rsidRDefault="00CA137F" w:rsidP="00E25CDB">
      <w:pPr>
        <w:numPr>
          <w:ilvl w:val="0"/>
          <w:numId w:val="25"/>
        </w:numPr>
        <w:ind w:left="0" w:firstLine="0"/>
        <w:jc w:val="both"/>
        <w:rPr>
          <w:rFonts w:ascii="Verdana" w:hAnsi="Verdana"/>
          <w:sz w:val="20"/>
          <w:szCs w:val="20"/>
        </w:rPr>
      </w:pPr>
      <w:r w:rsidRPr="00E725DF">
        <w:rPr>
          <w:rFonts w:ascii="Verdana" w:hAnsi="Verdana"/>
          <w:sz w:val="20"/>
          <w:szCs w:val="20"/>
        </w:rPr>
        <w:t xml:space="preserve">En vista de lo </w:t>
      </w:r>
      <w:r w:rsidR="00D5412F" w:rsidRPr="00E725DF">
        <w:rPr>
          <w:rFonts w:ascii="Verdana" w:hAnsi="Verdana"/>
          <w:sz w:val="20"/>
          <w:szCs w:val="20"/>
        </w:rPr>
        <w:t>expuesto</w:t>
      </w:r>
      <w:r w:rsidRPr="00E725DF">
        <w:rPr>
          <w:rFonts w:ascii="Verdana" w:hAnsi="Verdana"/>
          <w:sz w:val="20"/>
          <w:szCs w:val="20"/>
        </w:rPr>
        <w:t>, la</w:t>
      </w:r>
      <w:r w:rsidR="00EB52C2" w:rsidRPr="00E725DF">
        <w:rPr>
          <w:rFonts w:ascii="Verdana" w:hAnsi="Verdana"/>
          <w:sz w:val="20"/>
          <w:szCs w:val="20"/>
        </w:rPr>
        <w:t xml:space="preserve"> Corte </w:t>
      </w:r>
      <w:r w:rsidR="00970EE9">
        <w:rPr>
          <w:rFonts w:ascii="Verdana" w:hAnsi="Verdana"/>
          <w:sz w:val="20"/>
          <w:szCs w:val="20"/>
        </w:rPr>
        <w:t>advierte</w:t>
      </w:r>
      <w:r w:rsidRPr="00E725DF">
        <w:rPr>
          <w:rFonts w:ascii="Verdana" w:hAnsi="Verdana"/>
          <w:sz w:val="20"/>
          <w:szCs w:val="20"/>
        </w:rPr>
        <w:t xml:space="preserve"> que la criminalización a través de los procesos penales seguidos contra </w:t>
      </w:r>
      <w:r w:rsidRPr="00E725DF">
        <w:rPr>
          <w:rFonts w:ascii="Verdana" w:eastAsiaTheme="minorHAnsi" w:hAnsi="Verdana" w:cs="Verdana"/>
          <w:sz w:val="20"/>
          <w:szCs w:val="20"/>
          <w:lang w:val="es-CR"/>
        </w:rPr>
        <w:t xml:space="preserve">los beneficiarios </w:t>
      </w:r>
      <w:r w:rsidRPr="00E725DF">
        <w:rPr>
          <w:rFonts w:ascii="Verdana" w:hAnsi="Verdana"/>
          <w:sz w:val="20"/>
          <w:szCs w:val="20"/>
        </w:rPr>
        <w:t>Vilma Núñez de Escorcia y Guillermo Gonzalo Carrión Maradiaga</w:t>
      </w:r>
      <w:r w:rsidR="00D75716" w:rsidRPr="00E725DF">
        <w:rPr>
          <w:rFonts w:ascii="Verdana" w:hAnsi="Verdana"/>
          <w:sz w:val="20"/>
          <w:szCs w:val="20"/>
        </w:rPr>
        <w:t xml:space="preserve">, los cuales, </w:t>
      </w:r>
      <w:r w:rsidR="00D75716" w:rsidRPr="00E725DF">
        <w:rPr>
          <w:rFonts w:ascii="Verdana" w:hAnsi="Verdana"/>
          <w:i/>
          <w:iCs/>
          <w:sz w:val="20"/>
          <w:szCs w:val="20"/>
        </w:rPr>
        <w:t>prima facie</w:t>
      </w:r>
      <w:r w:rsidR="00D75716" w:rsidRPr="00E725DF">
        <w:rPr>
          <w:rFonts w:ascii="Verdana" w:hAnsi="Verdana"/>
          <w:sz w:val="20"/>
          <w:szCs w:val="20"/>
        </w:rPr>
        <w:t xml:space="preserve">, no </w:t>
      </w:r>
      <w:r w:rsidR="0088545D" w:rsidRPr="00E725DF">
        <w:rPr>
          <w:rFonts w:ascii="Verdana" w:hAnsi="Verdana"/>
          <w:sz w:val="20"/>
          <w:szCs w:val="20"/>
        </w:rPr>
        <w:t>habrían cumplido</w:t>
      </w:r>
      <w:r w:rsidR="0088545D" w:rsidRPr="00112300">
        <w:rPr>
          <w:rFonts w:ascii="Verdana" w:hAnsi="Verdana"/>
          <w:sz w:val="20"/>
          <w:szCs w:val="20"/>
        </w:rPr>
        <w:t xml:space="preserve"> </w:t>
      </w:r>
      <w:r w:rsidR="00D75716" w:rsidRPr="00112300">
        <w:rPr>
          <w:rFonts w:ascii="Verdana" w:hAnsi="Verdana"/>
          <w:sz w:val="20"/>
          <w:szCs w:val="20"/>
        </w:rPr>
        <w:t xml:space="preserve">con los requisitos mínimos -tanto legales como convencionales- </w:t>
      </w:r>
      <w:r w:rsidR="00E961D2">
        <w:rPr>
          <w:rFonts w:ascii="Verdana" w:hAnsi="Verdana"/>
          <w:sz w:val="20"/>
          <w:szCs w:val="20"/>
        </w:rPr>
        <w:t>del</w:t>
      </w:r>
      <w:r w:rsidR="00D75716" w:rsidRPr="00112300">
        <w:rPr>
          <w:rFonts w:ascii="Verdana" w:hAnsi="Verdana"/>
          <w:sz w:val="20"/>
          <w:szCs w:val="20"/>
        </w:rPr>
        <w:t xml:space="preserve"> debido proceso, junto con</w:t>
      </w:r>
      <w:r w:rsidRPr="00112300">
        <w:rPr>
          <w:rFonts w:ascii="Verdana" w:hAnsi="Verdana"/>
          <w:sz w:val="20"/>
          <w:szCs w:val="20"/>
        </w:rPr>
        <w:t xml:space="preserve"> la posibilidad de su inminente privación de libertad</w:t>
      </w:r>
      <w:r w:rsidR="00D75716" w:rsidRPr="00112300">
        <w:rPr>
          <w:rFonts w:ascii="Verdana" w:hAnsi="Verdana"/>
          <w:sz w:val="20"/>
          <w:szCs w:val="20"/>
        </w:rPr>
        <w:t xml:space="preserve"> en las actuales circunstancias carcelarias descritas </w:t>
      </w:r>
      <w:r w:rsidR="00FC3471" w:rsidRPr="00112300">
        <w:rPr>
          <w:rFonts w:ascii="Verdana" w:hAnsi="Verdana"/>
          <w:sz w:val="20"/>
          <w:szCs w:val="20"/>
        </w:rPr>
        <w:t>en</w:t>
      </w:r>
      <w:r w:rsidR="00D75716" w:rsidRPr="00112300">
        <w:rPr>
          <w:rFonts w:ascii="Verdana" w:hAnsi="Verdana"/>
          <w:sz w:val="20"/>
          <w:szCs w:val="20"/>
        </w:rPr>
        <w:t xml:space="preserve"> la presente Resolución</w:t>
      </w:r>
      <w:r w:rsidR="00FC3471" w:rsidRPr="00112300">
        <w:rPr>
          <w:rFonts w:ascii="Verdana" w:hAnsi="Verdana"/>
          <w:sz w:val="20"/>
          <w:szCs w:val="20"/>
        </w:rPr>
        <w:t xml:space="preserve"> (</w:t>
      </w:r>
      <w:r w:rsidR="00FC3471" w:rsidRPr="00112300">
        <w:rPr>
          <w:rFonts w:ascii="Verdana" w:hAnsi="Verdana"/>
          <w:i/>
          <w:iCs/>
          <w:sz w:val="20"/>
          <w:szCs w:val="20"/>
        </w:rPr>
        <w:t>supra</w:t>
      </w:r>
      <w:r w:rsidR="00FC3471" w:rsidRPr="00112300">
        <w:rPr>
          <w:rFonts w:ascii="Verdana" w:hAnsi="Verdana"/>
          <w:sz w:val="20"/>
          <w:szCs w:val="20"/>
        </w:rPr>
        <w:t xml:space="preserve"> </w:t>
      </w:r>
      <w:r w:rsidR="00E25CDB">
        <w:rPr>
          <w:rFonts w:ascii="Verdana" w:hAnsi="Verdana"/>
          <w:sz w:val="20"/>
          <w:szCs w:val="20"/>
        </w:rPr>
        <w:t>Considerando</w:t>
      </w:r>
      <w:r w:rsidR="00FC3471" w:rsidRPr="00112300">
        <w:rPr>
          <w:rFonts w:ascii="Verdana" w:hAnsi="Verdana"/>
          <w:sz w:val="20"/>
          <w:szCs w:val="20"/>
        </w:rPr>
        <w:t xml:space="preserve"> </w:t>
      </w:r>
      <w:r w:rsidR="00B669C3" w:rsidRPr="00E25CDB">
        <w:rPr>
          <w:rFonts w:ascii="Verdana" w:hAnsi="Verdana"/>
          <w:sz w:val="20"/>
          <w:szCs w:val="20"/>
        </w:rPr>
        <w:t xml:space="preserve">20), </w:t>
      </w:r>
      <w:r w:rsidR="00D75716" w:rsidRPr="00E25CDB">
        <w:rPr>
          <w:rFonts w:ascii="Verdana" w:hAnsi="Verdana"/>
          <w:sz w:val="20"/>
          <w:szCs w:val="20"/>
        </w:rPr>
        <w:t xml:space="preserve">conforman nuevas </w:t>
      </w:r>
      <w:r w:rsidR="00EB52C2" w:rsidRPr="00E25CDB">
        <w:rPr>
          <w:rFonts w:ascii="Verdana" w:hAnsi="Verdana"/>
          <w:sz w:val="20"/>
          <w:szCs w:val="20"/>
        </w:rPr>
        <w:t xml:space="preserve">condiciones de i) “extrema gravedad”; ii) “urgencia”, y iii) </w:t>
      </w:r>
      <w:r w:rsidRPr="00E25CDB">
        <w:rPr>
          <w:rFonts w:ascii="Verdana" w:hAnsi="Verdana"/>
          <w:sz w:val="20"/>
          <w:szCs w:val="20"/>
        </w:rPr>
        <w:t>posibilidad de que tengan lugar “d</w:t>
      </w:r>
      <w:r w:rsidR="00EB52C2" w:rsidRPr="00E25CDB">
        <w:rPr>
          <w:rFonts w:ascii="Verdana" w:hAnsi="Verdana"/>
          <w:sz w:val="20"/>
          <w:szCs w:val="20"/>
        </w:rPr>
        <w:t>años irreparables”</w:t>
      </w:r>
      <w:r w:rsidRPr="00E25CDB">
        <w:rPr>
          <w:rFonts w:ascii="Verdana" w:hAnsi="Verdana"/>
          <w:sz w:val="20"/>
          <w:szCs w:val="20"/>
        </w:rPr>
        <w:t xml:space="preserve"> que motivan la adopción de medidas provisionales adicionales</w:t>
      </w:r>
      <w:r w:rsidR="00A9623C" w:rsidRPr="00E25CDB">
        <w:rPr>
          <w:rFonts w:ascii="Verdana" w:hAnsi="Verdana"/>
          <w:sz w:val="20"/>
          <w:szCs w:val="20"/>
        </w:rPr>
        <w:t>.</w:t>
      </w:r>
      <w:r w:rsidR="00EB52C2" w:rsidRPr="00E25CDB">
        <w:rPr>
          <w:rFonts w:ascii="Verdana" w:hAnsi="Verdana"/>
          <w:sz w:val="20"/>
          <w:szCs w:val="20"/>
        </w:rPr>
        <w:t xml:space="preserve"> </w:t>
      </w:r>
    </w:p>
    <w:p w14:paraId="6530F923" w14:textId="77777777" w:rsidR="00D5412F" w:rsidRPr="00112300" w:rsidRDefault="00D5412F" w:rsidP="00D5412F">
      <w:pPr>
        <w:pStyle w:val="Numberedparagraphs"/>
      </w:pPr>
    </w:p>
    <w:p w14:paraId="3B350930" w14:textId="331258FB" w:rsidR="00A9623C" w:rsidRPr="00261AA0" w:rsidRDefault="00D5412F" w:rsidP="00914C50">
      <w:pPr>
        <w:numPr>
          <w:ilvl w:val="0"/>
          <w:numId w:val="25"/>
        </w:numPr>
        <w:ind w:left="0" w:firstLine="0"/>
        <w:jc w:val="both"/>
        <w:rPr>
          <w:rStyle w:val="cf01"/>
          <w:rFonts w:ascii="Verdana" w:hAnsi="Verdana"/>
          <w:sz w:val="20"/>
          <w:szCs w:val="20"/>
        </w:rPr>
      </w:pPr>
      <w:r w:rsidRPr="00261AA0">
        <w:rPr>
          <w:rFonts w:ascii="Verdana" w:hAnsi="Verdana"/>
          <w:sz w:val="20"/>
          <w:szCs w:val="20"/>
        </w:rPr>
        <w:t xml:space="preserve">Por todo lo anterior, </w:t>
      </w:r>
      <w:r w:rsidR="00267033" w:rsidRPr="00261AA0">
        <w:rPr>
          <w:rFonts w:ascii="Verdana" w:hAnsi="Verdana"/>
          <w:sz w:val="20"/>
          <w:szCs w:val="20"/>
        </w:rPr>
        <w:t>el Tribunal considera necesario</w:t>
      </w:r>
      <w:r w:rsidR="00E725DF">
        <w:rPr>
          <w:rFonts w:ascii="Verdana" w:hAnsi="Verdana"/>
          <w:sz w:val="20"/>
          <w:szCs w:val="20"/>
        </w:rPr>
        <w:t xml:space="preserve"> </w:t>
      </w:r>
      <w:r w:rsidR="00BB776B" w:rsidRPr="00261AA0">
        <w:rPr>
          <w:rFonts w:ascii="Verdana" w:hAnsi="Verdana"/>
          <w:sz w:val="20"/>
          <w:szCs w:val="20"/>
        </w:rPr>
        <w:t xml:space="preserve">ordenar que el Estado </w:t>
      </w:r>
      <w:r w:rsidR="005E3B66">
        <w:rPr>
          <w:rFonts w:ascii="Verdana" w:hAnsi="Verdana"/>
          <w:sz w:val="20"/>
          <w:szCs w:val="20"/>
        </w:rPr>
        <w:t xml:space="preserve">deje sin efecto los procesos penales </w:t>
      </w:r>
      <w:r w:rsidR="00930E21">
        <w:rPr>
          <w:rFonts w:ascii="Verdana" w:hAnsi="Verdana"/>
          <w:sz w:val="20"/>
          <w:szCs w:val="20"/>
        </w:rPr>
        <w:t xml:space="preserve">referidos en la presente Resolución </w:t>
      </w:r>
      <w:r w:rsidR="005E3B66">
        <w:rPr>
          <w:rFonts w:ascii="Verdana" w:hAnsi="Verdana"/>
          <w:sz w:val="20"/>
          <w:szCs w:val="20"/>
        </w:rPr>
        <w:t xml:space="preserve">seguidos en contra </w:t>
      </w:r>
      <w:r w:rsidR="005E3B66" w:rsidRPr="00261AA0">
        <w:rPr>
          <w:rFonts w:ascii="Verdana" w:hAnsi="Verdana"/>
          <w:sz w:val="20"/>
          <w:szCs w:val="20"/>
        </w:rPr>
        <w:t>los beneficiarios Vilma Núñez de Escorcia y Guillermo Gonzalo Carrión Maradiaga</w:t>
      </w:r>
      <w:r w:rsidR="005E3B66">
        <w:rPr>
          <w:rFonts w:ascii="Verdana" w:hAnsi="Verdana"/>
          <w:sz w:val="20"/>
          <w:szCs w:val="20"/>
        </w:rPr>
        <w:t xml:space="preserve"> y, en consecuencia, </w:t>
      </w:r>
      <w:r w:rsidR="00BB776B" w:rsidRPr="00261AA0">
        <w:rPr>
          <w:rFonts w:ascii="Verdana" w:hAnsi="Verdana"/>
          <w:sz w:val="20"/>
          <w:szCs w:val="20"/>
        </w:rPr>
        <w:t xml:space="preserve">se abstenga de </w:t>
      </w:r>
      <w:r w:rsidR="005E3B66">
        <w:rPr>
          <w:rFonts w:ascii="Verdana" w:hAnsi="Verdana"/>
          <w:sz w:val="20"/>
          <w:szCs w:val="20"/>
        </w:rPr>
        <w:t>proceder a</w:t>
      </w:r>
      <w:r w:rsidR="00624C87" w:rsidRPr="00261AA0">
        <w:rPr>
          <w:rFonts w:ascii="Verdana" w:hAnsi="Verdana"/>
          <w:sz w:val="20"/>
          <w:szCs w:val="20"/>
        </w:rPr>
        <w:t xml:space="preserve"> la detención o </w:t>
      </w:r>
      <w:r w:rsidR="005E3B66">
        <w:rPr>
          <w:rFonts w:ascii="Verdana" w:hAnsi="Verdana"/>
          <w:sz w:val="20"/>
          <w:szCs w:val="20"/>
        </w:rPr>
        <w:t xml:space="preserve">de adoptar </w:t>
      </w:r>
      <w:r w:rsidR="00624C87" w:rsidRPr="00261AA0">
        <w:rPr>
          <w:rFonts w:ascii="Verdana" w:hAnsi="Verdana"/>
          <w:sz w:val="20"/>
          <w:szCs w:val="20"/>
        </w:rPr>
        <w:t>cualquier otra medida restrictiva de la libertad</w:t>
      </w:r>
      <w:r w:rsidR="005E3B66">
        <w:rPr>
          <w:rFonts w:ascii="Verdana" w:hAnsi="Verdana"/>
          <w:sz w:val="20"/>
          <w:szCs w:val="20"/>
        </w:rPr>
        <w:t xml:space="preserve"> de dichas personas</w:t>
      </w:r>
      <w:r w:rsidR="00941C70" w:rsidRPr="00261AA0">
        <w:rPr>
          <w:rFonts w:ascii="Verdana" w:hAnsi="Verdana"/>
          <w:sz w:val="20"/>
          <w:szCs w:val="20"/>
        </w:rPr>
        <w:t xml:space="preserve">, </w:t>
      </w:r>
      <w:r w:rsidR="00A9623C" w:rsidRPr="00261AA0">
        <w:rPr>
          <w:rFonts w:ascii="Verdana" w:hAnsi="Verdana"/>
          <w:sz w:val="20"/>
          <w:szCs w:val="20"/>
        </w:rPr>
        <w:t>así como</w:t>
      </w:r>
      <w:r w:rsidR="00941C70" w:rsidRPr="00261AA0">
        <w:rPr>
          <w:rFonts w:ascii="Verdana" w:hAnsi="Verdana"/>
          <w:sz w:val="20"/>
          <w:szCs w:val="20"/>
        </w:rPr>
        <w:t xml:space="preserve"> de ejecutar cualquier acción tendiente a obstaculizar </w:t>
      </w:r>
      <w:r w:rsidR="00C4768C" w:rsidRPr="00261AA0">
        <w:rPr>
          <w:rFonts w:ascii="Verdana" w:hAnsi="Verdana"/>
          <w:sz w:val="20"/>
          <w:szCs w:val="20"/>
        </w:rPr>
        <w:t xml:space="preserve">su labor </w:t>
      </w:r>
      <w:r w:rsidR="00941C70" w:rsidRPr="00261AA0">
        <w:rPr>
          <w:rFonts w:ascii="Verdana" w:hAnsi="Verdana"/>
          <w:sz w:val="20"/>
          <w:szCs w:val="20"/>
        </w:rPr>
        <w:t xml:space="preserve">en la defensa </w:t>
      </w:r>
      <w:r w:rsidR="0011233A" w:rsidRPr="00261AA0">
        <w:rPr>
          <w:rFonts w:ascii="Verdana" w:hAnsi="Verdana"/>
          <w:sz w:val="20"/>
          <w:szCs w:val="20"/>
        </w:rPr>
        <w:t>de</w:t>
      </w:r>
      <w:r w:rsidR="00C4768C" w:rsidRPr="00261AA0">
        <w:rPr>
          <w:rFonts w:ascii="Verdana" w:hAnsi="Verdana"/>
          <w:sz w:val="20"/>
          <w:szCs w:val="20"/>
        </w:rPr>
        <w:t xml:space="preserve"> los derechos humanos. </w:t>
      </w:r>
    </w:p>
    <w:p w14:paraId="22A06F1E" w14:textId="77777777" w:rsidR="003C5436" w:rsidRDefault="003C5436" w:rsidP="003C5436">
      <w:pPr>
        <w:pStyle w:val="Prrafodelista"/>
        <w:rPr>
          <w:rStyle w:val="cf01"/>
          <w:rFonts w:ascii="Verdana" w:hAnsi="Verdana"/>
          <w:sz w:val="20"/>
          <w:szCs w:val="20"/>
        </w:rPr>
      </w:pPr>
    </w:p>
    <w:p w14:paraId="06D7A183" w14:textId="6086337B" w:rsidR="006A55A4" w:rsidRPr="00112300" w:rsidRDefault="004D3C28" w:rsidP="006A55A4">
      <w:pPr>
        <w:pStyle w:val="Prrafodelista"/>
        <w:ind w:left="720"/>
        <w:jc w:val="both"/>
        <w:rPr>
          <w:rFonts w:ascii="Verdana" w:hAnsi="Verdana"/>
          <w:i/>
          <w:iCs/>
          <w:sz w:val="20"/>
          <w:szCs w:val="20"/>
        </w:rPr>
      </w:pPr>
      <w:r>
        <w:rPr>
          <w:rFonts w:ascii="Verdana" w:hAnsi="Verdana"/>
          <w:i/>
          <w:iCs/>
          <w:sz w:val="20"/>
          <w:szCs w:val="20"/>
        </w:rPr>
        <w:lastRenderedPageBreak/>
        <w:t>A</w:t>
      </w:r>
      <w:r w:rsidR="006A55A4" w:rsidRPr="00112300">
        <w:rPr>
          <w:rFonts w:ascii="Verdana" w:hAnsi="Verdana"/>
          <w:i/>
          <w:iCs/>
          <w:sz w:val="20"/>
          <w:szCs w:val="20"/>
        </w:rPr>
        <w:t>.2.</w:t>
      </w:r>
      <w:r>
        <w:rPr>
          <w:rFonts w:ascii="Verdana" w:hAnsi="Verdana"/>
          <w:i/>
          <w:iCs/>
          <w:sz w:val="20"/>
          <w:szCs w:val="20"/>
        </w:rPr>
        <w:t>2</w:t>
      </w:r>
      <w:r w:rsidR="006A55A4" w:rsidRPr="00112300">
        <w:rPr>
          <w:rFonts w:ascii="Verdana" w:hAnsi="Verdana"/>
          <w:i/>
          <w:iCs/>
          <w:sz w:val="20"/>
          <w:szCs w:val="20"/>
        </w:rPr>
        <w:t>.</w:t>
      </w:r>
      <w:r>
        <w:rPr>
          <w:rFonts w:ascii="Verdana" w:hAnsi="Verdana"/>
          <w:i/>
          <w:iCs/>
          <w:sz w:val="20"/>
          <w:szCs w:val="20"/>
        </w:rPr>
        <w:t xml:space="preserve"> </w:t>
      </w:r>
      <w:r w:rsidR="006A55A4" w:rsidRPr="00112300">
        <w:rPr>
          <w:rFonts w:ascii="Verdana" w:hAnsi="Verdana"/>
          <w:i/>
          <w:iCs/>
          <w:sz w:val="20"/>
          <w:szCs w:val="20"/>
        </w:rPr>
        <w:t>Sobre la necesidad de disponer el desacato del Estado de Nicaragua</w:t>
      </w:r>
    </w:p>
    <w:p w14:paraId="45A4E281" w14:textId="77777777" w:rsidR="00CF2C4B" w:rsidRPr="00112300" w:rsidRDefault="00CF2C4B" w:rsidP="00CF2C4B">
      <w:pPr>
        <w:pStyle w:val="Prrafodelista"/>
        <w:rPr>
          <w:rFonts w:ascii="Verdana" w:hAnsi="Verdana"/>
          <w:sz w:val="20"/>
          <w:szCs w:val="20"/>
        </w:rPr>
      </w:pPr>
    </w:p>
    <w:p w14:paraId="5A8DF64B" w14:textId="77777777" w:rsidR="00424C78" w:rsidRPr="00112300" w:rsidRDefault="00424C78" w:rsidP="00424C78">
      <w:pPr>
        <w:numPr>
          <w:ilvl w:val="0"/>
          <w:numId w:val="25"/>
        </w:numPr>
        <w:ind w:left="0" w:firstLine="0"/>
        <w:jc w:val="both"/>
        <w:rPr>
          <w:rFonts w:ascii="Verdana" w:hAnsi="Verdana"/>
          <w:sz w:val="20"/>
          <w:szCs w:val="20"/>
        </w:rPr>
      </w:pPr>
      <w:r w:rsidRPr="00112300">
        <w:rPr>
          <w:rFonts w:ascii="Verdana" w:hAnsi="Verdana"/>
          <w:sz w:val="20"/>
          <w:szCs w:val="20"/>
        </w:rPr>
        <w:t>Esta Corte ha entendido que la Convención Americana es un tratado cuyas reglas pretenden desarrollar una serie de valores para la protección de la persona humana frente al Estado, dentro de un marco democrático y de observancia de sus derechos y libertades esenciales</w:t>
      </w:r>
      <w:r w:rsidRPr="00112300">
        <w:rPr>
          <w:rStyle w:val="Refdenotaalpie"/>
          <w:rFonts w:ascii="Verdana" w:hAnsi="Verdana"/>
          <w:sz w:val="20"/>
          <w:szCs w:val="20"/>
        </w:rPr>
        <w:footnoteReference w:id="38"/>
      </w:r>
      <w:r w:rsidRPr="00112300">
        <w:rPr>
          <w:rFonts w:ascii="Verdana" w:hAnsi="Verdana"/>
          <w:sz w:val="20"/>
          <w:szCs w:val="20"/>
        </w:rPr>
        <w:t xml:space="preserve">, teniendo en cuenta que la existencia formal de un régimen democrático no garantiza, </w:t>
      </w:r>
      <w:r w:rsidRPr="00112300">
        <w:rPr>
          <w:rFonts w:ascii="Verdana" w:hAnsi="Verdana"/>
          <w:i/>
          <w:sz w:val="20"/>
          <w:szCs w:val="20"/>
        </w:rPr>
        <w:t>per se</w:t>
      </w:r>
      <w:r w:rsidRPr="00112300">
        <w:rPr>
          <w:rFonts w:ascii="Verdana" w:hAnsi="Verdana"/>
          <w:sz w:val="20"/>
          <w:szCs w:val="20"/>
        </w:rPr>
        <w:t>, el permanente respeto de los derechos humanos</w:t>
      </w:r>
      <w:r w:rsidRPr="00112300">
        <w:rPr>
          <w:rStyle w:val="Refdenotaalpie"/>
          <w:rFonts w:ascii="Verdana" w:hAnsi="Verdana"/>
          <w:sz w:val="20"/>
          <w:szCs w:val="20"/>
        </w:rPr>
        <w:footnoteReference w:id="39"/>
      </w:r>
      <w:r w:rsidRPr="00112300">
        <w:rPr>
          <w:rFonts w:ascii="Verdana" w:hAnsi="Verdana"/>
          <w:sz w:val="20"/>
          <w:szCs w:val="20"/>
        </w:rPr>
        <w:t xml:space="preserve">. </w:t>
      </w:r>
    </w:p>
    <w:p w14:paraId="132E86FF" w14:textId="77777777" w:rsidR="00424C78" w:rsidRPr="00112300" w:rsidRDefault="00424C78" w:rsidP="00424C78">
      <w:pPr>
        <w:pStyle w:val="Numberedparagraphs"/>
      </w:pPr>
    </w:p>
    <w:p w14:paraId="7AFD9FC0" w14:textId="77777777" w:rsidR="00424C78" w:rsidRPr="00112300" w:rsidRDefault="00424C78" w:rsidP="00424C78">
      <w:pPr>
        <w:numPr>
          <w:ilvl w:val="0"/>
          <w:numId w:val="25"/>
        </w:numPr>
        <w:ind w:left="0" w:firstLine="0"/>
        <w:jc w:val="both"/>
        <w:rPr>
          <w:rFonts w:ascii="Verdana" w:hAnsi="Verdana"/>
          <w:sz w:val="20"/>
          <w:szCs w:val="20"/>
        </w:rPr>
      </w:pPr>
      <w:r w:rsidRPr="00112300">
        <w:rPr>
          <w:rFonts w:ascii="Verdana" w:hAnsi="Verdana"/>
          <w:sz w:val="20"/>
          <w:szCs w:val="20"/>
        </w:rPr>
        <w:t>En esa medida, la propia Convención Americana prevé en su artículo 65 un sistema de garantía colectiva para asegurar el cumplimiento de las decisiones emanadas de la Corte Interamericana, para lo cual dispone que esta última indicará, en su informe anual de labores a la Asamblea General de la Organización de los Estados Americanos “los casos en que un Estado no haya dado cumplimiento a sus fallos”. De igual forma, el artículo 30 del Estatuto de la Corte Interamericana prescribe que, en el referido informe de labores, “[s]eñalará los casos en que un Estado no haya dado cumplimiento a sus fallos”. En esta línea, la Corte, a través de sus resoluciones, especialmente en la fase de supervisión de cumplimiento, ha recurrido a la aplicación de lo dispuesto en el referido artículo 65</w:t>
      </w:r>
      <w:r w:rsidRPr="00112300">
        <w:rPr>
          <w:rStyle w:val="Refdenotaalpie"/>
          <w:rFonts w:ascii="Verdana" w:hAnsi="Verdana"/>
          <w:sz w:val="20"/>
          <w:szCs w:val="20"/>
        </w:rPr>
        <w:footnoteReference w:id="40"/>
      </w:r>
      <w:r w:rsidRPr="00112300">
        <w:rPr>
          <w:rFonts w:ascii="Verdana" w:hAnsi="Verdana"/>
          <w:sz w:val="20"/>
          <w:szCs w:val="20"/>
        </w:rPr>
        <w:t>. A raíz de ello, ha informado a la Asamblea General de la OEA sobre el incumplimiento de las reparaciones ordenadas, y ha solicitado que, conforme a su labor de protección del efecto útil de la Convención Americana, asegure el acatamiento de lo ordenado por este Tribunal e inste a los correspondientes Estados a su cumplimiento</w:t>
      </w:r>
      <w:r w:rsidRPr="00112300">
        <w:rPr>
          <w:rStyle w:val="Refdenotaalpie"/>
          <w:rFonts w:ascii="Verdana" w:hAnsi="Verdana"/>
          <w:sz w:val="20"/>
          <w:szCs w:val="20"/>
        </w:rPr>
        <w:footnoteReference w:id="41"/>
      </w:r>
      <w:r w:rsidRPr="00112300">
        <w:rPr>
          <w:rFonts w:ascii="Verdana" w:hAnsi="Verdana"/>
          <w:sz w:val="20"/>
          <w:szCs w:val="20"/>
        </w:rPr>
        <w:t>.</w:t>
      </w:r>
    </w:p>
    <w:p w14:paraId="6EE69503" w14:textId="77777777" w:rsidR="00424C78" w:rsidRPr="00112300" w:rsidRDefault="00424C78" w:rsidP="00424C78">
      <w:pPr>
        <w:jc w:val="both"/>
        <w:rPr>
          <w:rFonts w:ascii="Verdana" w:hAnsi="Verdana"/>
          <w:sz w:val="20"/>
          <w:szCs w:val="20"/>
        </w:rPr>
      </w:pPr>
    </w:p>
    <w:p w14:paraId="1EEF957E" w14:textId="06894C99" w:rsidR="00424C78" w:rsidRPr="00112300" w:rsidRDefault="00424C78" w:rsidP="00424C78">
      <w:pPr>
        <w:numPr>
          <w:ilvl w:val="0"/>
          <w:numId w:val="25"/>
        </w:numPr>
        <w:ind w:left="0" w:firstLine="0"/>
        <w:jc w:val="both"/>
        <w:rPr>
          <w:rFonts w:ascii="Verdana" w:hAnsi="Verdana"/>
          <w:sz w:val="20"/>
          <w:szCs w:val="20"/>
        </w:rPr>
      </w:pPr>
      <w:r w:rsidRPr="00112300">
        <w:rPr>
          <w:rFonts w:ascii="Verdana" w:hAnsi="Verdana"/>
          <w:sz w:val="20"/>
          <w:szCs w:val="20"/>
        </w:rPr>
        <w:t xml:space="preserve">Así, la garantía colectiva se traduce en una obligación general de protección que tienen tanto los Estados Parte de la Convención como los Estados Miembros de la OEA entre sí, para asegurar la efectividad de dicho instrumento. En particular, sobre la noción de garantía colectiva, esta Corte ha señalado: </w:t>
      </w:r>
    </w:p>
    <w:p w14:paraId="6846D0EC" w14:textId="77777777" w:rsidR="00424C78" w:rsidRPr="00112300" w:rsidRDefault="00424C78" w:rsidP="00424C78">
      <w:pPr>
        <w:pStyle w:val="Prrafodelista"/>
        <w:rPr>
          <w:rFonts w:ascii="Verdana" w:hAnsi="Verdana"/>
          <w:sz w:val="20"/>
          <w:szCs w:val="20"/>
        </w:rPr>
      </w:pPr>
    </w:p>
    <w:p w14:paraId="7FC9D8E1" w14:textId="115E6D64" w:rsidR="00424C78" w:rsidRPr="00112300" w:rsidRDefault="00424C78" w:rsidP="00424C78">
      <w:pPr>
        <w:ind w:left="708" w:right="618"/>
        <w:jc w:val="both"/>
        <w:rPr>
          <w:rFonts w:ascii="Verdana" w:hAnsi="Verdana"/>
          <w:sz w:val="20"/>
          <w:szCs w:val="20"/>
        </w:rPr>
      </w:pPr>
      <w:r w:rsidRPr="00112300">
        <w:rPr>
          <w:rFonts w:ascii="Verdana" w:hAnsi="Verdana"/>
          <w:sz w:val="20"/>
          <w:szCs w:val="20"/>
        </w:rPr>
        <w:t xml:space="preserve">[La] noción de garantía colectiva se encuentra estrechamente relacionada con el efecto útil de las Sentencias de la Corte Interamericana, por cuanto la Convención Americana consagra un sistema que constituye un verdadero orden público regional, cuyo mantenimiento es de interés de todos y cada uno de los Estados Partes. El interés de los Estados signatarios es el mantenimiento del sistema de protección de los derechos humanos que ellos mismos han creado, y si un Estado viola su obligación de acatar lo resuelto por el único órgano jurisdiccional sobre la materia se está quebrantando el compromiso asumido hacia los otros Estados de cumplir con las sentencias de la Corte. Por tanto, la labor de la Asamblea General de la Organización de los Estados Americanos cuando se le presenta un incumplimiento manifiesto por parte de uno de los Estados de una Sentencia emitida por la Corte </w:t>
      </w:r>
      <w:r w:rsidR="00064D82" w:rsidRPr="00112300">
        <w:rPr>
          <w:rFonts w:ascii="Verdana" w:hAnsi="Verdana"/>
          <w:sz w:val="20"/>
          <w:szCs w:val="20"/>
        </w:rPr>
        <w:t>Interamericana</w:t>
      </w:r>
      <w:r w:rsidRPr="00112300">
        <w:rPr>
          <w:rFonts w:ascii="Verdana" w:hAnsi="Verdana"/>
          <w:sz w:val="20"/>
          <w:szCs w:val="20"/>
        </w:rPr>
        <w:t xml:space="preserve"> </w:t>
      </w:r>
      <w:r w:rsidR="00E517F8">
        <w:rPr>
          <w:rFonts w:ascii="Verdana" w:hAnsi="Verdana"/>
          <w:sz w:val="20"/>
          <w:szCs w:val="20"/>
        </w:rPr>
        <w:t xml:space="preserve">amedrantamiento </w:t>
      </w:r>
      <w:r w:rsidRPr="00112300">
        <w:rPr>
          <w:rFonts w:ascii="Verdana" w:hAnsi="Verdana"/>
          <w:sz w:val="20"/>
          <w:szCs w:val="20"/>
        </w:rPr>
        <w:t>es precisamente la de proteger el efecto útil de la Convención Americana y evitar que la justicia interamericana se torne ilusoria al quedar al arbitrio de las decisiones internas de un Estado</w:t>
      </w:r>
      <w:r w:rsidRPr="00112300">
        <w:rPr>
          <w:rStyle w:val="Refdenotaalpie"/>
          <w:rFonts w:ascii="Verdana" w:hAnsi="Verdana"/>
          <w:sz w:val="20"/>
          <w:szCs w:val="20"/>
        </w:rPr>
        <w:footnoteReference w:id="42"/>
      </w:r>
      <w:r w:rsidRPr="00112300">
        <w:rPr>
          <w:rFonts w:ascii="Verdana" w:hAnsi="Verdana"/>
          <w:sz w:val="20"/>
          <w:szCs w:val="20"/>
        </w:rPr>
        <w:t>.</w:t>
      </w:r>
      <w:r w:rsidR="00E517F8">
        <w:rPr>
          <w:rFonts w:ascii="Verdana" w:hAnsi="Verdana"/>
          <w:sz w:val="20"/>
          <w:szCs w:val="20"/>
        </w:rPr>
        <w:t xml:space="preserve"> </w:t>
      </w:r>
    </w:p>
    <w:p w14:paraId="7D922632" w14:textId="77777777" w:rsidR="00424C78" w:rsidRPr="00112300" w:rsidRDefault="00424C78" w:rsidP="00424C78">
      <w:pPr>
        <w:ind w:left="708"/>
        <w:jc w:val="both"/>
        <w:rPr>
          <w:rFonts w:ascii="Verdana" w:hAnsi="Verdana"/>
          <w:sz w:val="20"/>
          <w:szCs w:val="20"/>
        </w:rPr>
      </w:pPr>
    </w:p>
    <w:p w14:paraId="6AD0531C" w14:textId="77777777" w:rsidR="00424C78" w:rsidRPr="00112300" w:rsidRDefault="00424C78" w:rsidP="00424C78">
      <w:pPr>
        <w:numPr>
          <w:ilvl w:val="0"/>
          <w:numId w:val="25"/>
        </w:numPr>
        <w:ind w:left="0" w:firstLine="0"/>
        <w:jc w:val="both"/>
        <w:rPr>
          <w:rFonts w:ascii="Verdana" w:hAnsi="Verdana"/>
          <w:sz w:val="20"/>
          <w:szCs w:val="20"/>
        </w:rPr>
      </w:pPr>
      <w:r w:rsidRPr="00112300">
        <w:rPr>
          <w:rFonts w:ascii="Verdana" w:hAnsi="Verdana"/>
          <w:sz w:val="20"/>
          <w:szCs w:val="20"/>
        </w:rPr>
        <w:t>En ese orden de ideas, frente a un incumplimiento manifiesto por parte de uno de los Estados de una decisión que ordena medidas provisionales, es deber de esta Corte someter dicho incumplimiento a la Asamblea General de la OEA, en virtud del artículo 65 de la Convención, así como es deber de esta última asegurar el oportuno cumplimiento de las decisiones mediante la adopción de medidas institucionales de carácter colectivo que sean eficaces, oportunas y expeditas para asegurar el efecto útil de la Convención Americana</w:t>
      </w:r>
      <w:r w:rsidRPr="00112300">
        <w:rPr>
          <w:rStyle w:val="Refdenotaalpie"/>
          <w:rFonts w:ascii="Verdana" w:hAnsi="Verdana"/>
          <w:sz w:val="20"/>
          <w:szCs w:val="20"/>
        </w:rPr>
        <w:footnoteReference w:id="43"/>
      </w:r>
      <w:r w:rsidRPr="00112300">
        <w:rPr>
          <w:rFonts w:ascii="Verdana" w:hAnsi="Verdana"/>
          <w:sz w:val="20"/>
          <w:szCs w:val="20"/>
        </w:rPr>
        <w:t xml:space="preserve">. </w:t>
      </w:r>
    </w:p>
    <w:p w14:paraId="55113841" w14:textId="77777777" w:rsidR="00424C78" w:rsidRPr="00112300" w:rsidRDefault="00424C78" w:rsidP="00424C78">
      <w:pPr>
        <w:pStyle w:val="Numberedparagraphs"/>
      </w:pPr>
    </w:p>
    <w:p w14:paraId="1BFE00B8" w14:textId="62E8F524" w:rsidR="00C95097" w:rsidRDefault="00424C78" w:rsidP="003906ED">
      <w:pPr>
        <w:numPr>
          <w:ilvl w:val="0"/>
          <w:numId w:val="25"/>
        </w:numPr>
        <w:ind w:left="0" w:firstLine="0"/>
        <w:jc w:val="both"/>
        <w:rPr>
          <w:rFonts w:ascii="Verdana" w:hAnsi="Verdana"/>
          <w:sz w:val="20"/>
          <w:szCs w:val="20"/>
        </w:rPr>
      </w:pPr>
      <w:r w:rsidRPr="00F22BED">
        <w:rPr>
          <w:rFonts w:ascii="Verdana" w:hAnsi="Verdana"/>
          <w:sz w:val="20"/>
          <w:szCs w:val="20"/>
        </w:rPr>
        <w:t xml:space="preserve">A la luz de lo expuesto, la Corte considera que la manifestación de no aceptación y rechazo del Estado a las Medidas Provisionales adoptadas por la Corte, así como el reiterado incumplimiento a las órdenes contenidas en las Resoluciones de </w:t>
      </w:r>
      <w:r w:rsidR="00C52C79" w:rsidRPr="00F22BED">
        <w:rPr>
          <w:rFonts w:ascii="Verdana" w:hAnsi="Verdana"/>
          <w:sz w:val="20"/>
          <w:szCs w:val="20"/>
        </w:rPr>
        <w:t>12</w:t>
      </w:r>
      <w:r w:rsidRPr="00F22BED">
        <w:rPr>
          <w:rFonts w:ascii="Verdana" w:hAnsi="Verdana"/>
          <w:sz w:val="20"/>
          <w:szCs w:val="20"/>
        </w:rPr>
        <w:t xml:space="preserve"> de </w:t>
      </w:r>
      <w:r w:rsidR="00C52C79" w:rsidRPr="00F22BED">
        <w:rPr>
          <w:rFonts w:ascii="Verdana" w:hAnsi="Verdana"/>
          <w:sz w:val="20"/>
          <w:szCs w:val="20"/>
        </w:rPr>
        <w:t>julio</w:t>
      </w:r>
      <w:r w:rsidR="00DA5896" w:rsidRPr="00F22BED">
        <w:rPr>
          <w:rFonts w:ascii="Verdana" w:hAnsi="Verdana"/>
          <w:sz w:val="20"/>
          <w:szCs w:val="20"/>
        </w:rPr>
        <w:t xml:space="preserve"> y 14</w:t>
      </w:r>
      <w:r w:rsidRPr="00F22BED">
        <w:rPr>
          <w:rFonts w:ascii="Verdana" w:hAnsi="Verdana"/>
          <w:sz w:val="20"/>
          <w:szCs w:val="20"/>
        </w:rPr>
        <w:t xml:space="preserve"> de </w:t>
      </w:r>
      <w:r w:rsidR="00DA5896" w:rsidRPr="00F22BED">
        <w:rPr>
          <w:rFonts w:ascii="Verdana" w:hAnsi="Verdana"/>
          <w:sz w:val="20"/>
          <w:szCs w:val="20"/>
        </w:rPr>
        <w:t xml:space="preserve">octubre de 2019, </w:t>
      </w:r>
      <w:r w:rsidRPr="00F22BED">
        <w:rPr>
          <w:rFonts w:ascii="Verdana" w:hAnsi="Verdana"/>
          <w:sz w:val="20"/>
          <w:szCs w:val="20"/>
        </w:rPr>
        <w:t xml:space="preserve">y </w:t>
      </w:r>
      <w:r w:rsidR="00172DBB" w:rsidRPr="00F22BED">
        <w:rPr>
          <w:rFonts w:ascii="Verdana" w:hAnsi="Verdana"/>
          <w:sz w:val="20"/>
          <w:szCs w:val="20"/>
        </w:rPr>
        <w:t>1</w:t>
      </w:r>
      <w:r w:rsidRPr="00F22BED">
        <w:rPr>
          <w:rFonts w:ascii="Verdana" w:hAnsi="Verdana"/>
          <w:sz w:val="20"/>
          <w:szCs w:val="20"/>
        </w:rPr>
        <w:t xml:space="preserve"> de </w:t>
      </w:r>
      <w:r w:rsidR="00172DBB" w:rsidRPr="00F22BED">
        <w:rPr>
          <w:rFonts w:ascii="Verdana" w:hAnsi="Verdana"/>
          <w:sz w:val="20"/>
          <w:szCs w:val="20"/>
        </w:rPr>
        <w:t>septiembre y 14 de octubre</w:t>
      </w:r>
      <w:r w:rsidRPr="00F22BED">
        <w:rPr>
          <w:rFonts w:ascii="Verdana" w:hAnsi="Verdana"/>
          <w:sz w:val="20"/>
          <w:szCs w:val="20"/>
        </w:rPr>
        <w:t xml:space="preserve"> de 202</w:t>
      </w:r>
      <w:r w:rsidR="005F7957" w:rsidRPr="00F22BED">
        <w:rPr>
          <w:rFonts w:ascii="Verdana" w:hAnsi="Verdana"/>
          <w:sz w:val="20"/>
          <w:szCs w:val="20"/>
        </w:rPr>
        <w:t>1</w:t>
      </w:r>
      <w:r w:rsidR="00F22BED" w:rsidRPr="00F22BED">
        <w:rPr>
          <w:rFonts w:ascii="Verdana" w:hAnsi="Verdana"/>
          <w:sz w:val="20"/>
          <w:szCs w:val="20"/>
        </w:rPr>
        <w:t xml:space="preserve"> </w:t>
      </w:r>
      <w:r w:rsidRPr="00F22BED">
        <w:rPr>
          <w:rFonts w:ascii="Verdana" w:hAnsi="Verdana"/>
          <w:sz w:val="20"/>
          <w:szCs w:val="20"/>
        </w:rPr>
        <w:t xml:space="preserve">y, en particular, </w:t>
      </w:r>
      <w:r w:rsidR="00A76721" w:rsidRPr="00F22BED">
        <w:rPr>
          <w:rFonts w:ascii="Verdana" w:hAnsi="Verdana"/>
          <w:sz w:val="20"/>
          <w:szCs w:val="20"/>
        </w:rPr>
        <w:t>los actos de persecución política liderados por las autoridades estatales</w:t>
      </w:r>
      <w:r w:rsidR="001C4997" w:rsidRPr="00F22BED">
        <w:rPr>
          <w:rFonts w:ascii="Verdana" w:hAnsi="Verdana"/>
          <w:sz w:val="20"/>
          <w:szCs w:val="20"/>
        </w:rPr>
        <w:t xml:space="preserve"> </w:t>
      </w:r>
      <w:r w:rsidR="001D64A4" w:rsidRPr="00F22BED">
        <w:rPr>
          <w:rFonts w:ascii="Verdana" w:hAnsi="Verdana"/>
          <w:sz w:val="20"/>
          <w:szCs w:val="20"/>
        </w:rPr>
        <w:t>consistentes en el</w:t>
      </w:r>
      <w:r w:rsidR="001C4997" w:rsidRPr="00F22BED">
        <w:rPr>
          <w:rFonts w:ascii="Verdana" w:hAnsi="Verdana"/>
          <w:sz w:val="20"/>
          <w:szCs w:val="20"/>
        </w:rPr>
        <w:t xml:space="preserve"> </w:t>
      </w:r>
      <w:r w:rsidR="007642AF" w:rsidRPr="00F22BED">
        <w:rPr>
          <w:rFonts w:ascii="Verdana" w:hAnsi="Verdana"/>
          <w:sz w:val="20"/>
          <w:szCs w:val="20"/>
        </w:rPr>
        <w:t xml:space="preserve">enjuiciamiento, </w:t>
      </w:r>
      <w:r w:rsidR="001C4997" w:rsidRPr="00F22BED">
        <w:rPr>
          <w:rFonts w:ascii="Verdana" w:hAnsi="Verdana"/>
          <w:sz w:val="20"/>
          <w:szCs w:val="20"/>
        </w:rPr>
        <w:t>hostigamiento</w:t>
      </w:r>
      <w:r w:rsidR="007642AF" w:rsidRPr="00F22BED">
        <w:rPr>
          <w:rFonts w:ascii="Verdana" w:hAnsi="Verdana"/>
          <w:sz w:val="20"/>
          <w:szCs w:val="20"/>
        </w:rPr>
        <w:t xml:space="preserve">, pérdida de nacionalidad </w:t>
      </w:r>
      <w:r w:rsidR="00635691" w:rsidRPr="00F22BED">
        <w:rPr>
          <w:rFonts w:ascii="Verdana" w:hAnsi="Verdana"/>
          <w:sz w:val="20"/>
          <w:szCs w:val="20"/>
        </w:rPr>
        <w:t>e</w:t>
      </w:r>
      <w:r w:rsidR="007642AF" w:rsidRPr="00F22BED">
        <w:rPr>
          <w:rFonts w:ascii="Verdana" w:hAnsi="Verdana"/>
          <w:sz w:val="20"/>
          <w:szCs w:val="20"/>
        </w:rPr>
        <w:t xml:space="preserve"> incautación de bienes</w:t>
      </w:r>
      <w:r w:rsidR="001C4997" w:rsidRPr="00F22BED">
        <w:rPr>
          <w:rFonts w:ascii="Verdana" w:hAnsi="Verdana"/>
          <w:sz w:val="20"/>
          <w:szCs w:val="20"/>
        </w:rPr>
        <w:t xml:space="preserve"> de los beneficiarios por su condición de personas defensoras de los derechos humanos</w:t>
      </w:r>
      <w:r w:rsidRPr="00F22BED">
        <w:rPr>
          <w:rFonts w:ascii="Verdana" w:hAnsi="Verdana"/>
          <w:sz w:val="20"/>
          <w:szCs w:val="20"/>
        </w:rPr>
        <w:t xml:space="preserve">, </w:t>
      </w:r>
      <w:r w:rsidR="001D64A4" w:rsidRPr="00F22BED">
        <w:rPr>
          <w:rFonts w:ascii="Verdana" w:hAnsi="Verdana"/>
          <w:sz w:val="20"/>
          <w:szCs w:val="20"/>
        </w:rPr>
        <w:t xml:space="preserve">genera un estado de </w:t>
      </w:r>
      <w:r w:rsidRPr="00F22BED">
        <w:rPr>
          <w:rFonts w:ascii="Verdana" w:hAnsi="Verdana"/>
          <w:sz w:val="20"/>
          <w:szCs w:val="20"/>
        </w:rPr>
        <w:t>desprotección absoluta e implica un desacato permanente que pone a las y los beneficiarios en un riesgo grave de padecer daños irreparables a sus derechos a la vida</w:t>
      </w:r>
      <w:r w:rsidR="00CF5F74" w:rsidRPr="00F22BED">
        <w:rPr>
          <w:rFonts w:ascii="Verdana" w:hAnsi="Verdana"/>
          <w:sz w:val="20"/>
          <w:szCs w:val="20"/>
        </w:rPr>
        <w:t xml:space="preserve"> e</w:t>
      </w:r>
      <w:r w:rsidRPr="00F22BED">
        <w:rPr>
          <w:rFonts w:ascii="Verdana" w:hAnsi="Verdana"/>
          <w:sz w:val="20"/>
          <w:szCs w:val="20"/>
        </w:rPr>
        <w:t xml:space="preserve"> integridad, así como un grave incumplimiento de lo dispuesto en el artículo 63.2 de la Convención Americana, cuyo propósito fundamental es la protección y preservación eficaz de la vida, </w:t>
      </w:r>
      <w:r w:rsidRPr="00F22BED">
        <w:rPr>
          <w:rFonts w:ascii="Verdana" w:hAnsi="Verdana"/>
          <w:sz w:val="20"/>
          <w:szCs w:val="20"/>
        </w:rPr>
        <w:lastRenderedPageBreak/>
        <w:t>libertad e integridad personal de los beneficiarios, e implica también el desacato a lo ordenado por este Tribunal</w:t>
      </w:r>
      <w:r w:rsidR="00E961D2">
        <w:rPr>
          <w:rStyle w:val="Refdenotaalpie"/>
          <w:rFonts w:ascii="Verdana" w:hAnsi="Verdana"/>
          <w:sz w:val="20"/>
          <w:szCs w:val="20"/>
        </w:rPr>
        <w:footnoteReference w:id="44"/>
      </w:r>
      <w:r w:rsidRPr="00F22BED">
        <w:rPr>
          <w:rFonts w:ascii="Verdana" w:hAnsi="Verdana"/>
          <w:sz w:val="20"/>
          <w:szCs w:val="20"/>
        </w:rPr>
        <w:t xml:space="preserve">. </w:t>
      </w:r>
    </w:p>
    <w:p w14:paraId="78919218" w14:textId="77777777" w:rsidR="00F22BED" w:rsidRDefault="00F22BED" w:rsidP="00F22BED">
      <w:pPr>
        <w:pStyle w:val="Prrafodelista"/>
        <w:rPr>
          <w:rFonts w:ascii="Verdana" w:hAnsi="Verdana"/>
          <w:sz w:val="20"/>
          <w:szCs w:val="20"/>
        </w:rPr>
      </w:pPr>
    </w:p>
    <w:p w14:paraId="04EB9F86" w14:textId="0BC90159" w:rsidR="00424C78" w:rsidRPr="00F22BED" w:rsidRDefault="00424C78" w:rsidP="00F22BED">
      <w:pPr>
        <w:numPr>
          <w:ilvl w:val="0"/>
          <w:numId w:val="25"/>
        </w:numPr>
        <w:ind w:left="0" w:firstLine="0"/>
        <w:jc w:val="both"/>
        <w:rPr>
          <w:rFonts w:ascii="Verdana" w:hAnsi="Verdana"/>
          <w:sz w:val="20"/>
          <w:szCs w:val="20"/>
        </w:rPr>
      </w:pPr>
      <w:r w:rsidRPr="00F22BED">
        <w:rPr>
          <w:rFonts w:ascii="Verdana" w:hAnsi="Verdana"/>
          <w:sz w:val="20"/>
          <w:szCs w:val="20"/>
        </w:rPr>
        <w:t xml:space="preserve">Por </w:t>
      </w:r>
      <w:r w:rsidR="00DF230F" w:rsidRPr="00F22BED">
        <w:rPr>
          <w:rFonts w:ascii="Verdana" w:hAnsi="Verdana"/>
          <w:sz w:val="20"/>
          <w:szCs w:val="20"/>
        </w:rPr>
        <w:t>último</w:t>
      </w:r>
      <w:r w:rsidRPr="00F22BED">
        <w:rPr>
          <w:rFonts w:ascii="Verdana" w:hAnsi="Verdana"/>
          <w:sz w:val="20"/>
          <w:szCs w:val="20"/>
        </w:rPr>
        <w:t xml:space="preserve">, en atención a lo dispuesto en el artículo 65 de la Convención Americana sobre Derechos Humanos, la Corte someterá a consideración de la Asamblea General de la Organización de </w:t>
      </w:r>
      <w:r w:rsidR="00157B8A" w:rsidRPr="00F22BED">
        <w:rPr>
          <w:rFonts w:ascii="Verdana" w:hAnsi="Verdana"/>
          <w:sz w:val="20"/>
          <w:szCs w:val="20"/>
        </w:rPr>
        <w:t xml:space="preserve">los </w:t>
      </w:r>
      <w:r w:rsidRPr="00F22BED">
        <w:rPr>
          <w:rFonts w:ascii="Verdana" w:hAnsi="Verdana"/>
          <w:sz w:val="20"/>
          <w:szCs w:val="20"/>
        </w:rPr>
        <w:t xml:space="preserve">Estados Americanos el desacato en el que continúa incurriendo Nicaragua, considerando que esta prolongación del incumplimiento del Estado pone en una situación cada vez más vulnerable a este grupo de personas. </w:t>
      </w:r>
      <w:r w:rsidR="00F22BED" w:rsidRPr="00F22BED">
        <w:rPr>
          <w:rFonts w:ascii="Verdana" w:hAnsi="Verdana"/>
          <w:sz w:val="20"/>
          <w:szCs w:val="20"/>
        </w:rPr>
        <w:t xml:space="preserve">En este sentido, la propia Convención prevé en </w:t>
      </w:r>
      <w:r w:rsidR="00F22BED">
        <w:rPr>
          <w:rFonts w:ascii="Verdana" w:hAnsi="Verdana"/>
          <w:sz w:val="20"/>
          <w:szCs w:val="20"/>
        </w:rPr>
        <w:t>el mencionado</w:t>
      </w:r>
      <w:r w:rsidR="00F22BED" w:rsidRPr="00F22BED">
        <w:rPr>
          <w:rFonts w:ascii="Verdana" w:hAnsi="Verdana"/>
          <w:sz w:val="20"/>
          <w:szCs w:val="20"/>
        </w:rPr>
        <w:t xml:space="preserve"> artículo 65 un sistema de garantía colectiva para asegurar el cumplimiento de las decisiones, que se traduce en una obligación general de protección que tienen tanto los Estados Partes de la Convención como los Estados Miembros de la OEA entre sí, para asegurar la efectividad de dicho instrumento</w:t>
      </w:r>
      <w:r w:rsidR="00F22BED">
        <w:rPr>
          <w:rStyle w:val="Refdenotaalpie"/>
          <w:rFonts w:ascii="Verdana" w:hAnsi="Verdana"/>
          <w:sz w:val="20"/>
          <w:szCs w:val="20"/>
        </w:rPr>
        <w:footnoteReference w:id="45"/>
      </w:r>
    </w:p>
    <w:p w14:paraId="2F2431EB" w14:textId="77777777" w:rsidR="00754B5C" w:rsidRPr="00112300" w:rsidRDefault="00754B5C" w:rsidP="00754B5C">
      <w:pPr>
        <w:pStyle w:val="Prrafodelista"/>
        <w:rPr>
          <w:rFonts w:ascii="Verdana" w:hAnsi="Verdana"/>
          <w:sz w:val="20"/>
          <w:szCs w:val="20"/>
        </w:rPr>
      </w:pPr>
    </w:p>
    <w:p w14:paraId="77D3F885" w14:textId="118C03D7" w:rsidR="00013F89" w:rsidRPr="00112300" w:rsidRDefault="00013F89" w:rsidP="00013F89">
      <w:pPr>
        <w:jc w:val="center"/>
        <w:rPr>
          <w:rFonts w:ascii="Verdana" w:hAnsi="Verdana"/>
          <w:b/>
          <w:color w:val="FF0000"/>
          <w:sz w:val="20"/>
          <w:szCs w:val="20"/>
        </w:rPr>
      </w:pPr>
    </w:p>
    <w:p w14:paraId="688C33EC" w14:textId="77777777" w:rsidR="00492F23" w:rsidRPr="00112300" w:rsidRDefault="00492F23" w:rsidP="003E1931">
      <w:pPr>
        <w:ind w:right="22"/>
        <w:jc w:val="both"/>
        <w:rPr>
          <w:rFonts w:ascii="Verdana" w:hAnsi="Verdana"/>
          <w:b/>
          <w:sz w:val="20"/>
          <w:szCs w:val="20"/>
        </w:rPr>
      </w:pPr>
      <w:r w:rsidRPr="00112300">
        <w:rPr>
          <w:rFonts w:ascii="Verdana" w:hAnsi="Verdana"/>
          <w:b/>
          <w:sz w:val="20"/>
          <w:szCs w:val="20"/>
        </w:rPr>
        <w:t>POR TANTO:</w:t>
      </w:r>
    </w:p>
    <w:p w14:paraId="676EA718" w14:textId="77777777" w:rsidR="00914C50" w:rsidRPr="00112300" w:rsidRDefault="00914C50" w:rsidP="003E1931">
      <w:pPr>
        <w:ind w:right="22"/>
        <w:jc w:val="both"/>
        <w:rPr>
          <w:rFonts w:ascii="Verdana" w:hAnsi="Verdana"/>
          <w:b/>
          <w:sz w:val="20"/>
          <w:szCs w:val="20"/>
        </w:rPr>
      </w:pPr>
    </w:p>
    <w:p w14:paraId="65B0E529" w14:textId="77777777" w:rsidR="00492F23" w:rsidRPr="00112300" w:rsidRDefault="00492F23" w:rsidP="003E1931">
      <w:pPr>
        <w:ind w:right="22"/>
        <w:jc w:val="both"/>
        <w:rPr>
          <w:rFonts w:ascii="Verdana" w:hAnsi="Verdana"/>
          <w:b/>
          <w:sz w:val="20"/>
          <w:szCs w:val="20"/>
        </w:rPr>
      </w:pPr>
      <w:r w:rsidRPr="00112300">
        <w:rPr>
          <w:rFonts w:ascii="Verdana" w:hAnsi="Verdana"/>
          <w:b/>
          <w:sz w:val="20"/>
          <w:szCs w:val="20"/>
        </w:rPr>
        <w:t>LA CORTE INTERAMERICANA DE DERECHOS HUMANOS,</w:t>
      </w:r>
    </w:p>
    <w:p w14:paraId="4E543C79" w14:textId="77777777" w:rsidR="00492F23" w:rsidRPr="00112300" w:rsidRDefault="00492F23" w:rsidP="003E1931">
      <w:pPr>
        <w:ind w:right="22"/>
        <w:jc w:val="both"/>
        <w:rPr>
          <w:rFonts w:ascii="Verdana" w:hAnsi="Verdana"/>
          <w:sz w:val="20"/>
          <w:szCs w:val="20"/>
        </w:rPr>
      </w:pPr>
    </w:p>
    <w:p w14:paraId="013224E6" w14:textId="72D99B56" w:rsidR="00492F23" w:rsidRPr="00112300" w:rsidRDefault="00492F23" w:rsidP="003E1931">
      <w:pPr>
        <w:ind w:right="22"/>
        <w:jc w:val="both"/>
        <w:rPr>
          <w:rFonts w:ascii="Verdana" w:hAnsi="Verdana"/>
          <w:sz w:val="20"/>
          <w:szCs w:val="20"/>
        </w:rPr>
      </w:pPr>
      <w:r w:rsidRPr="00112300">
        <w:rPr>
          <w:rFonts w:ascii="Verdana" w:hAnsi="Verdana"/>
          <w:sz w:val="20"/>
          <w:szCs w:val="20"/>
        </w:rPr>
        <w:t>en uso de las atribuciones que le confieren el artículo 63.2</w:t>
      </w:r>
      <w:r w:rsidR="00812796" w:rsidRPr="00112300">
        <w:rPr>
          <w:rFonts w:ascii="Verdana" w:hAnsi="Verdana"/>
          <w:sz w:val="20"/>
          <w:szCs w:val="20"/>
        </w:rPr>
        <w:t xml:space="preserve"> de la Convención Americana, </w:t>
      </w:r>
      <w:r w:rsidRPr="00112300">
        <w:rPr>
          <w:rFonts w:ascii="Verdana" w:hAnsi="Verdana"/>
          <w:sz w:val="20"/>
          <w:szCs w:val="20"/>
        </w:rPr>
        <w:t>y los artículos</w:t>
      </w:r>
      <w:r w:rsidR="006527FD" w:rsidRPr="00112300">
        <w:rPr>
          <w:rFonts w:ascii="Verdana" w:hAnsi="Verdana"/>
          <w:sz w:val="20"/>
          <w:szCs w:val="20"/>
        </w:rPr>
        <w:t xml:space="preserve"> 27, 31 </w:t>
      </w:r>
      <w:r w:rsidRPr="00112300">
        <w:rPr>
          <w:rFonts w:ascii="Verdana" w:hAnsi="Verdana"/>
          <w:sz w:val="20"/>
          <w:szCs w:val="20"/>
        </w:rPr>
        <w:t xml:space="preserve">y </w:t>
      </w:r>
      <w:r w:rsidR="00812796" w:rsidRPr="00112300">
        <w:rPr>
          <w:rFonts w:ascii="Verdana" w:hAnsi="Verdana"/>
          <w:sz w:val="20"/>
          <w:szCs w:val="20"/>
        </w:rPr>
        <w:t>69</w:t>
      </w:r>
      <w:r w:rsidRPr="00112300">
        <w:rPr>
          <w:rFonts w:ascii="Verdana" w:hAnsi="Verdana"/>
          <w:sz w:val="20"/>
          <w:szCs w:val="20"/>
        </w:rPr>
        <w:t xml:space="preserve"> del Reglamento de la Corte,</w:t>
      </w:r>
    </w:p>
    <w:p w14:paraId="202E8562" w14:textId="77777777" w:rsidR="00521DB4" w:rsidRPr="00112300" w:rsidRDefault="00521DB4" w:rsidP="003E1931">
      <w:pPr>
        <w:ind w:right="22"/>
        <w:jc w:val="both"/>
        <w:rPr>
          <w:rFonts w:ascii="Verdana" w:hAnsi="Verdana"/>
          <w:sz w:val="20"/>
          <w:szCs w:val="20"/>
        </w:rPr>
      </w:pPr>
    </w:p>
    <w:p w14:paraId="33F168E2" w14:textId="77777777" w:rsidR="00521DB4" w:rsidRPr="00112300" w:rsidRDefault="00521DB4" w:rsidP="00521DB4">
      <w:pPr>
        <w:ind w:right="22"/>
        <w:jc w:val="both"/>
        <w:rPr>
          <w:rFonts w:ascii="Verdana" w:hAnsi="Verdana"/>
          <w:b/>
          <w:sz w:val="20"/>
          <w:szCs w:val="20"/>
          <w:lang w:val="es-CO"/>
        </w:rPr>
      </w:pPr>
      <w:r w:rsidRPr="00112300">
        <w:rPr>
          <w:rFonts w:ascii="Verdana" w:hAnsi="Verdana"/>
          <w:b/>
          <w:sz w:val="20"/>
          <w:szCs w:val="20"/>
          <w:lang w:val="es-CO"/>
        </w:rPr>
        <w:t>DECLARA:</w:t>
      </w:r>
    </w:p>
    <w:p w14:paraId="4F5172FA" w14:textId="77777777" w:rsidR="00521DB4" w:rsidRPr="00112300" w:rsidRDefault="00521DB4" w:rsidP="00521DB4">
      <w:pPr>
        <w:ind w:right="22"/>
        <w:jc w:val="both"/>
        <w:rPr>
          <w:rFonts w:ascii="Verdana" w:hAnsi="Verdana"/>
          <w:b/>
          <w:sz w:val="20"/>
          <w:szCs w:val="20"/>
          <w:lang w:val="es-CO"/>
        </w:rPr>
      </w:pPr>
    </w:p>
    <w:p w14:paraId="02B4C89A" w14:textId="44AC7429" w:rsidR="00521DB4" w:rsidRDefault="00521DB4" w:rsidP="00521DB4">
      <w:pPr>
        <w:pStyle w:val="Prrafodelista"/>
        <w:numPr>
          <w:ilvl w:val="0"/>
          <w:numId w:val="26"/>
        </w:numPr>
        <w:ind w:left="0" w:right="22" w:firstLine="0"/>
        <w:jc w:val="both"/>
        <w:rPr>
          <w:rFonts w:ascii="Verdana" w:hAnsi="Verdana"/>
          <w:bCs/>
          <w:sz w:val="20"/>
          <w:szCs w:val="20"/>
          <w:lang w:val="es-CO"/>
        </w:rPr>
      </w:pPr>
      <w:r w:rsidRPr="00112300">
        <w:rPr>
          <w:rFonts w:ascii="Verdana" w:hAnsi="Verdana"/>
          <w:bCs/>
          <w:sz w:val="20"/>
          <w:szCs w:val="20"/>
          <w:lang w:val="es-CO"/>
        </w:rPr>
        <w:t xml:space="preserve">Que la posición asumida por Nicaragua y la efectiva inobservancia de lo ordenado en las </w:t>
      </w:r>
      <w:r w:rsidR="00217638" w:rsidRPr="00112300">
        <w:rPr>
          <w:rFonts w:ascii="Verdana" w:hAnsi="Verdana"/>
          <w:sz w:val="20"/>
          <w:szCs w:val="20"/>
        </w:rPr>
        <w:t>Resoluciones de 12 de julio y 14 de octubre de 2019, y 1 de septiembre y 14 de octubre de 202</w:t>
      </w:r>
      <w:r w:rsidR="00A03BBB">
        <w:rPr>
          <w:rFonts w:ascii="Verdana" w:hAnsi="Verdana"/>
          <w:sz w:val="20"/>
          <w:szCs w:val="20"/>
        </w:rPr>
        <w:t>1</w:t>
      </w:r>
      <w:r w:rsidRPr="00112300">
        <w:rPr>
          <w:rFonts w:ascii="Verdana" w:hAnsi="Verdana"/>
          <w:bCs/>
          <w:sz w:val="20"/>
          <w:szCs w:val="20"/>
          <w:lang w:val="es-CO"/>
        </w:rPr>
        <w:t xml:space="preserve">, constituye un acto de desacato permanente a la obligatoriedad de las decisiones dictadas por este Tribunal, contrario al principio internacional de acatar sus obligaciones convencionales de </w:t>
      </w:r>
      <w:r w:rsidRPr="00112300">
        <w:rPr>
          <w:rFonts w:ascii="Verdana" w:eastAsia="Times" w:hAnsi="Verdana"/>
          <w:bCs/>
          <w:sz w:val="20"/>
          <w:szCs w:val="20"/>
          <w:lang w:eastAsia="es-ES"/>
        </w:rPr>
        <w:t>buena</w:t>
      </w:r>
      <w:r w:rsidRPr="00112300">
        <w:rPr>
          <w:rFonts w:ascii="Verdana" w:hAnsi="Verdana"/>
          <w:bCs/>
          <w:sz w:val="20"/>
          <w:szCs w:val="20"/>
          <w:lang w:val="es-CO"/>
        </w:rPr>
        <w:t xml:space="preserve"> fe y un incumplimiento al deber de informar al Tribunal, en los términos expuestos en los </w:t>
      </w:r>
      <w:r w:rsidRPr="00064D82">
        <w:rPr>
          <w:rFonts w:ascii="Verdana" w:hAnsi="Verdana"/>
          <w:bCs/>
          <w:sz w:val="20"/>
          <w:szCs w:val="20"/>
          <w:lang w:val="es-CO"/>
        </w:rPr>
        <w:t xml:space="preserve">Considerandos </w:t>
      </w:r>
      <w:r w:rsidR="00A15CC9">
        <w:rPr>
          <w:rFonts w:ascii="Verdana" w:hAnsi="Verdana"/>
          <w:bCs/>
          <w:sz w:val="20"/>
          <w:szCs w:val="20"/>
          <w:lang w:val="es-CO"/>
        </w:rPr>
        <w:t>26 a 31</w:t>
      </w:r>
      <w:r w:rsidRPr="00112300">
        <w:rPr>
          <w:rFonts w:ascii="Verdana" w:hAnsi="Verdana"/>
          <w:bCs/>
          <w:sz w:val="20"/>
          <w:szCs w:val="20"/>
          <w:lang w:val="es-CO"/>
        </w:rPr>
        <w:t xml:space="preserve"> de la presente Resolución, lo que pone en una situación de desprotección absoluta e incrementa la situación de riesgo en que se encuentran </w:t>
      </w:r>
      <w:r w:rsidR="00914C50" w:rsidRPr="00112300">
        <w:rPr>
          <w:rFonts w:ascii="Verdana" w:hAnsi="Verdana"/>
          <w:bCs/>
          <w:sz w:val="20"/>
          <w:szCs w:val="20"/>
          <w:lang w:val="es-CO"/>
        </w:rPr>
        <w:t>las personas</w:t>
      </w:r>
      <w:r w:rsidRPr="00112300">
        <w:rPr>
          <w:rFonts w:ascii="Verdana" w:hAnsi="Verdana"/>
          <w:bCs/>
          <w:sz w:val="20"/>
          <w:szCs w:val="20"/>
          <w:lang w:val="es-CO"/>
        </w:rPr>
        <w:t xml:space="preserve"> beneficiari</w:t>
      </w:r>
      <w:r w:rsidR="00914C50" w:rsidRPr="00112300">
        <w:rPr>
          <w:rFonts w:ascii="Verdana" w:hAnsi="Verdana"/>
          <w:bCs/>
          <w:sz w:val="20"/>
          <w:szCs w:val="20"/>
          <w:lang w:val="es-CO"/>
        </w:rPr>
        <w:t>a</w:t>
      </w:r>
      <w:r w:rsidRPr="00112300">
        <w:rPr>
          <w:rFonts w:ascii="Verdana" w:hAnsi="Verdana"/>
          <w:bCs/>
          <w:sz w:val="20"/>
          <w:szCs w:val="20"/>
          <w:lang w:val="es-CO"/>
        </w:rPr>
        <w:t xml:space="preserve">s. </w:t>
      </w:r>
    </w:p>
    <w:p w14:paraId="1EDEC76D" w14:textId="77777777" w:rsidR="000241FB" w:rsidRDefault="000241FB" w:rsidP="000241FB">
      <w:pPr>
        <w:ind w:right="22"/>
        <w:jc w:val="both"/>
        <w:rPr>
          <w:rFonts w:ascii="Verdana" w:hAnsi="Verdana"/>
          <w:bCs/>
          <w:sz w:val="20"/>
          <w:szCs w:val="20"/>
          <w:lang w:val="es-CO"/>
        </w:rPr>
      </w:pPr>
    </w:p>
    <w:p w14:paraId="7BBE4CBD" w14:textId="77777777" w:rsidR="00492F23" w:rsidRPr="00112300" w:rsidRDefault="00492F23" w:rsidP="003E1931">
      <w:pPr>
        <w:ind w:right="22"/>
        <w:jc w:val="both"/>
        <w:rPr>
          <w:rFonts w:ascii="Verdana" w:hAnsi="Verdana"/>
          <w:sz w:val="20"/>
          <w:szCs w:val="20"/>
        </w:rPr>
      </w:pPr>
    </w:p>
    <w:p w14:paraId="760AAFC2" w14:textId="77777777" w:rsidR="00492F23" w:rsidRPr="00112300" w:rsidRDefault="00492F23" w:rsidP="003E1931">
      <w:pPr>
        <w:ind w:right="22"/>
        <w:jc w:val="both"/>
        <w:rPr>
          <w:rFonts w:ascii="Verdana" w:hAnsi="Verdana"/>
          <w:b/>
          <w:sz w:val="20"/>
          <w:szCs w:val="20"/>
        </w:rPr>
      </w:pPr>
      <w:r w:rsidRPr="00112300">
        <w:rPr>
          <w:rFonts w:ascii="Verdana" w:hAnsi="Verdana"/>
          <w:b/>
          <w:sz w:val="20"/>
          <w:szCs w:val="20"/>
        </w:rPr>
        <w:t>RESUELVE:</w:t>
      </w:r>
    </w:p>
    <w:p w14:paraId="3250A914" w14:textId="77777777" w:rsidR="00E349FC" w:rsidRPr="00112300" w:rsidRDefault="00E349FC" w:rsidP="00E349FC">
      <w:pPr>
        <w:pStyle w:val="Prrafodelista"/>
        <w:ind w:left="0" w:right="22"/>
        <w:jc w:val="both"/>
        <w:rPr>
          <w:rFonts w:ascii="Verdana" w:eastAsia="Times" w:hAnsi="Verdana"/>
          <w:sz w:val="20"/>
          <w:szCs w:val="20"/>
          <w:lang w:eastAsia="es-ES"/>
        </w:rPr>
      </w:pPr>
    </w:p>
    <w:p w14:paraId="63120AE5" w14:textId="071F808D" w:rsidR="00913CED" w:rsidRDefault="00913CED" w:rsidP="00913CED">
      <w:pPr>
        <w:pStyle w:val="Prrafodelista"/>
        <w:numPr>
          <w:ilvl w:val="0"/>
          <w:numId w:val="38"/>
        </w:numPr>
        <w:ind w:left="0" w:right="22" w:firstLine="0"/>
        <w:jc w:val="both"/>
        <w:rPr>
          <w:rFonts w:ascii="Verdana" w:eastAsia="Verdana" w:hAnsi="Verdana"/>
          <w:sz w:val="20"/>
          <w:szCs w:val="20"/>
        </w:rPr>
      </w:pPr>
      <w:r w:rsidRPr="00112300">
        <w:rPr>
          <w:rFonts w:ascii="Verdana" w:eastAsia="Verdana" w:hAnsi="Verdana"/>
          <w:sz w:val="20"/>
          <w:szCs w:val="20"/>
        </w:rPr>
        <w:t xml:space="preserve">Requerir al Estado </w:t>
      </w:r>
      <w:r w:rsidR="005E3B66">
        <w:rPr>
          <w:rFonts w:ascii="Verdana" w:hAnsi="Verdana"/>
          <w:sz w:val="20"/>
          <w:szCs w:val="20"/>
        </w:rPr>
        <w:t>que</w:t>
      </w:r>
      <w:r w:rsidR="005E3B66" w:rsidRPr="00261AA0">
        <w:rPr>
          <w:rFonts w:ascii="Verdana" w:hAnsi="Verdana"/>
          <w:sz w:val="20"/>
          <w:szCs w:val="20"/>
        </w:rPr>
        <w:t xml:space="preserve"> </w:t>
      </w:r>
      <w:r w:rsidR="005E3B66">
        <w:rPr>
          <w:rFonts w:ascii="Verdana" w:hAnsi="Verdana"/>
          <w:sz w:val="20"/>
          <w:szCs w:val="20"/>
        </w:rPr>
        <w:t xml:space="preserve">deje sin efecto los procesos penales </w:t>
      </w:r>
      <w:r w:rsidR="00930E21">
        <w:rPr>
          <w:rFonts w:ascii="Verdana" w:hAnsi="Verdana"/>
          <w:sz w:val="20"/>
          <w:szCs w:val="20"/>
        </w:rPr>
        <w:t xml:space="preserve">referidos en la presente Resolución </w:t>
      </w:r>
      <w:r w:rsidR="005E3B66">
        <w:rPr>
          <w:rFonts w:ascii="Verdana" w:hAnsi="Verdana"/>
          <w:sz w:val="20"/>
          <w:szCs w:val="20"/>
        </w:rPr>
        <w:t xml:space="preserve">seguidos en contra </w:t>
      </w:r>
      <w:r w:rsidR="004806B4">
        <w:rPr>
          <w:rFonts w:ascii="Verdana" w:hAnsi="Verdana"/>
          <w:sz w:val="20"/>
          <w:szCs w:val="20"/>
        </w:rPr>
        <w:t xml:space="preserve">de </w:t>
      </w:r>
      <w:r w:rsidR="005E3B66" w:rsidRPr="00261AA0">
        <w:rPr>
          <w:rFonts w:ascii="Verdana" w:hAnsi="Verdana"/>
          <w:sz w:val="20"/>
          <w:szCs w:val="20"/>
        </w:rPr>
        <w:t>los beneficiarios Vilma Núñez de Escorcia y Guillermo Gonzalo Carrión Maradiaga</w:t>
      </w:r>
      <w:r w:rsidR="005E3B66">
        <w:rPr>
          <w:rFonts w:ascii="Verdana" w:hAnsi="Verdana"/>
          <w:sz w:val="20"/>
          <w:szCs w:val="20"/>
        </w:rPr>
        <w:t xml:space="preserve"> y, en consecuencia, </w:t>
      </w:r>
      <w:r w:rsidR="005E3B66" w:rsidRPr="00261AA0">
        <w:rPr>
          <w:rFonts w:ascii="Verdana" w:hAnsi="Verdana"/>
          <w:sz w:val="20"/>
          <w:szCs w:val="20"/>
        </w:rPr>
        <w:t xml:space="preserve">se abstenga de </w:t>
      </w:r>
      <w:r w:rsidR="005E3B66">
        <w:rPr>
          <w:rFonts w:ascii="Verdana" w:hAnsi="Verdana"/>
          <w:sz w:val="20"/>
          <w:szCs w:val="20"/>
        </w:rPr>
        <w:t>proceder a</w:t>
      </w:r>
      <w:r w:rsidR="005E3B66" w:rsidRPr="00261AA0">
        <w:rPr>
          <w:rFonts w:ascii="Verdana" w:hAnsi="Verdana"/>
          <w:sz w:val="20"/>
          <w:szCs w:val="20"/>
        </w:rPr>
        <w:t xml:space="preserve"> la detención o </w:t>
      </w:r>
      <w:r w:rsidR="005E3B66">
        <w:rPr>
          <w:rFonts w:ascii="Verdana" w:hAnsi="Verdana"/>
          <w:sz w:val="20"/>
          <w:szCs w:val="20"/>
        </w:rPr>
        <w:t xml:space="preserve">de adoptar </w:t>
      </w:r>
      <w:r w:rsidR="005E3B66" w:rsidRPr="00261AA0">
        <w:rPr>
          <w:rFonts w:ascii="Verdana" w:hAnsi="Verdana"/>
          <w:sz w:val="20"/>
          <w:szCs w:val="20"/>
        </w:rPr>
        <w:t>cualquier otra medida restrictiva de la libertad</w:t>
      </w:r>
      <w:r w:rsidR="005E3B66">
        <w:rPr>
          <w:rFonts w:ascii="Verdana" w:hAnsi="Verdana"/>
          <w:sz w:val="20"/>
          <w:szCs w:val="20"/>
        </w:rPr>
        <w:t xml:space="preserve"> de dichas personas</w:t>
      </w:r>
      <w:r w:rsidR="005E3B66" w:rsidRPr="00261AA0">
        <w:rPr>
          <w:rFonts w:ascii="Verdana" w:hAnsi="Verdana"/>
          <w:sz w:val="20"/>
          <w:szCs w:val="20"/>
        </w:rPr>
        <w:t>, así como de ejecutar cualquier acción tendiente a obstaculizar su labor en la defensa de los derechos humanos.</w:t>
      </w:r>
    </w:p>
    <w:p w14:paraId="40A0207B" w14:textId="77777777" w:rsidR="00913CED" w:rsidRDefault="00913CED" w:rsidP="00913CED">
      <w:pPr>
        <w:pStyle w:val="Prrafodelista"/>
        <w:ind w:left="0" w:right="22"/>
        <w:jc w:val="both"/>
        <w:rPr>
          <w:rFonts w:ascii="Verdana" w:eastAsia="Verdana" w:hAnsi="Verdana"/>
          <w:sz w:val="20"/>
          <w:szCs w:val="20"/>
        </w:rPr>
      </w:pPr>
    </w:p>
    <w:p w14:paraId="22E4CD23" w14:textId="05A6F2E3" w:rsidR="00E349FC" w:rsidRPr="00112300" w:rsidRDefault="00E349FC" w:rsidP="008F226A">
      <w:pPr>
        <w:pStyle w:val="Prrafodelista"/>
        <w:numPr>
          <w:ilvl w:val="0"/>
          <w:numId w:val="38"/>
        </w:numPr>
        <w:ind w:left="0" w:right="22" w:firstLine="0"/>
        <w:jc w:val="both"/>
        <w:rPr>
          <w:rFonts w:ascii="Verdana" w:eastAsia="Times" w:hAnsi="Verdana"/>
          <w:sz w:val="20"/>
          <w:szCs w:val="20"/>
          <w:lang w:eastAsia="es-ES"/>
        </w:rPr>
      </w:pPr>
      <w:r w:rsidRPr="00112300">
        <w:rPr>
          <w:rFonts w:ascii="Verdana" w:eastAsia="Verdana" w:hAnsi="Verdana"/>
          <w:sz w:val="20"/>
          <w:szCs w:val="20"/>
        </w:rPr>
        <w:lastRenderedPageBreak/>
        <w:t xml:space="preserve">Expresar su denuncia del incumplimiento estatal </w:t>
      </w:r>
      <w:r w:rsidRPr="00112300">
        <w:rPr>
          <w:rFonts w:ascii="Verdana" w:eastAsia="Verdana" w:hAnsi="Verdana"/>
          <w:sz w:val="20"/>
          <w:szCs w:val="20"/>
          <w:lang w:val="es-CO"/>
        </w:rPr>
        <w:t xml:space="preserve">de lo ordenado en las </w:t>
      </w:r>
      <w:r w:rsidR="00DB4B42" w:rsidRPr="00112300">
        <w:rPr>
          <w:rFonts w:ascii="Verdana" w:hAnsi="Verdana"/>
          <w:sz w:val="20"/>
          <w:szCs w:val="20"/>
        </w:rPr>
        <w:t>Resoluciones de 12 de julio y 14 de octubre de 2019, y 1 de septiembre y 14 de octubre de 202</w:t>
      </w:r>
      <w:r w:rsidR="00A15CC9">
        <w:rPr>
          <w:rFonts w:ascii="Verdana" w:hAnsi="Verdana"/>
          <w:sz w:val="20"/>
          <w:szCs w:val="20"/>
        </w:rPr>
        <w:t>1</w:t>
      </w:r>
      <w:r w:rsidRPr="00112300">
        <w:rPr>
          <w:rFonts w:ascii="Verdana" w:eastAsia="Verdana" w:hAnsi="Verdana"/>
          <w:sz w:val="20"/>
          <w:szCs w:val="20"/>
          <w:lang w:val="es-CO"/>
        </w:rPr>
        <w:t xml:space="preserve"> emitidas por este Tribunal. </w:t>
      </w:r>
    </w:p>
    <w:p w14:paraId="1DF71BFA" w14:textId="77777777" w:rsidR="00712244" w:rsidRPr="00112300" w:rsidRDefault="00712244" w:rsidP="00712244">
      <w:pPr>
        <w:pStyle w:val="Prrafodelista"/>
        <w:ind w:left="0" w:right="22"/>
        <w:jc w:val="both"/>
        <w:rPr>
          <w:rFonts w:ascii="Verdana" w:eastAsia="Times" w:hAnsi="Verdana"/>
          <w:sz w:val="20"/>
          <w:szCs w:val="20"/>
          <w:lang w:eastAsia="es-ES"/>
        </w:rPr>
      </w:pPr>
    </w:p>
    <w:p w14:paraId="516015EC" w14:textId="6283A6E9" w:rsidR="00712244" w:rsidRPr="00112300" w:rsidRDefault="00712244" w:rsidP="00DB4B42">
      <w:pPr>
        <w:pStyle w:val="Prrafodelista"/>
        <w:numPr>
          <w:ilvl w:val="0"/>
          <w:numId w:val="38"/>
        </w:numPr>
        <w:ind w:left="0" w:right="22" w:firstLine="0"/>
        <w:jc w:val="both"/>
        <w:rPr>
          <w:rFonts w:ascii="Verdana" w:eastAsia="Verdana" w:hAnsi="Verdana"/>
          <w:sz w:val="20"/>
          <w:szCs w:val="20"/>
        </w:rPr>
      </w:pPr>
      <w:r w:rsidRPr="00112300">
        <w:rPr>
          <w:rFonts w:ascii="Verdana" w:eastAsia="Verdana" w:hAnsi="Verdana"/>
          <w:sz w:val="20"/>
          <w:szCs w:val="20"/>
        </w:rPr>
        <w:t xml:space="preserve">Incorporar en el próximo Informe Anual de la Corte Interamericana de Derechos Humanos lo decidido en la presente Resolución, con el fin de informar a la Asamblea General de la Organización de los Estados Americanos, en aplicación del artículo 65 de la Convención Americana sobre Derechos Humanos, sobre el incumplimiento por parte del Estado de Nicaragua a lo ordenado en las </w:t>
      </w:r>
      <w:r w:rsidR="00DB4B42" w:rsidRPr="00112300">
        <w:rPr>
          <w:rFonts w:ascii="Verdana" w:eastAsia="Verdana" w:hAnsi="Verdana"/>
          <w:sz w:val="20"/>
          <w:szCs w:val="20"/>
          <w:lang w:val="es-CO"/>
        </w:rPr>
        <w:t xml:space="preserve">las </w:t>
      </w:r>
      <w:r w:rsidR="00DB4B42" w:rsidRPr="00112300">
        <w:rPr>
          <w:rFonts w:ascii="Verdana" w:hAnsi="Verdana"/>
          <w:sz w:val="20"/>
          <w:szCs w:val="20"/>
        </w:rPr>
        <w:t>Resoluciones de 12 de julio y 14 de octubre de 2019, y 1 de septiembre y 14 de octubre de 202</w:t>
      </w:r>
      <w:r w:rsidR="00A15CC9">
        <w:rPr>
          <w:rFonts w:ascii="Verdana" w:hAnsi="Verdana"/>
          <w:sz w:val="20"/>
          <w:szCs w:val="20"/>
        </w:rPr>
        <w:t>1</w:t>
      </w:r>
      <w:r w:rsidRPr="00112300">
        <w:rPr>
          <w:rFonts w:ascii="Verdana" w:eastAsia="Verdana" w:hAnsi="Verdana"/>
          <w:sz w:val="20"/>
          <w:szCs w:val="20"/>
        </w:rPr>
        <w:t>.</w:t>
      </w:r>
    </w:p>
    <w:p w14:paraId="173340D1" w14:textId="77777777" w:rsidR="00772731" w:rsidRPr="00112300" w:rsidRDefault="00772731" w:rsidP="00772731">
      <w:pPr>
        <w:pStyle w:val="Prrafodelista"/>
        <w:ind w:left="0" w:right="22"/>
        <w:jc w:val="both"/>
        <w:rPr>
          <w:rFonts w:ascii="Verdana" w:eastAsia="Verdana" w:hAnsi="Verdana"/>
          <w:sz w:val="20"/>
          <w:szCs w:val="20"/>
          <w:lang w:val="es-CR"/>
        </w:rPr>
      </w:pPr>
    </w:p>
    <w:p w14:paraId="7475D848" w14:textId="3EA8434C" w:rsidR="00913CED" w:rsidRPr="00913CED" w:rsidRDefault="00913CED" w:rsidP="00913CED">
      <w:pPr>
        <w:pStyle w:val="Prrafodelista"/>
        <w:numPr>
          <w:ilvl w:val="0"/>
          <w:numId w:val="38"/>
        </w:numPr>
        <w:ind w:left="0" w:right="22" w:firstLine="0"/>
        <w:jc w:val="both"/>
        <w:rPr>
          <w:rFonts w:ascii="Verdana" w:eastAsia="Verdana" w:hAnsi="Verdana"/>
          <w:sz w:val="20"/>
          <w:szCs w:val="20"/>
        </w:rPr>
      </w:pPr>
      <w:r w:rsidRPr="00112300">
        <w:rPr>
          <w:rFonts w:ascii="Verdana" w:eastAsia="Verdana" w:hAnsi="Verdana"/>
          <w:sz w:val="20"/>
          <w:szCs w:val="20"/>
        </w:rPr>
        <w:t xml:space="preserve">Mantener las medidas provisionales ordenadas por la Corte Interamericana de Derechos Humanos </w:t>
      </w:r>
      <w:bookmarkStart w:id="3" w:name="_Hlk120092997"/>
      <w:r w:rsidRPr="00112300">
        <w:rPr>
          <w:rFonts w:ascii="Verdana" w:eastAsia="Verdana" w:hAnsi="Verdana"/>
          <w:sz w:val="20"/>
          <w:szCs w:val="20"/>
        </w:rPr>
        <w:t xml:space="preserve">mediante sus </w:t>
      </w:r>
      <w:bookmarkEnd w:id="3"/>
      <w:r w:rsidRPr="00112300">
        <w:rPr>
          <w:rFonts w:ascii="Verdana" w:hAnsi="Verdana"/>
          <w:sz w:val="20"/>
          <w:szCs w:val="20"/>
        </w:rPr>
        <w:t>Resoluciones de 12 de julio y 14 de octubre de 2019, así como 1 de septiembre y 14 de octubre de 2021.</w:t>
      </w:r>
      <w:r w:rsidR="00E517F8">
        <w:rPr>
          <w:rFonts w:ascii="Verdana" w:hAnsi="Verdana"/>
          <w:sz w:val="20"/>
          <w:szCs w:val="20"/>
        </w:rPr>
        <w:t xml:space="preserve"> </w:t>
      </w:r>
    </w:p>
    <w:p w14:paraId="67F72A61" w14:textId="77777777" w:rsidR="00913CED" w:rsidRPr="00913CED" w:rsidRDefault="00913CED" w:rsidP="00913CED">
      <w:pPr>
        <w:pStyle w:val="Prrafodelista"/>
        <w:rPr>
          <w:rFonts w:ascii="Verdana" w:eastAsia="Verdana" w:hAnsi="Verdana"/>
          <w:sz w:val="20"/>
          <w:szCs w:val="20"/>
        </w:rPr>
      </w:pPr>
    </w:p>
    <w:p w14:paraId="1021BE8E" w14:textId="1869489E" w:rsidR="00913CED" w:rsidRDefault="00913CED" w:rsidP="00913CED">
      <w:pPr>
        <w:pStyle w:val="Prrafodelista"/>
        <w:numPr>
          <w:ilvl w:val="0"/>
          <w:numId w:val="38"/>
        </w:numPr>
        <w:ind w:left="0" w:right="22" w:firstLine="0"/>
        <w:jc w:val="both"/>
        <w:rPr>
          <w:rFonts w:ascii="Verdana" w:eastAsia="Verdana" w:hAnsi="Verdana"/>
          <w:sz w:val="20"/>
          <w:szCs w:val="20"/>
        </w:rPr>
      </w:pPr>
      <w:r>
        <w:rPr>
          <w:rFonts w:ascii="Verdana" w:eastAsia="Verdana" w:hAnsi="Verdana"/>
          <w:sz w:val="20"/>
          <w:szCs w:val="20"/>
        </w:rPr>
        <w:t>Reiterar al Estad</w:t>
      </w:r>
      <w:r w:rsidRPr="00913CED">
        <w:rPr>
          <w:rFonts w:ascii="Verdana" w:eastAsia="Verdana" w:hAnsi="Verdana"/>
          <w:sz w:val="20"/>
          <w:szCs w:val="20"/>
        </w:rPr>
        <w:t>o para que adopte de forma inmediata y efectiva todas las medidas necesarias para proteger y garantizar la vida, libertad e integridad personal de los beneficiarios de las medidas provisionales y asegurar la continuidad de sus labores en defensa de los derechos humanos sin ser objeto de hostigamientos, amenazas o agresiones.</w:t>
      </w:r>
      <w:r w:rsidRPr="00913CED">
        <w:rPr>
          <w:rFonts w:ascii="Verdana" w:eastAsia="Verdana" w:hAnsi="Verdana"/>
          <w:sz w:val="20"/>
          <w:szCs w:val="20"/>
        </w:rPr>
        <w:cr/>
      </w:r>
    </w:p>
    <w:p w14:paraId="6CD9A0A0" w14:textId="27DF6215" w:rsidR="00AA2FEF" w:rsidRPr="00AA2FEF" w:rsidRDefault="00AA2FEF" w:rsidP="00913CED">
      <w:pPr>
        <w:pStyle w:val="Prrafodelista"/>
        <w:numPr>
          <w:ilvl w:val="0"/>
          <w:numId w:val="38"/>
        </w:numPr>
        <w:ind w:left="0" w:right="22" w:firstLine="0"/>
        <w:jc w:val="both"/>
        <w:rPr>
          <w:rFonts w:ascii="Verdana" w:eastAsia="Verdana" w:hAnsi="Verdana"/>
          <w:sz w:val="20"/>
          <w:szCs w:val="20"/>
        </w:rPr>
      </w:pPr>
      <w:r>
        <w:rPr>
          <w:rFonts w:ascii="Verdana" w:eastAsia="Verdana" w:hAnsi="Verdana"/>
          <w:sz w:val="20"/>
          <w:szCs w:val="20"/>
        </w:rPr>
        <w:t>Reiterar</w:t>
      </w:r>
      <w:r w:rsidRPr="00AA2FEF">
        <w:rPr>
          <w:rFonts w:ascii="Verdana" w:eastAsia="Verdana" w:hAnsi="Verdana"/>
          <w:sz w:val="20"/>
          <w:szCs w:val="20"/>
        </w:rPr>
        <w:t xml:space="preserve"> al Estado que garantice que las medidas específicas de protección se establezcan con la participación de las y los beneficiarios y se evite, en la medida de lo posible, que sean brindadas por los funcionarios de seguridad que, según las y los beneficiarios, están involucrados en los hechos.</w:t>
      </w:r>
    </w:p>
    <w:p w14:paraId="2F68920F" w14:textId="77777777" w:rsidR="00AA2FEF" w:rsidRPr="00913CED" w:rsidRDefault="00AA2FEF" w:rsidP="00AA2FEF">
      <w:pPr>
        <w:pStyle w:val="Prrafodelista"/>
        <w:ind w:left="0" w:right="22"/>
        <w:jc w:val="both"/>
        <w:rPr>
          <w:rFonts w:ascii="Verdana" w:eastAsia="Verdana" w:hAnsi="Verdana"/>
          <w:sz w:val="20"/>
          <w:szCs w:val="20"/>
        </w:rPr>
      </w:pPr>
    </w:p>
    <w:p w14:paraId="392242C5" w14:textId="2A2D5F51" w:rsidR="009959E7" w:rsidRPr="00112300" w:rsidRDefault="009959E7" w:rsidP="001A04DB">
      <w:pPr>
        <w:pStyle w:val="Prrafodelista"/>
        <w:numPr>
          <w:ilvl w:val="0"/>
          <w:numId w:val="38"/>
        </w:numPr>
        <w:ind w:left="0" w:right="22" w:firstLine="0"/>
        <w:jc w:val="both"/>
        <w:rPr>
          <w:rFonts w:ascii="Verdana" w:eastAsia="Verdana" w:hAnsi="Verdana"/>
          <w:sz w:val="20"/>
          <w:szCs w:val="20"/>
        </w:rPr>
      </w:pPr>
      <w:r w:rsidRPr="00112300">
        <w:rPr>
          <w:rFonts w:ascii="Verdana" w:hAnsi="Verdana"/>
          <w:sz w:val="20"/>
          <w:szCs w:val="20"/>
        </w:rPr>
        <w:t>Requerir</w:t>
      </w:r>
      <w:r w:rsidRPr="00112300">
        <w:rPr>
          <w:rFonts w:ascii="Verdana" w:eastAsia="Times" w:hAnsi="Verdana"/>
          <w:sz w:val="20"/>
          <w:szCs w:val="20"/>
          <w:lang w:eastAsia="es-ES"/>
        </w:rPr>
        <w:t xml:space="preserve"> al Estado que informe a la Corte Interamericana de Derechos Humanos a más tardar </w:t>
      </w:r>
      <w:r w:rsidRPr="00DA041F">
        <w:rPr>
          <w:rFonts w:ascii="Verdana" w:eastAsia="Times" w:hAnsi="Verdana"/>
          <w:sz w:val="20"/>
          <w:szCs w:val="20"/>
          <w:lang w:eastAsia="es-ES"/>
        </w:rPr>
        <w:t xml:space="preserve">el </w:t>
      </w:r>
      <w:r w:rsidR="00A15CC9" w:rsidRPr="00DA041F">
        <w:rPr>
          <w:rFonts w:ascii="Verdana" w:eastAsia="Times" w:hAnsi="Verdana"/>
          <w:sz w:val="20"/>
          <w:szCs w:val="20"/>
          <w:lang w:eastAsia="es-ES"/>
        </w:rPr>
        <w:t xml:space="preserve">13 </w:t>
      </w:r>
      <w:r w:rsidRPr="00DA041F">
        <w:rPr>
          <w:rFonts w:ascii="Verdana" w:eastAsia="Times" w:hAnsi="Verdana"/>
          <w:sz w:val="20"/>
          <w:szCs w:val="20"/>
          <w:lang w:eastAsia="es-ES"/>
        </w:rPr>
        <w:t xml:space="preserve">de </w:t>
      </w:r>
      <w:r w:rsidR="00A15CC9" w:rsidRPr="00DA041F">
        <w:rPr>
          <w:rFonts w:ascii="Verdana" w:eastAsia="Times" w:hAnsi="Verdana"/>
          <w:sz w:val="20"/>
          <w:szCs w:val="20"/>
          <w:lang w:eastAsia="es-ES"/>
        </w:rPr>
        <w:t xml:space="preserve">noviembre </w:t>
      </w:r>
      <w:r w:rsidRPr="00DA041F">
        <w:rPr>
          <w:rFonts w:ascii="Verdana" w:eastAsia="Times" w:hAnsi="Verdana"/>
          <w:sz w:val="20"/>
          <w:szCs w:val="20"/>
          <w:lang w:eastAsia="es-ES"/>
        </w:rPr>
        <w:t>de 202</w:t>
      </w:r>
      <w:r w:rsidR="006A0AF6" w:rsidRPr="00DA041F">
        <w:rPr>
          <w:rFonts w:ascii="Verdana" w:eastAsia="Times" w:hAnsi="Verdana"/>
          <w:sz w:val="20"/>
          <w:szCs w:val="20"/>
          <w:lang w:eastAsia="es-ES"/>
        </w:rPr>
        <w:t>3</w:t>
      </w:r>
      <w:r w:rsidRPr="00112300">
        <w:rPr>
          <w:rFonts w:ascii="Verdana" w:eastAsia="Times" w:hAnsi="Verdana"/>
          <w:sz w:val="20"/>
          <w:szCs w:val="20"/>
          <w:lang w:eastAsia="es-ES"/>
        </w:rPr>
        <w:t xml:space="preserve"> sobre las medidas adoptadas para dar cumplimiento a esta decisión. Con posterioridad, el Estado deberá presentar la información correspondiente en el marco del informe periódico que debe presentar en razón de lo ordenado en </w:t>
      </w:r>
      <w:r w:rsidR="00C619D9">
        <w:rPr>
          <w:rFonts w:ascii="Verdana" w:eastAsia="Times" w:hAnsi="Verdana"/>
          <w:sz w:val="20"/>
          <w:szCs w:val="20"/>
          <w:lang w:eastAsia="es-ES"/>
        </w:rPr>
        <w:t>la</w:t>
      </w:r>
      <w:r w:rsidR="0039259B">
        <w:rPr>
          <w:rFonts w:ascii="Verdana" w:eastAsia="Times" w:hAnsi="Verdana"/>
          <w:sz w:val="20"/>
          <w:szCs w:val="20"/>
          <w:lang w:eastAsia="es-ES"/>
        </w:rPr>
        <w:t>s</w:t>
      </w:r>
      <w:r w:rsidR="00C619D9">
        <w:rPr>
          <w:rFonts w:ascii="Verdana" w:eastAsia="Times" w:hAnsi="Verdana"/>
          <w:sz w:val="20"/>
          <w:szCs w:val="20"/>
          <w:lang w:eastAsia="es-ES"/>
        </w:rPr>
        <w:t xml:space="preserve"> Resoluci</w:t>
      </w:r>
      <w:r w:rsidR="0039259B">
        <w:rPr>
          <w:rFonts w:ascii="Verdana" w:eastAsia="Times" w:hAnsi="Verdana"/>
          <w:sz w:val="20"/>
          <w:szCs w:val="20"/>
          <w:lang w:eastAsia="es-ES"/>
        </w:rPr>
        <w:t>o</w:t>
      </w:r>
      <w:r w:rsidR="00C619D9">
        <w:rPr>
          <w:rFonts w:ascii="Verdana" w:eastAsia="Times" w:hAnsi="Verdana"/>
          <w:sz w:val="20"/>
          <w:szCs w:val="20"/>
          <w:lang w:eastAsia="es-ES"/>
        </w:rPr>
        <w:t>n</w:t>
      </w:r>
      <w:r w:rsidR="0039259B">
        <w:rPr>
          <w:rFonts w:ascii="Verdana" w:eastAsia="Times" w:hAnsi="Verdana"/>
          <w:sz w:val="20"/>
          <w:szCs w:val="20"/>
          <w:lang w:eastAsia="es-ES"/>
        </w:rPr>
        <w:t>es</w:t>
      </w:r>
      <w:r w:rsidR="00C619D9">
        <w:rPr>
          <w:rFonts w:ascii="Verdana" w:eastAsia="Times" w:hAnsi="Verdana"/>
          <w:sz w:val="20"/>
          <w:szCs w:val="20"/>
          <w:lang w:eastAsia="es-ES"/>
        </w:rPr>
        <w:t xml:space="preserve"> de</w:t>
      </w:r>
      <w:r w:rsidR="00E517F8">
        <w:rPr>
          <w:rFonts w:ascii="Verdana" w:eastAsia="Times" w:hAnsi="Verdana"/>
          <w:sz w:val="20"/>
          <w:szCs w:val="20"/>
          <w:lang w:eastAsia="es-ES"/>
        </w:rPr>
        <w:t xml:space="preserve"> </w:t>
      </w:r>
      <w:r w:rsidR="00C619D9">
        <w:rPr>
          <w:rFonts w:ascii="Verdana" w:eastAsia="Times" w:hAnsi="Verdana"/>
          <w:sz w:val="20"/>
          <w:szCs w:val="20"/>
          <w:lang w:eastAsia="es-ES"/>
        </w:rPr>
        <w:t>14 de octubre de 2021</w:t>
      </w:r>
      <w:r w:rsidR="0039259B">
        <w:rPr>
          <w:rFonts w:ascii="Verdana" w:eastAsia="Times" w:hAnsi="Verdana"/>
          <w:sz w:val="20"/>
          <w:szCs w:val="20"/>
          <w:lang w:eastAsia="es-ES"/>
        </w:rPr>
        <w:t xml:space="preserve"> y 1 de septiembre de 2021</w:t>
      </w:r>
      <w:r w:rsidRPr="00112300">
        <w:rPr>
          <w:rFonts w:ascii="Verdana" w:eastAsia="Times" w:hAnsi="Verdana"/>
          <w:sz w:val="20"/>
          <w:szCs w:val="20"/>
          <w:lang w:eastAsia="es-ES"/>
        </w:rPr>
        <w:t xml:space="preserve">. </w:t>
      </w:r>
    </w:p>
    <w:p w14:paraId="2DFEBE43" w14:textId="77777777" w:rsidR="009959E7" w:rsidRPr="00112300" w:rsidRDefault="009959E7" w:rsidP="009959E7">
      <w:pPr>
        <w:pStyle w:val="Prrafodelista"/>
        <w:ind w:left="0" w:right="22"/>
        <w:jc w:val="both"/>
        <w:rPr>
          <w:rFonts w:ascii="Verdana" w:eastAsia="Times" w:hAnsi="Verdana"/>
          <w:sz w:val="20"/>
          <w:szCs w:val="20"/>
          <w:lang w:eastAsia="es-ES"/>
        </w:rPr>
      </w:pPr>
    </w:p>
    <w:p w14:paraId="6879E33B" w14:textId="05EA6539" w:rsidR="009959E7" w:rsidRPr="00112300" w:rsidRDefault="009959E7" w:rsidP="008F226A">
      <w:pPr>
        <w:pStyle w:val="Prrafodelista"/>
        <w:numPr>
          <w:ilvl w:val="0"/>
          <w:numId w:val="38"/>
        </w:numPr>
        <w:ind w:left="0" w:right="22" w:firstLine="0"/>
        <w:jc w:val="both"/>
        <w:rPr>
          <w:rFonts w:ascii="Verdana" w:eastAsia="Times" w:hAnsi="Verdana"/>
          <w:sz w:val="20"/>
          <w:szCs w:val="20"/>
          <w:lang w:eastAsia="es-ES"/>
        </w:rPr>
      </w:pPr>
      <w:r w:rsidRPr="00112300">
        <w:rPr>
          <w:rFonts w:ascii="Verdana" w:eastAsia="Times" w:hAnsi="Verdana"/>
          <w:sz w:val="20"/>
          <w:szCs w:val="20"/>
          <w:lang w:eastAsia="es-ES"/>
        </w:rPr>
        <w:t>Requerir a los representantes de la</w:t>
      </w:r>
      <w:r w:rsidR="00CB3601" w:rsidRPr="00112300">
        <w:rPr>
          <w:rFonts w:ascii="Verdana" w:eastAsia="Times" w:hAnsi="Verdana"/>
          <w:sz w:val="20"/>
          <w:szCs w:val="20"/>
          <w:lang w:eastAsia="es-ES"/>
        </w:rPr>
        <w:t>s</w:t>
      </w:r>
      <w:r w:rsidRPr="00112300">
        <w:rPr>
          <w:rFonts w:ascii="Verdana" w:eastAsia="Times" w:hAnsi="Verdana"/>
          <w:sz w:val="20"/>
          <w:szCs w:val="20"/>
          <w:lang w:eastAsia="es-ES"/>
        </w:rPr>
        <w:t xml:space="preserve"> persona</w:t>
      </w:r>
      <w:r w:rsidR="00CB3601" w:rsidRPr="00112300">
        <w:rPr>
          <w:rFonts w:ascii="Verdana" w:eastAsia="Times" w:hAnsi="Verdana"/>
          <w:sz w:val="20"/>
          <w:szCs w:val="20"/>
          <w:lang w:eastAsia="es-ES"/>
        </w:rPr>
        <w:t>s</w:t>
      </w:r>
      <w:r w:rsidRPr="00112300">
        <w:rPr>
          <w:rFonts w:ascii="Verdana" w:eastAsia="Times" w:hAnsi="Verdana"/>
          <w:sz w:val="20"/>
          <w:szCs w:val="20"/>
          <w:lang w:eastAsia="es-ES"/>
        </w:rPr>
        <w:t xml:space="preserve"> beneficiaria</w:t>
      </w:r>
      <w:r w:rsidR="00CB3601" w:rsidRPr="00112300">
        <w:rPr>
          <w:rFonts w:ascii="Verdana" w:eastAsia="Times" w:hAnsi="Verdana"/>
          <w:sz w:val="20"/>
          <w:szCs w:val="20"/>
          <w:lang w:eastAsia="es-ES"/>
        </w:rPr>
        <w:t>s</w:t>
      </w:r>
      <w:r w:rsidRPr="00112300">
        <w:rPr>
          <w:rFonts w:ascii="Verdana" w:eastAsia="Times" w:hAnsi="Verdana"/>
          <w:sz w:val="20"/>
          <w:szCs w:val="20"/>
          <w:lang w:eastAsia="es-ES"/>
        </w:rPr>
        <w:t xml:space="preserve"> y a la Comisión Interamericana que </w:t>
      </w:r>
      <w:r w:rsidRPr="00112300">
        <w:rPr>
          <w:rFonts w:ascii="Verdana" w:hAnsi="Verdana"/>
          <w:sz w:val="20"/>
          <w:szCs w:val="20"/>
        </w:rPr>
        <w:t>presenten</w:t>
      </w:r>
      <w:r w:rsidRPr="00112300">
        <w:rPr>
          <w:rFonts w:ascii="Verdana" w:eastAsia="Times" w:hAnsi="Verdana"/>
          <w:sz w:val="20"/>
          <w:szCs w:val="20"/>
          <w:lang w:eastAsia="es-ES"/>
        </w:rPr>
        <w:t xml:space="preserve"> sus observaciones dentro de un plazo de una y dos semanas, respectivamente, contadas a partir de la notificación del informe del Estado. </w:t>
      </w:r>
    </w:p>
    <w:p w14:paraId="5C379B7A" w14:textId="77777777" w:rsidR="009959E7" w:rsidRPr="00112300" w:rsidRDefault="009959E7" w:rsidP="009959E7">
      <w:pPr>
        <w:pStyle w:val="Prrafodelista"/>
        <w:ind w:left="0" w:right="22"/>
        <w:jc w:val="both"/>
        <w:rPr>
          <w:rFonts w:ascii="Verdana" w:eastAsia="Times" w:hAnsi="Verdana"/>
          <w:sz w:val="20"/>
          <w:szCs w:val="20"/>
          <w:lang w:eastAsia="es-ES"/>
        </w:rPr>
      </w:pPr>
    </w:p>
    <w:p w14:paraId="6CA34606" w14:textId="11F3FB9B" w:rsidR="00A12F7F" w:rsidRDefault="00A12F7F" w:rsidP="00286ABC">
      <w:pPr>
        <w:pStyle w:val="Prrafodelista"/>
        <w:numPr>
          <w:ilvl w:val="0"/>
          <w:numId w:val="38"/>
        </w:numPr>
        <w:ind w:left="0" w:right="22" w:firstLine="0"/>
        <w:jc w:val="both"/>
        <w:rPr>
          <w:rFonts w:ascii="Verdana" w:eastAsia="Times" w:hAnsi="Verdana"/>
          <w:sz w:val="20"/>
          <w:szCs w:val="20"/>
          <w:lang w:eastAsia="es-ES"/>
        </w:rPr>
      </w:pPr>
      <w:bookmarkStart w:id="4" w:name="_Hlk149122711"/>
      <w:r w:rsidRPr="008D6B0D">
        <w:rPr>
          <w:rFonts w:ascii="Verdana" w:eastAsia="Times" w:hAnsi="Verdana"/>
          <w:sz w:val="20"/>
          <w:szCs w:val="20"/>
          <w:lang w:eastAsia="es-ES"/>
        </w:rPr>
        <w:t>Disponer que la Secretaría de la Corte notifique la presente Resolución al Estado, a la Comisión Interamericana</w:t>
      </w:r>
      <w:r w:rsidR="008D6B0D" w:rsidRPr="008D6B0D">
        <w:rPr>
          <w:rFonts w:ascii="Verdana" w:eastAsia="Times" w:hAnsi="Verdana"/>
          <w:sz w:val="20"/>
          <w:szCs w:val="20"/>
          <w:lang w:eastAsia="es-ES"/>
        </w:rPr>
        <w:t xml:space="preserve"> y</w:t>
      </w:r>
      <w:r w:rsidR="00AB7995">
        <w:rPr>
          <w:rFonts w:ascii="Verdana" w:eastAsia="Times" w:hAnsi="Verdana"/>
          <w:sz w:val="20"/>
          <w:szCs w:val="20"/>
          <w:lang w:eastAsia="es-ES"/>
        </w:rPr>
        <w:t xml:space="preserve"> </w:t>
      </w:r>
      <w:r w:rsidRPr="008D6B0D">
        <w:rPr>
          <w:rFonts w:ascii="Verdana" w:eastAsia="Times" w:hAnsi="Verdana"/>
          <w:sz w:val="20"/>
          <w:szCs w:val="20"/>
          <w:lang w:eastAsia="es-ES"/>
        </w:rPr>
        <w:t xml:space="preserve">a </w:t>
      </w:r>
      <w:r w:rsidR="00CB3601" w:rsidRPr="008D6B0D">
        <w:rPr>
          <w:rFonts w:ascii="Verdana" w:eastAsia="Times" w:hAnsi="Verdana"/>
          <w:sz w:val="20"/>
          <w:szCs w:val="20"/>
          <w:lang w:eastAsia="es-ES"/>
        </w:rPr>
        <w:t>los representantes de las personas beneficiarias</w:t>
      </w:r>
      <w:bookmarkEnd w:id="4"/>
      <w:r w:rsidR="008D6B0D" w:rsidRPr="008D6B0D">
        <w:rPr>
          <w:rFonts w:ascii="Verdana" w:eastAsia="Times" w:hAnsi="Verdana"/>
          <w:sz w:val="20"/>
          <w:szCs w:val="20"/>
          <w:lang w:eastAsia="es-ES"/>
        </w:rPr>
        <w:t>.</w:t>
      </w:r>
    </w:p>
    <w:p w14:paraId="08BF9736" w14:textId="77777777" w:rsidR="008844EF" w:rsidRPr="008844EF" w:rsidRDefault="008844EF" w:rsidP="008844EF">
      <w:pPr>
        <w:pStyle w:val="Prrafodelista"/>
        <w:rPr>
          <w:rFonts w:ascii="Verdana" w:eastAsia="Times" w:hAnsi="Verdana"/>
          <w:sz w:val="20"/>
          <w:szCs w:val="20"/>
          <w:lang w:eastAsia="es-ES"/>
        </w:rPr>
      </w:pPr>
    </w:p>
    <w:p w14:paraId="42566DD0" w14:textId="6EF82179" w:rsidR="008844EF" w:rsidRDefault="008844EF">
      <w:pPr>
        <w:spacing w:after="160" w:line="259" w:lineRule="auto"/>
        <w:rPr>
          <w:rFonts w:ascii="Verdana" w:eastAsia="Times" w:hAnsi="Verdana"/>
          <w:sz w:val="20"/>
          <w:szCs w:val="20"/>
          <w:lang w:eastAsia="es-ES"/>
        </w:rPr>
      </w:pPr>
      <w:r>
        <w:rPr>
          <w:rFonts w:ascii="Verdana" w:eastAsia="Times" w:hAnsi="Verdana"/>
          <w:sz w:val="20"/>
          <w:szCs w:val="20"/>
          <w:lang w:eastAsia="es-ES"/>
        </w:rPr>
        <w:br w:type="page"/>
      </w:r>
    </w:p>
    <w:p w14:paraId="042D1E9D" w14:textId="77777777" w:rsidR="008844EF" w:rsidRPr="008844EF" w:rsidRDefault="008844EF" w:rsidP="00BF14E7">
      <w:pPr>
        <w:jc w:val="both"/>
        <w:rPr>
          <w:rFonts w:ascii="Verdana" w:hAnsi="Verdana"/>
          <w:sz w:val="20"/>
          <w:szCs w:val="20"/>
          <w:lang w:val="es-CR"/>
        </w:rPr>
      </w:pPr>
      <w:r w:rsidRPr="008844EF">
        <w:rPr>
          <w:rFonts w:ascii="Verdana" w:hAnsi="Verdana"/>
          <w:sz w:val="20"/>
          <w:szCs w:val="20"/>
          <w:lang w:val="es-ES"/>
        </w:rPr>
        <w:lastRenderedPageBreak/>
        <w:t xml:space="preserve">Corte IDH. </w:t>
      </w:r>
      <w:r w:rsidRPr="008844EF">
        <w:rPr>
          <w:rFonts w:ascii="Verdana" w:hAnsi="Verdana"/>
          <w:sz w:val="20"/>
          <w:szCs w:val="20"/>
          <w:lang w:val="es-CR"/>
        </w:rPr>
        <w:t xml:space="preserve">Asunto de “Integrantes del Centro Nicaragüense de Derechos Humanos (CENIDH) y de la Comisión Permanente de Derechos Humanos (CPDH)” respecto de Nicaragua. </w:t>
      </w:r>
      <w:r w:rsidRPr="008844EF">
        <w:rPr>
          <w:rFonts w:ascii="Verdana" w:hAnsi="Verdana"/>
          <w:sz w:val="20"/>
          <w:szCs w:val="20"/>
          <w:lang w:val="es-ES"/>
        </w:rPr>
        <w:t>Medidas Provisionales</w:t>
      </w:r>
      <w:r w:rsidRPr="008844EF">
        <w:rPr>
          <w:rFonts w:ascii="Verdana" w:hAnsi="Verdana"/>
          <w:i/>
          <w:iCs/>
          <w:sz w:val="20"/>
          <w:szCs w:val="20"/>
          <w:lang w:val="es-ES"/>
        </w:rPr>
        <w:t xml:space="preserve">. </w:t>
      </w:r>
      <w:r w:rsidRPr="008844EF">
        <w:rPr>
          <w:rFonts w:ascii="Verdana" w:hAnsi="Verdana"/>
          <w:sz w:val="20"/>
          <w:szCs w:val="20"/>
          <w:lang w:val="es-ES"/>
        </w:rPr>
        <w:t xml:space="preserve">Resolución de la Corte Interamericana de Derechos Humanos de 20 de octubre de 2023. </w:t>
      </w:r>
      <w:r w:rsidRPr="008844EF">
        <w:rPr>
          <w:rFonts w:ascii="Verdana" w:hAnsi="Verdana"/>
          <w:sz w:val="20"/>
          <w:szCs w:val="20"/>
        </w:rPr>
        <w:t>Resolución adoptada en sesión virtual.</w:t>
      </w:r>
    </w:p>
    <w:p w14:paraId="51FC2754" w14:textId="77777777" w:rsidR="008844EF" w:rsidRPr="008844EF" w:rsidRDefault="008844EF" w:rsidP="008844EF">
      <w:pPr>
        <w:rPr>
          <w:rFonts w:ascii="Verdana" w:hAnsi="Verdana"/>
          <w:sz w:val="20"/>
          <w:szCs w:val="20"/>
          <w:lang w:val="es-ES"/>
        </w:rPr>
      </w:pPr>
    </w:p>
    <w:p w14:paraId="517DA77E" w14:textId="77777777" w:rsidR="008844EF" w:rsidRPr="008844EF" w:rsidRDefault="008844EF" w:rsidP="008844EF">
      <w:pPr>
        <w:jc w:val="center"/>
        <w:rPr>
          <w:rFonts w:ascii="Verdana" w:hAnsi="Verdana"/>
          <w:b/>
          <w:bCs/>
          <w:sz w:val="20"/>
          <w:szCs w:val="20"/>
        </w:rPr>
      </w:pPr>
    </w:p>
    <w:p w14:paraId="5C8F6EC7" w14:textId="77777777" w:rsidR="008844EF" w:rsidRPr="008844EF" w:rsidRDefault="008844EF" w:rsidP="008844EF">
      <w:pPr>
        <w:jc w:val="center"/>
        <w:rPr>
          <w:rFonts w:ascii="Verdana" w:hAnsi="Verdana"/>
          <w:sz w:val="20"/>
          <w:szCs w:val="20"/>
        </w:rPr>
      </w:pPr>
    </w:p>
    <w:p w14:paraId="0599B89D" w14:textId="77777777" w:rsidR="008844EF" w:rsidRPr="008844EF" w:rsidRDefault="008844EF" w:rsidP="008844EF">
      <w:pPr>
        <w:jc w:val="center"/>
        <w:rPr>
          <w:rFonts w:ascii="Verdana" w:hAnsi="Verdana"/>
          <w:sz w:val="20"/>
          <w:szCs w:val="20"/>
          <w:lang w:val="es-CR"/>
        </w:rPr>
      </w:pPr>
      <w:bookmarkStart w:id="5" w:name="_Hlk144371523"/>
      <w:r w:rsidRPr="008844EF">
        <w:rPr>
          <w:rFonts w:ascii="Verdana" w:hAnsi="Verdana"/>
          <w:sz w:val="20"/>
          <w:szCs w:val="20"/>
          <w:lang w:val="es-CR"/>
        </w:rPr>
        <w:t>Ricardo C. Pérez Manrique</w:t>
      </w:r>
    </w:p>
    <w:p w14:paraId="754C1D39" w14:textId="77777777" w:rsidR="008844EF" w:rsidRPr="008844EF" w:rsidRDefault="008844EF" w:rsidP="008844EF">
      <w:pPr>
        <w:jc w:val="center"/>
        <w:rPr>
          <w:rFonts w:ascii="Verdana" w:hAnsi="Verdana"/>
          <w:sz w:val="20"/>
          <w:szCs w:val="20"/>
          <w:lang w:val="pt-BR"/>
        </w:rPr>
      </w:pPr>
      <w:r w:rsidRPr="008844EF">
        <w:rPr>
          <w:rFonts w:ascii="Verdana" w:hAnsi="Verdana"/>
          <w:sz w:val="20"/>
          <w:szCs w:val="20"/>
          <w:lang w:val="pt-BR"/>
        </w:rPr>
        <w:t>Presidente</w:t>
      </w:r>
    </w:p>
    <w:p w14:paraId="040A0AC6" w14:textId="77777777" w:rsidR="008844EF" w:rsidRPr="008844EF" w:rsidRDefault="008844EF" w:rsidP="008844EF">
      <w:pPr>
        <w:jc w:val="center"/>
        <w:rPr>
          <w:rFonts w:ascii="Verdana" w:hAnsi="Verdana"/>
          <w:sz w:val="20"/>
          <w:szCs w:val="20"/>
          <w:lang w:val="pt-BR"/>
        </w:rPr>
      </w:pPr>
    </w:p>
    <w:p w14:paraId="104BF32C" w14:textId="77777777" w:rsidR="008844EF" w:rsidRPr="008844EF" w:rsidRDefault="008844EF" w:rsidP="008844EF">
      <w:pPr>
        <w:jc w:val="center"/>
        <w:rPr>
          <w:rFonts w:ascii="Verdana" w:hAnsi="Verdana"/>
          <w:sz w:val="20"/>
          <w:szCs w:val="20"/>
          <w:lang w:val="pt-BR"/>
        </w:rPr>
      </w:pPr>
    </w:p>
    <w:p w14:paraId="4CBC9D06" w14:textId="77777777" w:rsidR="008844EF" w:rsidRPr="008844EF" w:rsidRDefault="008844EF" w:rsidP="008844EF">
      <w:pPr>
        <w:rPr>
          <w:rFonts w:ascii="Verdana" w:hAnsi="Verdana"/>
          <w:sz w:val="20"/>
          <w:szCs w:val="20"/>
          <w:lang w:val="pt-BR"/>
        </w:rPr>
      </w:pPr>
      <w:r w:rsidRPr="008844EF">
        <w:rPr>
          <w:rFonts w:ascii="Verdana" w:hAnsi="Verdana"/>
          <w:sz w:val="20"/>
          <w:szCs w:val="20"/>
          <w:lang w:val="pt-BR"/>
        </w:rPr>
        <w:t>Eduardo Ferrer Mac-Gregor Poisot</w:t>
      </w:r>
      <w:r w:rsidRPr="008844EF">
        <w:rPr>
          <w:rFonts w:ascii="Verdana" w:hAnsi="Verdana"/>
          <w:noProof/>
          <w:sz w:val="20"/>
          <w:szCs w:val="20"/>
          <w:lang w:val="pt-BR"/>
        </w:rPr>
        <w:t xml:space="preserve"> </w:t>
      </w:r>
      <w:r w:rsidRPr="008844EF">
        <w:rPr>
          <w:rFonts w:ascii="Verdana" w:hAnsi="Verdana"/>
          <w:sz w:val="20"/>
          <w:szCs w:val="20"/>
          <w:lang w:val="pt-BR"/>
        </w:rPr>
        <w:tab/>
      </w:r>
      <w:r w:rsidRPr="008844EF">
        <w:rPr>
          <w:rFonts w:ascii="Verdana" w:hAnsi="Verdana"/>
          <w:sz w:val="20"/>
          <w:szCs w:val="20"/>
          <w:lang w:val="pt-BR"/>
        </w:rPr>
        <w:tab/>
      </w:r>
      <w:r w:rsidRPr="008844EF">
        <w:rPr>
          <w:rFonts w:ascii="Verdana" w:hAnsi="Verdana"/>
          <w:sz w:val="20"/>
          <w:szCs w:val="20"/>
          <w:lang w:val="pt-BR"/>
        </w:rPr>
        <w:tab/>
      </w:r>
      <w:r w:rsidRPr="008844EF">
        <w:rPr>
          <w:rFonts w:ascii="Verdana" w:hAnsi="Verdana"/>
          <w:sz w:val="20"/>
          <w:szCs w:val="20"/>
          <w:lang w:val="pt-BR"/>
        </w:rPr>
        <w:tab/>
        <w:t xml:space="preserve">       Humberto Antonio Sierra Porto</w:t>
      </w:r>
    </w:p>
    <w:p w14:paraId="7AE0D84D" w14:textId="77777777" w:rsidR="008844EF" w:rsidRPr="008844EF" w:rsidRDefault="008844EF" w:rsidP="008844EF">
      <w:pPr>
        <w:rPr>
          <w:rFonts w:ascii="Verdana" w:hAnsi="Verdana"/>
          <w:sz w:val="20"/>
          <w:szCs w:val="20"/>
          <w:lang w:val="pt-BR"/>
        </w:rPr>
      </w:pPr>
    </w:p>
    <w:p w14:paraId="1ED6FC1C" w14:textId="77777777" w:rsidR="008844EF" w:rsidRPr="008844EF" w:rsidRDefault="008844EF" w:rsidP="008844EF">
      <w:pPr>
        <w:rPr>
          <w:rFonts w:ascii="Verdana" w:hAnsi="Verdana"/>
          <w:sz w:val="20"/>
          <w:szCs w:val="20"/>
          <w:lang w:val="pt-BR"/>
        </w:rPr>
      </w:pPr>
    </w:p>
    <w:p w14:paraId="389274A5" w14:textId="77777777" w:rsidR="008844EF" w:rsidRPr="008844EF" w:rsidRDefault="008844EF" w:rsidP="008844EF">
      <w:pPr>
        <w:rPr>
          <w:rFonts w:ascii="Verdana" w:hAnsi="Verdana"/>
          <w:sz w:val="20"/>
          <w:szCs w:val="20"/>
          <w:lang w:val="pt-BR"/>
        </w:rPr>
      </w:pPr>
    </w:p>
    <w:p w14:paraId="6591B9CD" w14:textId="77777777" w:rsidR="008844EF" w:rsidRPr="008844EF" w:rsidRDefault="008844EF" w:rsidP="008844EF">
      <w:pPr>
        <w:rPr>
          <w:rFonts w:ascii="Verdana" w:hAnsi="Verdana"/>
          <w:sz w:val="20"/>
          <w:szCs w:val="20"/>
          <w:lang w:val="pt-BR"/>
        </w:rPr>
      </w:pPr>
      <w:r w:rsidRPr="008844EF">
        <w:rPr>
          <w:rFonts w:ascii="Verdana" w:hAnsi="Verdana"/>
          <w:sz w:val="20"/>
          <w:szCs w:val="20"/>
          <w:lang w:val="pt-BR"/>
        </w:rPr>
        <w:t>Nancy Hernández López</w:t>
      </w:r>
      <w:r w:rsidRPr="008844EF">
        <w:rPr>
          <w:rFonts w:ascii="Verdana" w:hAnsi="Verdana"/>
          <w:sz w:val="20"/>
          <w:szCs w:val="20"/>
          <w:lang w:val="pt-BR"/>
        </w:rPr>
        <w:tab/>
      </w:r>
      <w:r w:rsidRPr="008844EF">
        <w:rPr>
          <w:rFonts w:ascii="Verdana" w:hAnsi="Verdana"/>
          <w:sz w:val="20"/>
          <w:szCs w:val="20"/>
          <w:lang w:val="pt-BR"/>
        </w:rPr>
        <w:tab/>
      </w:r>
      <w:r w:rsidRPr="008844EF">
        <w:rPr>
          <w:rFonts w:ascii="Verdana" w:hAnsi="Verdana"/>
          <w:sz w:val="20"/>
          <w:szCs w:val="20"/>
          <w:lang w:val="pt-BR"/>
        </w:rPr>
        <w:tab/>
      </w:r>
      <w:r w:rsidRPr="008844EF">
        <w:rPr>
          <w:rFonts w:ascii="Verdana" w:hAnsi="Verdana"/>
          <w:sz w:val="20"/>
          <w:szCs w:val="20"/>
          <w:lang w:val="pt-BR"/>
        </w:rPr>
        <w:tab/>
      </w:r>
      <w:r w:rsidRPr="008844EF">
        <w:rPr>
          <w:rFonts w:ascii="Verdana" w:hAnsi="Verdana"/>
          <w:sz w:val="20"/>
          <w:szCs w:val="20"/>
          <w:lang w:val="pt-BR"/>
        </w:rPr>
        <w:tab/>
        <w:t xml:space="preserve">       Verónica Gómez                                                  </w:t>
      </w:r>
    </w:p>
    <w:p w14:paraId="2291E1D7" w14:textId="77777777" w:rsidR="008844EF" w:rsidRPr="008844EF" w:rsidRDefault="008844EF" w:rsidP="008844EF">
      <w:pPr>
        <w:rPr>
          <w:rFonts w:ascii="Verdana" w:hAnsi="Verdana"/>
          <w:sz w:val="20"/>
          <w:szCs w:val="20"/>
          <w:lang w:val="pt-BR"/>
        </w:rPr>
      </w:pPr>
    </w:p>
    <w:p w14:paraId="5191ABF4" w14:textId="77777777" w:rsidR="008844EF" w:rsidRPr="008844EF" w:rsidRDefault="008844EF" w:rsidP="008844EF">
      <w:pPr>
        <w:rPr>
          <w:rFonts w:ascii="Verdana" w:hAnsi="Verdana"/>
          <w:sz w:val="20"/>
          <w:szCs w:val="20"/>
          <w:lang w:val="pt-BR"/>
        </w:rPr>
      </w:pPr>
    </w:p>
    <w:p w14:paraId="5C7E87FB" w14:textId="77777777" w:rsidR="008844EF" w:rsidRPr="008844EF" w:rsidRDefault="008844EF" w:rsidP="008844EF">
      <w:pPr>
        <w:rPr>
          <w:rFonts w:ascii="Verdana" w:hAnsi="Verdana"/>
          <w:sz w:val="20"/>
          <w:szCs w:val="20"/>
          <w:lang w:val="pt-BR"/>
        </w:rPr>
      </w:pPr>
    </w:p>
    <w:p w14:paraId="7D3387F0" w14:textId="77777777" w:rsidR="008844EF" w:rsidRPr="008844EF" w:rsidRDefault="008844EF" w:rsidP="008844EF">
      <w:pPr>
        <w:rPr>
          <w:rFonts w:ascii="Verdana" w:hAnsi="Verdana"/>
          <w:sz w:val="20"/>
          <w:szCs w:val="20"/>
          <w:lang w:val="pt-BR"/>
        </w:rPr>
      </w:pPr>
      <w:r w:rsidRPr="008844EF">
        <w:rPr>
          <w:rFonts w:ascii="Verdana" w:hAnsi="Verdana"/>
          <w:sz w:val="20"/>
          <w:szCs w:val="20"/>
          <w:lang w:val="pt-BR"/>
        </w:rPr>
        <w:t>Patricia Pérez Goldberg</w:t>
      </w:r>
      <w:r w:rsidRPr="008844EF">
        <w:rPr>
          <w:rFonts w:ascii="Verdana" w:hAnsi="Verdana"/>
          <w:sz w:val="20"/>
          <w:szCs w:val="20"/>
          <w:lang w:val="pt-BR"/>
        </w:rPr>
        <w:tab/>
      </w:r>
      <w:r w:rsidRPr="008844EF">
        <w:rPr>
          <w:rFonts w:ascii="Verdana" w:hAnsi="Verdana"/>
          <w:sz w:val="20"/>
          <w:szCs w:val="20"/>
          <w:lang w:val="pt-BR"/>
        </w:rPr>
        <w:tab/>
      </w:r>
      <w:r w:rsidRPr="008844EF">
        <w:rPr>
          <w:rFonts w:ascii="Verdana" w:hAnsi="Verdana"/>
          <w:sz w:val="20"/>
          <w:szCs w:val="20"/>
          <w:lang w:val="pt-BR"/>
        </w:rPr>
        <w:tab/>
        <w:t xml:space="preserve">                    </w:t>
      </w:r>
      <w:r w:rsidRPr="008844EF">
        <w:rPr>
          <w:rFonts w:ascii="Verdana" w:hAnsi="Verdana"/>
          <w:sz w:val="20"/>
          <w:szCs w:val="20"/>
          <w:lang w:val="pt-BR"/>
        </w:rPr>
        <w:tab/>
        <w:t xml:space="preserve">       </w:t>
      </w:r>
      <w:r w:rsidRPr="008844EF">
        <w:rPr>
          <w:rFonts w:ascii="Verdana" w:hAnsi="Verdana" w:cs="Arial"/>
          <w:color w:val="212529"/>
          <w:sz w:val="20"/>
          <w:szCs w:val="20"/>
          <w:lang w:val="pt-BR"/>
        </w:rPr>
        <w:t>Rodrigo Mudrovitsch</w:t>
      </w:r>
    </w:p>
    <w:p w14:paraId="3CF307A3" w14:textId="77777777" w:rsidR="008844EF" w:rsidRPr="008844EF" w:rsidRDefault="008844EF" w:rsidP="008844EF">
      <w:pPr>
        <w:rPr>
          <w:rFonts w:ascii="Verdana" w:hAnsi="Verdana"/>
          <w:sz w:val="20"/>
          <w:szCs w:val="20"/>
          <w:lang w:val="pt-BR"/>
        </w:rPr>
      </w:pPr>
    </w:p>
    <w:p w14:paraId="5278BF05" w14:textId="77777777" w:rsidR="008844EF" w:rsidRPr="008844EF" w:rsidRDefault="008844EF" w:rsidP="008844EF">
      <w:pPr>
        <w:rPr>
          <w:rFonts w:ascii="Verdana" w:hAnsi="Verdana"/>
          <w:sz w:val="20"/>
          <w:szCs w:val="20"/>
          <w:lang w:val="pt-BR"/>
        </w:rPr>
      </w:pPr>
    </w:p>
    <w:p w14:paraId="7D45159A" w14:textId="77777777" w:rsidR="008844EF" w:rsidRPr="008844EF" w:rsidRDefault="008844EF" w:rsidP="008844EF">
      <w:pPr>
        <w:rPr>
          <w:rFonts w:ascii="Verdana" w:hAnsi="Verdana"/>
          <w:sz w:val="20"/>
          <w:szCs w:val="20"/>
          <w:lang w:val="pt-BR"/>
        </w:rPr>
      </w:pPr>
    </w:p>
    <w:p w14:paraId="5E5ABFA3" w14:textId="77777777" w:rsidR="008844EF" w:rsidRPr="008844EF" w:rsidRDefault="008844EF" w:rsidP="008844EF">
      <w:pPr>
        <w:jc w:val="center"/>
        <w:rPr>
          <w:rFonts w:ascii="Verdana" w:hAnsi="Verdana"/>
          <w:sz w:val="20"/>
          <w:szCs w:val="20"/>
          <w:lang w:val="pt-BR"/>
        </w:rPr>
      </w:pPr>
      <w:r w:rsidRPr="008844EF">
        <w:rPr>
          <w:rFonts w:ascii="Verdana" w:hAnsi="Verdana"/>
          <w:sz w:val="20"/>
          <w:szCs w:val="20"/>
          <w:lang w:val="pt-BR"/>
        </w:rPr>
        <w:t>Pablo Saavedra Alessandri</w:t>
      </w:r>
    </w:p>
    <w:p w14:paraId="5A76B272" w14:textId="77777777" w:rsidR="008844EF" w:rsidRPr="008844EF" w:rsidRDefault="008844EF" w:rsidP="008844EF">
      <w:pPr>
        <w:jc w:val="center"/>
        <w:rPr>
          <w:rFonts w:ascii="Verdana" w:hAnsi="Verdana"/>
          <w:sz w:val="20"/>
          <w:szCs w:val="20"/>
          <w:lang w:val="pt-BR"/>
        </w:rPr>
      </w:pPr>
      <w:r w:rsidRPr="008844EF">
        <w:rPr>
          <w:rFonts w:ascii="Verdana" w:hAnsi="Verdana"/>
          <w:sz w:val="20"/>
          <w:szCs w:val="20"/>
          <w:lang w:val="pt-BR"/>
        </w:rPr>
        <w:t>Secretario</w:t>
      </w:r>
    </w:p>
    <w:p w14:paraId="16A89E47" w14:textId="77777777" w:rsidR="008844EF" w:rsidRPr="008844EF" w:rsidRDefault="008844EF" w:rsidP="008844EF">
      <w:pPr>
        <w:pStyle w:val="Textonotapie"/>
        <w:rPr>
          <w:sz w:val="20"/>
          <w:lang w:val="pt-BR"/>
        </w:rPr>
      </w:pPr>
    </w:p>
    <w:p w14:paraId="5DCCBB9E" w14:textId="77777777" w:rsidR="008844EF" w:rsidRPr="008844EF" w:rsidRDefault="008844EF" w:rsidP="008844EF">
      <w:pPr>
        <w:pStyle w:val="Textonotapie"/>
        <w:rPr>
          <w:sz w:val="20"/>
          <w:lang w:val="pt-BR"/>
        </w:rPr>
      </w:pPr>
    </w:p>
    <w:p w14:paraId="12469496" w14:textId="77777777" w:rsidR="008844EF" w:rsidRPr="008844EF" w:rsidRDefault="008844EF" w:rsidP="008844EF">
      <w:pPr>
        <w:pStyle w:val="Textonotapie"/>
        <w:rPr>
          <w:sz w:val="20"/>
          <w:lang w:val="pt-BR"/>
        </w:rPr>
      </w:pPr>
    </w:p>
    <w:p w14:paraId="38BEFF75" w14:textId="77777777" w:rsidR="008844EF" w:rsidRPr="008844EF" w:rsidRDefault="008844EF" w:rsidP="008844EF">
      <w:pPr>
        <w:rPr>
          <w:rFonts w:ascii="Verdana" w:hAnsi="Verdana"/>
          <w:sz w:val="20"/>
          <w:szCs w:val="20"/>
          <w:lang w:val="pt-BR"/>
        </w:rPr>
      </w:pPr>
      <w:r w:rsidRPr="008844EF">
        <w:rPr>
          <w:rFonts w:ascii="Verdana" w:hAnsi="Verdana"/>
          <w:sz w:val="20"/>
          <w:szCs w:val="20"/>
          <w:lang w:val="pt-BR"/>
        </w:rPr>
        <w:t>Comuníquese y ejecútese,</w:t>
      </w:r>
    </w:p>
    <w:p w14:paraId="125AF17D" w14:textId="77777777" w:rsidR="008844EF" w:rsidRPr="008844EF" w:rsidRDefault="008844EF" w:rsidP="008844EF">
      <w:pPr>
        <w:jc w:val="center"/>
        <w:rPr>
          <w:rFonts w:ascii="Verdana" w:hAnsi="Verdana"/>
          <w:sz w:val="20"/>
          <w:szCs w:val="20"/>
          <w:lang w:val="pt-BR"/>
        </w:rPr>
      </w:pPr>
    </w:p>
    <w:p w14:paraId="45EF14E9" w14:textId="77777777" w:rsidR="008844EF" w:rsidRPr="008844EF" w:rsidRDefault="008844EF" w:rsidP="008844EF">
      <w:pPr>
        <w:jc w:val="right"/>
        <w:rPr>
          <w:rFonts w:ascii="Verdana" w:hAnsi="Verdana"/>
          <w:sz w:val="20"/>
          <w:szCs w:val="20"/>
          <w:lang w:val="pt-BR"/>
        </w:rPr>
      </w:pPr>
    </w:p>
    <w:p w14:paraId="000219F2" w14:textId="77777777" w:rsidR="008844EF" w:rsidRPr="008844EF" w:rsidRDefault="008844EF" w:rsidP="008844EF">
      <w:pPr>
        <w:jc w:val="center"/>
        <w:rPr>
          <w:rFonts w:ascii="Verdana" w:hAnsi="Verdana"/>
          <w:sz w:val="20"/>
          <w:szCs w:val="20"/>
          <w:lang w:val="pt-BR"/>
        </w:rPr>
      </w:pPr>
      <w:r w:rsidRPr="008844EF">
        <w:rPr>
          <w:rFonts w:ascii="Verdana" w:hAnsi="Verdana"/>
          <w:sz w:val="20"/>
          <w:szCs w:val="20"/>
          <w:lang w:val="pt-BR"/>
        </w:rPr>
        <w:t xml:space="preserve">                                                                                               </w:t>
      </w:r>
      <w:bookmarkStart w:id="6" w:name="_Hlk144371555"/>
      <w:r w:rsidRPr="008844EF">
        <w:rPr>
          <w:rFonts w:ascii="Verdana" w:hAnsi="Verdana"/>
          <w:sz w:val="20"/>
          <w:szCs w:val="20"/>
          <w:lang w:val="pt-BR"/>
        </w:rPr>
        <w:t>Ricardo C. Pérez Manrique</w:t>
      </w:r>
    </w:p>
    <w:p w14:paraId="6BAA1095" w14:textId="77777777" w:rsidR="008844EF" w:rsidRPr="008844EF" w:rsidRDefault="008844EF" w:rsidP="008844EF">
      <w:pPr>
        <w:ind w:left="6480" w:firstLine="720"/>
        <w:rPr>
          <w:rFonts w:ascii="Verdana" w:hAnsi="Verdana"/>
          <w:sz w:val="20"/>
          <w:szCs w:val="20"/>
          <w:lang w:val="pt-BR"/>
        </w:rPr>
      </w:pPr>
      <w:r w:rsidRPr="008844EF">
        <w:rPr>
          <w:rFonts w:ascii="Verdana" w:hAnsi="Verdana"/>
          <w:sz w:val="20"/>
          <w:szCs w:val="20"/>
          <w:lang w:val="pt-BR"/>
        </w:rPr>
        <w:t xml:space="preserve">      Presidente</w:t>
      </w:r>
    </w:p>
    <w:bookmarkEnd w:id="6"/>
    <w:p w14:paraId="764B22C2" w14:textId="77777777" w:rsidR="008844EF" w:rsidRPr="008844EF" w:rsidRDefault="008844EF" w:rsidP="008844EF">
      <w:pPr>
        <w:rPr>
          <w:rFonts w:ascii="Verdana" w:hAnsi="Verdana"/>
          <w:sz w:val="20"/>
          <w:szCs w:val="20"/>
          <w:lang w:val="pt-BR"/>
        </w:rPr>
      </w:pPr>
    </w:p>
    <w:p w14:paraId="3B815334" w14:textId="77777777" w:rsidR="008844EF" w:rsidRPr="008844EF" w:rsidRDefault="008844EF" w:rsidP="008844EF">
      <w:pPr>
        <w:rPr>
          <w:rFonts w:ascii="Verdana" w:hAnsi="Verdana"/>
          <w:sz w:val="20"/>
          <w:szCs w:val="20"/>
          <w:lang w:val="pt-BR"/>
        </w:rPr>
      </w:pPr>
    </w:p>
    <w:p w14:paraId="6B61CCED" w14:textId="77777777" w:rsidR="008844EF" w:rsidRPr="008844EF" w:rsidRDefault="008844EF" w:rsidP="008844EF">
      <w:pPr>
        <w:rPr>
          <w:rFonts w:ascii="Verdana" w:hAnsi="Verdana"/>
          <w:sz w:val="20"/>
          <w:szCs w:val="20"/>
          <w:lang w:val="pt-BR"/>
        </w:rPr>
      </w:pPr>
    </w:p>
    <w:bookmarkEnd w:id="5"/>
    <w:p w14:paraId="21FF948A" w14:textId="77777777" w:rsidR="008844EF" w:rsidRPr="008844EF" w:rsidRDefault="008844EF" w:rsidP="008844EF">
      <w:pPr>
        <w:rPr>
          <w:rFonts w:ascii="Verdana" w:hAnsi="Verdana"/>
          <w:sz w:val="20"/>
          <w:szCs w:val="20"/>
          <w:lang w:val="pt-BR"/>
        </w:rPr>
      </w:pPr>
      <w:r w:rsidRPr="008844EF">
        <w:rPr>
          <w:rFonts w:ascii="Verdana" w:hAnsi="Verdana"/>
          <w:sz w:val="20"/>
          <w:szCs w:val="20"/>
          <w:lang w:val="pt-BR"/>
        </w:rPr>
        <w:t>Pablo Saavedra Alessandri</w:t>
      </w:r>
    </w:p>
    <w:p w14:paraId="64F23019" w14:textId="77777777" w:rsidR="008844EF" w:rsidRPr="008844EF" w:rsidRDefault="008844EF" w:rsidP="008844EF">
      <w:pPr>
        <w:rPr>
          <w:rFonts w:ascii="Verdana" w:hAnsi="Verdana"/>
          <w:sz w:val="20"/>
          <w:szCs w:val="20"/>
          <w:lang w:val="pt-BR"/>
        </w:rPr>
      </w:pPr>
      <w:r w:rsidRPr="008844EF">
        <w:rPr>
          <w:rFonts w:ascii="Verdana" w:hAnsi="Verdana"/>
          <w:sz w:val="20"/>
          <w:szCs w:val="20"/>
          <w:lang w:val="pt-BR"/>
        </w:rPr>
        <w:t xml:space="preserve">          Secretario</w:t>
      </w:r>
    </w:p>
    <w:p w14:paraId="3A2C113D" w14:textId="77777777" w:rsidR="008844EF" w:rsidRPr="008844EF" w:rsidRDefault="008844EF" w:rsidP="008844EF">
      <w:pPr>
        <w:rPr>
          <w:rFonts w:ascii="Verdana" w:hAnsi="Verdana"/>
          <w:sz w:val="20"/>
          <w:szCs w:val="20"/>
        </w:rPr>
      </w:pPr>
    </w:p>
    <w:p w14:paraId="40291C3D" w14:textId="77777777" w:rsidR="008844EF" w:rsidRPr="008844EF" w:rsidRDefault="008844EF" w:rsidP="008844EF">
      <w:pPr>
        <w:pStyle w:val="Prrafodelista"/>
        <w:ind w:left="0" w:right="22"/>
        <w:jc w:val="both"/>
        <w:rPr>
          <w:rFonts w:ascii="Verdana" w:eastAsia="Times" w:hAnsi="Verdana"/>
          <w:sz w:val="20"/>
          <w:szCs w:val="20"/>
          <w:lang w:eastAsia="es-ES"/>
        </w:rPr>
      </w:pPr>
    </w:p>
    <w:sectPr w:rsidR="008844EF" w:rsidRPr="008844EF" w:rsidSect="008F7335">
      <w:footerReference w:type="default" r:id="rId8"/>
      <w:headerReference w:type="first" r:id="rId9"/>
      <w:pgSz w:w="12240" w:h="15840"/>
      <w:pgMar w:top="1440" w:right="1467"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617FF6" w14:textId="77777777" w:rsidR="00AD0F6D" w:rsidRDefault="00AD0F6D" w:rsidP="00BA723D">
      <w:r>
        <w:separator/>
      </w:r>
    </w:p>
  </w:endnote>
  <w:endnote w:type="continuationSeparator" w:id="0">
    <w:p w14:paraId="29029067" w14:textId="77777777" w:rsidR="00AD0F6D" w:rsidRDefault="00AD0F6D" w:rsidP="00BA72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mbria,Bold">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Garamond">
    <w:panose1 w:val="02020404030301010803"/>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Avant Garde">
    <w:altName w:val="Century Gothic"/>
    <w:charset w:val="4D"/>
    <w:family w:val="auto"/>
    <w:pitch w:val="variable"/>
    <w:sig w:usb0="03000000"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Open Sans">
    <w:charset w:val="00"/>
    <w:family w:val="swiss"/>
    <w:pitch w:val="variable"/>
    <w:sig w:usb0="E00002EF" w:usb1="4000205B" w:usb2="00000028" w:usb3="00000000" w:csb0="0000019F" w:csb1="00000000"/>
  </w:font>
  <w:font w:name="Verdana-Italic">
    <w:altName w:val="Verdana"/>
    <w:panose1 w:val="00000000000000000000"/>
    <w:charset w:val="4D"/>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6DAE3D" w14:textId="30F2D4D4" w:rsidR="00222B31" w:rsidRPr="00F11502" w:rsidRDefault="00222B31">
    <w:pPr>
      <w:pStyle w:val="Piedepgina"/>
      <w:jc w:val="center"/>
      <w:rPr>
        <w:rFonts w:ascii="Verdana" w:hAnsi="Verdana"/>
        <w:caps/>
        <w:sz w:val="20"/>
        <w:szCs w:val="20"/>
      </w:rPr>
    </w:pPr>
    <w:r w:rsidRPr="00F11502">
      <w:rPr>
        <w:rFonts w:ascii="Verdana" w:hAnsi="Verdana"/>
        <w:caps/>
        <w:sz w:val="20"/>
        <w:szCs w:val="20"/>
      </w:rPr>
      <w:fldChar w:fldCharType="begin"/>
    </w:r>
    <w:r w:rsidRPr="00F11502">
      <w:rPr>
        <w:rFonts w:ascii="Verdana" w:hAnsi="Verdana"/>
        <w:caps/>
        <w:sz w:val="20"/>
        <w:szCs w:val="20"/>
      </w:rPr>
      <w:instrText>PAGE   \* MERGEFORMAT</w:instrText>
    </w:r>
    <w:r w:rsidRPr="00F11502">
      <w:rPr>
        <w:rFonts w:ascii="Verdana" w:hAnsi="Verdana"/>
        <w:caps/>
        <w:sz w:val="20"/>
        <w:szCs w:val="20"/>
      </w:rPr>
      <w:fldChar w:fldCharType="separate"/>
    </w:r>
    <w:r w:rsidR="00685F46" w:rsidRPr="00685F46">
      <w:rPr>
        <w:rFonts w:ascii="Verdana" w:hAnsi="Verdana"/>
        <w:caps/>
        <w:noProof/>
        <w:sz w:val="20"/>
        <w:szCs w:val="20"/>
        <w:lang w:val="es-ES"/>
      </w:rPr>
      <w:t>1</w:t>
    </w:r>
    <w:r w:rsidRPr="00F11502">
      <w:rPr>
        <w:rFonts w:ascii="Verdana" w:hAnsi="Verdana"/>
        <w:caps/>
        <w:sz w:val="20"/>
        <w:szCs w:val="20"/>
      </w:rPr>
      <w:fldChar w:fldCharType="end"/>
    </w:r>
  </w:p>
  <w:p w14:paraId="542C817C" w14:textId="77777777" w:rsidR="00222B31" w:rsidRDefault="00222B31">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60A08A" w14:textId="77777777" w:rsidR="00AD0F6D" w:rsidRDefault="00AD0F6D" w:rsidP="00BA723D">
      <w:r>
        <w:separator/>
      </w:r>
    </w:p>
  </w:footnote>
  <w:footnote w:type="continuationSeparator" w:id="0">
    <w:p w14:paraId="43D62B27" w14:textId="77777777" w:rsidR="00AD0F6D" w:rsidRDefault="00AD0F6D" w:rsidP="00BA723D">
      <w:r>
        <w:continuationSeparator/>
      </w:r>
    </w:p>
  </w:footnote>
  <w:footnote w:id="1">
    <w:p w14:paraId="0EE87A6A" w14:textId="77777777" w:rsidR="00482D5C" w:rsidRPr="00112300" w:rsidRDefault="00482D5C" w:rsidP="00112300">
      <w:pPr>
        <w:pStyle w:val="Textonotapie"/>
        <w:spacing w:before="20" w:after="20"/>
        <w:rPr>
          <w:szCs w:val="16"/>
        </w:rPr>
      </w:pPr>
      <w:r w:rsidRPr="00112300">
        <w:rPr>
          <w:rStyle w:val="Refdenotaalpie"/>
          <w:szCs w:val="16"/>
        </w:rPr>
        <w:footnoteRef/>
      </w:r>
      <w:r w:rsidRPr="00112300">
        <w:rPr>
          <w:szCs w:val="16"/>
        </w:rPr>
        <w:t xml:space="preserve"> </w:t>
      </w:r>
      <w:r w:rsidRPr="00112300">
        <w:rPr>
          <w:szCs w:val="16"/>
        </w:rPr>
        <w:tab/>
      </w:r>
      <w:r w:rsidRPr="00112300">
        <w:rPr>
          <w:i/>
          <w:szCs w:val="16"/>
        </w:rPr>
        <w:t>Cfr. Asunto Integrantes del Centro Nicaragüense de Derechos Humanos y de la Comisión Permanente de Derechos Humanos (CENIDH-CPDH) respecto de Nicaragua. Adopción de Medidas Provisionales Urgentes</w:t>
      </w:r>
      <w:r w:rsidRPr="00112300">
        <w:rPr>
          <w:szCs w:val="16"/>
        </w:rPr>
        <w:t xml:space="preserve">. Resolución del Presidente de la Corte Interamericana de Derechos Humanos de 12 de julio de 2019. Disponible aquí: </w:t>
      </w:r>
      <w:hyperlink r:id="rId1" w:history="1">
        <w:r w:rsidRPr="00112300">
          <w:rPr>
            <w:rStyle w:val="Hipervnculo"/>
            <w:szCs w:val="16"/>
          </w:rPr>
          <w:t>http://www.corteidh.or.cr/docs/medidas/integrantes_centro_ni_se_01.pdf</w:t>
        </w:r>
      </w:hyperlink>
    </w:p>
  </w:footnote>
  <w:footnote w:id="2">
    <w:p w14:paraId="727C5014" w14:textId="352F1422" w:rsidR="00CB61DD" w:rsidRPr="00112300" w:rsidRDefault="00CB61DD" w:rsidP="00112300">
      <w:pPr>
        <w:pStyle w:val="Textonotapie"/>
        <w:spacing w:before="20" w:after="20"/>
        <w:rPr>
          <w:szCs w:val="16"/>
          <w:lang w:val="es-ES"/>
        </w:rPr>
      </w:pPr>
      <w:r w:rsidRPr="00112300">
        <w:rPr>
          <w:rStyle w:val="Refdenotaalpie"/>
          <w:szCs w:val="16"/>
        </w:rPr>
        <w:footnoteRef/>
      </w:r>
      <w:r w:rsidRPr="00112300">
        <w:rPr>
          <w:szCs w:val="16"/>
        </w:rPr>
        <w:t xml:space="preserve"> </w:t>
      </w:r>
      <w:r w:rsidRPr="00112300">
        <w:rPr>
          <w:szCs w:val="16"/>
        </w:rPr>
        <w:tab/>
      </w:r>
      <w:r w:rsidRPr="00112300">
        <w:rPr>
          <w:i/>
          <w:szCs w:val="16"/>
        </w:rPr>
        <w:t>Cfr</w:t>
      </w:r>
      <w:r w:rsidRPr="00112300">
        <w:rPr>
          <w:szCs w:val="16"/>
        </w:rPr>
        <w:t xml:space="preserve">. </w:t>
      </w:r>
      <w:r w:rsidRPr="00112300">
        <w:rPr>
          <w:i/>
          <w:szCs w:val="16"/>
        </w:rPr>
        <w:t>Asunto Integrantes del Centro Nicaragüense de Derechos Humanos y de la Comisión Permanente de Derechos Humanos (CENIDH-CPDH) respecto de Nicaragua. Medidas Provisionales.</w:t>
      </w:r>
      <w:r w:rsidRPr="00112300">
        <w:rPr>
          <w:szCs w:val="16"/>
        </w:rPr>
        <w:t xml:space="preserve"> Resolución de la Corte Interamericana de Derechos Humanos de 14 de octubre de 2019. Disponible aquí: </w:t>
      </w:r>
      <w:hyperlink r:id="rId2" w:history="1">
        <w:r w:rsidR="00225CE2" w:rsidRPr="00112300">
          <w:rPr>
            <w:rStyle w:val="Hipervnculo"/>
            <w:szCs w:val="16"/>
          </w:rPr>
          <w:t>http://www.corteidh.or.cr/docs/medidas/integrantes_centro_ni_se_02.pdf</w:t>
        </w:r>
      </w:hyperlink>
      <w:r w:rsidR="00E517F8">
        <w:rPr>
          <w:rStyle w:val="Hipervnculo"/>
          <w:szCs w:val="16"/>
        </w:rPr>
        <w:t xml:space="preserve"> </w:t>
      </w:r>
    </w:p>
  </w:footnote>
  <w:footnote w:id="3">
    <w:p w14:paraId="0229E176" w14:textId="126C599B" w:rsidR="00CB61DD" w:rsidRPr="00112300" w:rsidRDefault="00CB61DD" w:rsidP="00112300">
      <w:pPr>
        <w:pStyle w:val="Textonotapie"/>
        <w:spacing w:before="20" w:after="20"/>
        <w:rPr>
          <w:szCs w:val="16"/>
          <w:lang w:val="es-ES"/>
        </w:rPr>
      </w:pPr>
      <w:r w:rsidRPr="00112300">
        <w:rPr>
          <w:rStyle w:val="Refdenotaalpie"/>
          <w:szCs w:val="16"/>
        </w:rPr>
        <w:footnoteRef/>
      </w:r>
      <w:r w:rsidRPr="00112300">
        <w:rPr>
          <w:szCs w:val="16"/>
        </w:rPr>
        <w:t xml:space="preserve"> </w:t>
      </w:r>
      <w:r w:rsidRPr="00112300">
        <w:rPr>
          <w:szCs w:val="16"/>
        </w:rPr>
        <w:tab/>
      </w:r>
      <w:r w:rsidRPr="00112300">
        <w:rPr>
          <w:i/>
          <w:szCs w:val="16"/>
        </w:rPr>
        <w:t xml:space="preserve">Cfr. </w:t>
      </w:r>
      <w:r w:rsidRPr="00112300">
        <w:rPr>
          <w:rFonts w:cs="Arial"/>
          <w:i/>
          <w:szCs w:val="16"/>
          <w:shd w:val="clear" w:color="auto" w:fill="FFFFFF"/>
        </w:rPr>
        <w:t>Asunto Integrantes del Centro Nicaragüense de Derechos Humanos y de la Comisión Permanente de Derechos Humanos (CENIDH-CPDH) respecto de Nicaragua. Medidas Provisionales.</w:t>
      </w:r>
      <w:r w:rsidRPr="00112300">
        <w:rPr>
          <w:rFonts w:cs="Arial"/>
          <w:szCs w:val="16"/>
          <w:shd w:val="clear" w:color="auto" w:fill="FFFFFF"/>
        </w:rPr>
        <w:t xml:space="preserve"> Resolución de la Corte Interamericana de Derechos Humanos de 1 de septiembre de 2021. Disponible aquí: </w:t>
      </w:r>
      <w:hyperlink r:id="rId3" w:history="1">
        <w:r w:rsidRPr="00112300">
          <w:rPr>
            <w:rStyle w:val="Hipervnculo"/>
            <w:rFonts w:cs="Arial"/>
            <w:szCs w:val="16"/>
            <w:shd w:val="clear" w:color="auto" w:fill="FFFFFF"/>
          </w:rPr>
          <w:t>https://www.corteidh.or.cr/docs/medidas/integrantes_centro_ni_se_03.pdf</w:t>
        </w:r>
      </w:hyperlink>
      <w:r w:rsidRPr="00112300">
        <w:rPr>
          <w:rFonts w:cs="Arial"/>
          <w:szCs w:val="16"/>
          <w:shd w:val="clear" w:color="auto" w:fill="FFFFFF"/>
        </w:rPr>
        <w:t xml:space="preserve"> </w:t>
      </w:r>
    </w:p>
  </w:footnote>
  <w:footnote w:id="4">
    <w:p w14:paraId="2CA7DBDE" w14:textId="092BD3E4" w:rsidR="002E452D" w:rsidRPr="00112300" w:rsidRDefault="002E452D" w:rsidP="00112300">
      <w:pPr>
        <w:pStyle w:val="Textonotapie"/>
        <w:spacing w:before="20" w:after="20"/>
        <w:rPr>
          <w:szCs w:val="16"/>
          <w:lang w:val="es-ES"/>
        </w:rPr>
      </w:pPr>
      <w:r w:rsidRPr="00112300">
        <w:rPr>
          <w:rStyle w:val="Refdenotaalpie"/>
          <w:szCs w:val="16"/>
        </w:rPr>
        <w:footnoteRef/>
      </w:r>
      <w:r w:rsidR="00E517F8">
        <w:rPr>
          <w:szCs w:val="16"/>
        </w:rPr>
        <w:t xml:space="preserve"> </w:t>
      </w:r>
      <w:r w:rsidRPr="00112300">
        <w:rPr>
          <w:szCs w:val="16"/>
          <w:lang w:val="es-ES"/>
        </w:rPr>
        <w:tab/>
      </w:r>
      <w:r w:rsidRPr="00112300">
        <w:rPr>
          <w:i/>
          <w:iCs/>
          <w:szCs w:val="16"/>
          <w:lang w:val="es-ES"/>
        </w:rPr>
        <w:t>Cfr. Asunto Integrantes del Centro Nicaragüense de Derechos Humanos y de la Comisión Permanente de Derechos Humanos (CENIDH-CPDH) respecto de Nicaragua.</w:t>
      </w:r>
      <w:r w:rsidRPr="00112300">
        <w:rPr>
          <w:szCs w:val="16"/>
          <w:lang w:val="es-ES"/>
        </w:rPr>
        <w:t xml:space="preserve"> </w:t>
      </w:r>
      <w:r w:rsidRPr="00112300">
        <w:rPr>
          <w:i/>
          <w:iCs/>
          <w:szCs w:val="16"/>
          <w:lang w:val="es-ES"/>
        </w:rPr>
        <w:t>Medidas Provisionales.</w:t>
      </w:r>
      <w:r w:rsidRPr="00112300">
        <w:rPr>
          <w:szCs w:val="16"/>
          <w:lang w:val="es-ES"/>
        </w:rPr>
        <w:t xml:space="preserve"> Resolución de la Corte Interamericana de Derechos Humanos de 14 de octubre de 2021.</w:t>
      </w:r>
      <w:r w:rsidR="006B03AC" w:rsidRPr="00112300">
        <w:rPr>
          <w:szCs w:val="16"/>
          <w:lang w:val="es-ES"/>
        </w:rPr>
        <w:t xml:space="preserve"> </w:t>
      </w:r>
      <w:r w:rsidRPr="00112300">
        <w:rPr>
          <w:szCs w:val="16"/>
          <w:lang w:val="es-ES"/>
        </w:rPr>
        <w:t xml:space="preserve">Disponible aquí: </w:t>
      </w:r>
      <w:hyperlink r:id="rId4" w:history="1">
        <w:r w:rsidRPr="00112300">
          <w:rPr>
            <w:rStyle w:val="Hipervnculo"/>
            <w:szCs w:val="16"/>
            <w:lang w:val="es-ES"/>
          </w:rPr>
          <w:t>https://www.corteidh.or.cr/docs/medidas/integrantes_centro_ni_se_04.pdf</w:t>
        </w:r>
      </w:hyperlink>
      <w:r w:rsidRPr="00112300">
        <w:rPr>
          <w:szCs w:val="16"/>
          <w:lang w:val="es-ES"/>
        </w:rPr>
        <w:t xml:space="preserve"> </w:t>
      </w:r>
    </w:p>
  </w:footnote>
  <w:footnote w:id="5">
    <w:p w14:paraId="35490C16" w14:textId="77777777" w:rsidR="00A53D5F" w:rsidRPr="00112300" w:rsidRDefault="00A53D5F" w:rsidP="00112300">
      <w:pPr>
        <w:pStyle w:val="Textonotapie"/>
        <w:spacing w:before="20" w:after="20"/>
        <w:rPr>
          <w:szCs w:val="16"/>
        </w:rPr>
      </w:pPr>
      <w:r w:rsidRPr="00112300">
        <w:rPr>
          <w:rStyle w:val="Refdenotaalpie"/>
          <w:szCs w:val="16"/>
        </w:rPr>
        <w:footnoteRef/>
      </w:r>
      <w:r w:rsidRPr="00112300">
        <w:rPr>
          <w:szCs w:val="16"/>
        </w:rPr>
        <w:t xml:space="preserve"> </w:t>
      </w:r>
      <w:r w:rsidRPr="00112300">
        <w:rPr>
          <w:szCs w:val="16"/>
        </w:rPr>
        <w:tab/>
      </w:r>
      <w:bookmarkStart w:id="0" w:name="_Hlk138762887"/>
      <w:r w:rsidRPr="00112300">
        <w:rPr>
          <w:i/>
          <w:iCs/>
          <w:szCs w:val="16"/>
        </w:rPr>
        <w:t>Cfr. Asamblea General de la OEA. Calendario,</w:t>
      </w:r>
      <w:r w:rsidRPr="00112300">
        <w:rPr>
          <w:szCs w:val="16"/>
        </w:rPr>
        <w:t xml:space="preserve"> </w:t>
      </w:r>
      <w:bookmarkEnd w:id="0"/>
      <w:r w:rsidRPr="00112300">
        <w:rPr>
          <w:szCs w:val="16"/>
        </w:rPr>
        <w:t xml:space="preserve">AG/doc.5775/22. Disponible en: </w:t>
      </w:r>
      <w:hyperlink r:id="rId5" w:history="1">
        <w:r w:rsidRPr="00112300">
          <w:rPr>
            <w:rStyle w:val="Hipervnculo"/>
            <w:szCs w:val="16"/>
          </w:rPr>
          <w:t>https://www.oas.org/es/52ag/docs/AG08568S03-SPANISH.pdf</w:t>
        </w:r>
      </w:hyperlink>
      <w:r w:rsidRPr="00112300">
        <w:rPr>
          <w:szCs w:val="16"/>
        </w:rPr>
        <w:t xml:space="preserve"> </w:t>
      </w:r>
    </w:p>
  </w:footnote>
  <w:footnote w:id="6">
    <w:p w14:paraId="4E617997" w14:textId="77777777" w:rsidR="00A53D5F" w:rsidRPr="00112300" w:rsidRDefault="00A53D5F" w:rsidP="00112300">
      <w:pPr>
        <w:pStyle w:val="Textonotapie"/>
        <w:spacing w:before="20" w:after="20"/>
        <w:rPr>
          <w:szCs w:val="16"/>
        </w:rPr>
      </w:pPr>
      <w:r w:rsidRPr="00112300">
        <w:rPr>
          <w:rStyle w:val="Refdenotaalpie"/>
          <w:szCs w:val="16"/>
        </w:rPr>
        <w:footnoteRef/>
      </w:r>
      <w:r w:rsidRPr="00112300">
        <w:rPr>
          <w:szCs w:val="16"/>
        </w:rPr>
        <w:t xml:space="preserve"> </w:t>
      </w:r>
      <w:r w:rsidRPr="00112300">
        <w:rPr>
          <w:szCs w:val="16"/>
        </w:rPr>
        <w:tab/>
      </w:r>
      <w:r w:rsidRPr="00112300">
        <w:rPr>
          <w:i/>
          <w:iCs/>
          <w:szCs w:val="16"/>
        </w:rPr>
        <w:t>Cfr. ‘‘La crisis política y de derechos humanos en Nicaragua’’.</w:t>
      </w:r>
      <w:r w:rsidRPr="00112300">
        <w:rPr>
          <w:szCs w:val="16"/>
        </w:rPr>
        <w:t xml:space="preserve"> OEA/Ser.P AG/doc.5780/22 rev. 1. Disponible en: </w:t>
      </w:r>
      <w:hyperlink r:id="rId6" w:history="1">
        <w:r w:rsidRPr="00112300">
          <w:rPr>
            <w:rStyle w:val="Hipervnculo"/>
            <w:szCs w:val="16"/>
          </w:rPr>
          <w:t>https://scm.oas.org/doc_public/spanish/hist_22/ag08611s04.docx</w:t>
        </w:r>
      </w:hyperlink>
      <w:r w:rsidRPr="00112300">
        <w:rPr>
          <w:szCs w:val="16"/>
        </w:rPr>
        <w:t xml:space="preserve"> </w:t>
      </w:r>
    </w:p>
  </w:footnote>
  <w:footnote w:id="7">
    <w:p w14:paraId="0C826848" w14:textId="77777777" w:rsidR="00A53D5F" w:rsidRPr="00112300" w:rsidRDefault="00A53D5F" w:rsidP="00112300">
      <w:pPr>
        <w:spacing w:before="20" w:after="20"/>
        <w:jc w:val="both"/>
        <w:rPr>
          <w:rFonts w:ascii="Verdana" w:hAnsi="Verdana"/>
          <w:sz w:val="16"/>
          <w:szCs w:val="16"/>
        </w:rPr>
      </w:pPr>
      <w:r w:rsidRPr="00112300">
        <w:rPr>
          <w:rFonts w:ascii="Verdana" w:hAnsi="Verdana"/>
          <w:sz w:val="16"/>
          <w:szCs w:val="16"/>
          <w:vertAlign w:val="superscript"/>
        </w:rPr>
        <w:footnoteRef/>
      </w:r>
      <w:r w:rsidRPr="00112300">
        <w:rPr>
          <w:rFonts w:ascii="Verdana" w:eastAsia="Verdana" w:hAnsi="Verdana" w:cs="Verdana"/>
          <w:sz w:val="16"/>
          <w:szCs w:val="16"/>
        </w:rPr>
        <w:t xml:space="preserve"> </w:t>
      </w:r>
      <w:r w:rsidRPr="00112300">
        <w:rPr>
          <w:rFonts w:ascii="Verdana" w:eastAsia="Verdana" w:hAnsi="Verdana" w:cs="Verdana"/>
          <w:sz w:val="16"/>
          <w:szCs w:val="16"/>
        </w:rPr>
        <w:tab/>
      </w:r>
      <w:r w:rsidRPr="00112300">
        <w:rPr>
          <w:rFonts w:ascii="Verdana" w:eastAsia="Verdana" w:hAnsi="Verdana" w:cs="Verdana"/>
          <w:i/>
          <w:sz w:val="16"/>
          <w:szCs w:val="16"/>
        </w:rPr>
        <w:t>Cfr.</w:t>
      </w:r>
      <w:r w:rsidRPr="00112300">
        <w:rPr>
          <w:rFonts w:ascii="Verdana" w:eastAsia="Verdana" w:hAnsi="Verdana" w:cs="Verdana"/>
          <w:sz w:val="16"/>
          <w:szCs w:val="16"/>
        </w:rPr>
        <w:t xml:space="preserve"> </w:t>
      </w:r>
      <w:r w:rsidRPr="00112300">
        <w:rPr>
          <w:rFonts w:ascii="Verdana" w:eastAsia="Verdana" w:hAnsi="Verdana" w:cs="Verdana"/>
          <w:i/>
          <w:sz w:val="16"/>
          <w:szCs w:val="16"/>
        </w:rPr>
        <w:t>Asunto Juan Sebastián Chamorro y otros y 45 personas privadas de su libertad en ocho centros de detención respecto de Nicaragua. Medidas Provisionales.</w:t>
      </w:r>
      <w:r w:rsidRPr="00112300">
        <w:rPr>
          <w:rFonts w:ascii="Verdana" w:eastAsia="Verdana" w:hAnsi="Verdana" w:cs="Verdana"/>
          <w:sz w:val="16"/>
          <w:szCs w:val="16"/>
        </w:rPr>
        <w:t xml:space="preserve"> Resolución de la Corte Interamericana de Derechos Humanos de 22 de noviembre de 2022.</w:t>
      </w:r>
    </w:p>
  </w:footnote>
  <w:footnote w:id="8">
    <w:p w14:paraId="01E73E25" w14:textId="77777777" w:rsidR="00A53D5F" w:rsidRPr="00112300" w:rsidRDefault="00A53D5F" w:rsidP="00112300">
      <w:pPr>
        <w:pStyle w:val="Textonotapie"/>
        <w:spacing w:before="20" w:after="20"/>
        <w:rPr>
          <w:szCs w:val="16"/>
        </w:rPr>
      </w:pPr>
      <w:r w:rsidRPr="00112300">
        <w:rPr>
          <w:rStyle w:val="Refdenotaalpie"/>
          <w:szCs w:val="16"/>
        </w:rPr>
        <w:footnoteRef/>
      </w:r>
      <w:r w:rsidRPr="00112300">
        <w:rPr>
          <w:szCs w:val="16"/>
        </w:rPr>
        <w:t xml:space="preserve"> </w:t>
      </w:r>
      <w:r w:rsidRPr="00112300">
        <w:rPr>
          <w:szCs w:val="16"/>
        </w:rPr>
        <w:tab/>
      </w:r>
      <w:r w:rsidRPr="00112300">
        <w:rPr>
          <w:i/>
          <w:iCs/>
          <w:szCs w:val="16"/>
        </w:rPr>
        <w:t>Cfr. Asunto Juan Sebastián Chamorro y otros respecto de Nicaragua. Medidas Provisionales.</w:t>
      </w:r>
      <w:r w:rsidRPr="00112300">
        <w:rPr>
          <w:szCs w:val="16"/>
        </w:rPr>
        <w:t xml:space="preserve"> Resolución de la Corte Interamericana de Derechos Humanos de 8 de febrero de 2023.</w:t>
      </w:r>
    </w:p>
  </w:footnote>
  <w:footnote w:id="9">
    <w:p w14:paraId="1F47B675" w14:textId="77777777" w:rsidR="00A53D5F" w:rsidRPr="00112300" w:rsidRDefault="00A53D5F" w:rsidP="00112300">
      <w:pPr>
        <w:pStyle w:val="Textonotapie"/>
        <w:spacing w:before="20" w:after="20"/>
        <w:rPr>
          <w:szCs w:val="16"/>
          <w:lang w:val="es-ES"/>
        </w:rPr>
      </w:pPr>
      <w:r w:rsidRPr="00112300">
        <w:rPr>
          <w:rStyle w:val="Refdenotaalpie"/>
          <w:szCs w:val="16"/>
        </w:rPr>
        <w:footnoteRef/>
      </w:r>
      <w:r w:rsidRPr="00112300">
        <w:rPr>
          <w:szCs w:val="16"/>
        </w:rPr>
        <w:t xml:space="preserve"> </w:t>
      </w:r>
      <w:r w:rsidRPr="00112300">
        <w:rPr>
          <w:szCs w:val="16"/>
          <w:lang w:val="es-ES"/>
        </w:rPr>
        <w:tab/>
      </w:r>
      <w:r w:rsidRPr="00112300">
        <w:rPr>
          <w:i/>
          <w:iCs/>
          <w:szCs w:val="16"/>
          <w:lang w:val="es-ES"/>
        </w:rPr>
        <w:t>Cfr. Consejo Permanente de la OEA. Orden del día.</w:t>
      </w:r>
      <w:r w:rsidRPr="00112300">
        <w:rPr>
          <w:szCs w:val="16"/>
          <w:lang w:val="es-ES"/>
        </w:rPr>
        <w:t xml:space="preserve"> Presentación a cargo del Juez Ricardo C. Pérez Manrique, Presidente de la Corte Interamericana de Derechos Humanos. Disponible en: </w:t>
      </w:r>
      <w:hyperlink r:id="rId7" w:history="1">
        <w:r w:rsidRPr="00112300">
          <w:rPr>
            <w:rStyle w:val="Hipervnculo"/>
            <w:szCs w:val="16"/>
            <w:lang w:val="es-ES"/>
          </w:rPr>
          <w:t>https://scm.oas.org/doc_public/SPANISH/HIST_23/CP47406S07.docx</w:t>
        </w:r>
      </w:hyperlink>
      <w:r w:rsidRPr="00112300">
        <w:rPr>
          <w:szCs w:val="16"/>
          <w:lang w:val="es-ES"/>
        </w:rPr>
        <w:t xml:space="preserve"> </w:t>
      </w:r>
    </w:p>
  </w:footnote>
  <w:footnote w:id="10">
    <w:p w14:paraId="1D2F7602" w14:textId="77777777" w:rsidR="00A53D5F" w:rsidRPr="00112300" w:rsidRDefault="00A53D5F" w:rsidP="00112300">
      <w:pPr>
        <w:pStyle w:val="Textonotapie"/>
        <w:spacing w:before="20" w:after="20"/>
        <w:rPr>
          <w:szCs w:val="16"/>
          <w:lang w:val="es-ES"/>
        </w:rPr>
      </w:pPr>
      <w:r w:rsidRPr="00112300">
        <w:rPr>
          <w:rStyle w:val="Refdenotaalpie"/>
          <w:szCs w:val="16"/>
        </w:rPr>
        <w:footnoteRef/>
      </w:r>
      <w:r w:rsidRPr="00112300">
        <w:rPr>
          <w:szCs w:val="16"/>
        </w:rPr>
        <w:t xml:space="preserve"> </w:t>
      </w:r>
      <w:r w:rsidRPr="00112300">
        <w:rPr>
          <w:szCs w:val="16"/>
          <w:lang w:val="es-ES"/>
        </w:rPr>
        <w:tab/>
      </w:r>
      <w:r w:rsidRPr="00112300">
        <w:rPr>
          <w:i/>
          <w:iCs/>
          <w:szCs w:val="16"/>
        </w:rPr>
        <w:t>Cfr. Comisión de Asuntos Jurídicos y Políticos de la OEA. Orden del Día</w:t>
      </w:r>
      <w:r w:rsidRPr="00112300">
        <w:rPr>
          <w:szCs w:val="16"/>
        </w:rPr>
        <w:t xml:space="preserve">, CP/CAJP-3719/23. Disponible en: </w:t>
      </w:r>
      <w:hyperlink r:id="rId8" w:history="1">
        <w:r w:rsidRPr="00112300">
          <w:rPr>
            <w:rStyle w:val="Hipervnculo"/>
            <w:szCs w:val="16"/>
          </w:rPr>
          <w:t>https://scm.oas.org/doc_public/SPANISH/HIST_23/CP47422S03.docx</w:t>
        </w:r>
      </w:hyperlink>
      <w:r w:rsidRPr="00112300">
        <w:rPr>
          <w:szCs w:val="16"/>
        </w:rPr>
        <w:t xml:space="preserve"> </w:t>
      </w:r>
    </w:p>
  </w:footnote>
  <w:footnote w:id="11">
    <w:p w14:paraId="40CEEA7E" w14:textId="35D0CD05" w:rsidR="00A53D5F" w:rsidRPr="00112300" w:rsidRDefault="00A53D5F" w:rsidP="00112300">
      <w:pPr>
        <w:pStyle w:val="Textonotapie"/>
        <w:spacing w:before="20" w:after="20"/>
        <w:rPr>
          <w:szCs w:val="16"/>
          <w:lang w:val="es-ES"/>
        </w:rPr>
      </w:pPr>
      <w:r w:rsidRPr="00112300">
        <w:rPr>
          <w:rStyle w:val="Refdenotaalpie"/>
          <w:szCs w:val="16"/>
        </w:rPr>
        <w:footnoteRef/>
      </w:r>
      <w:r w:rsidRPr="00112300">
        <w:rPr>
          <w:szCs w:val="16"/>
        </w:rPr>
        <w:t xml:space="preserve"> </w:t>
      </w:r>
      <w:r w:rsidRPr="00112300">
        <w:rPr>
          <w:szCs w:val="16"/>
          <w:lang w:val="es-ES"/>
        </w:rPr>
        <w:tab/>
      </w:r>
      <w:r w:rsidRPr="00112300">
        <w:rPr>
          <w:i/>
          <w:iCs/>
          <w:szCs w:val="16"/>
        </w:rPr>
        <w:t xml:space="preserve">Cfr. </w:t>
      </w:r>
      <w:r w:rsidRPr="00112300">
        <w:rPr>
          <w:szCs w:val="16"/>
        </w:rPr>
        <w:t>Asamblea General de la OEA. Calendario, AG/doc.5810/23. Disponible en: https://scm.oas.org/doc_public/SPANISH/HIST_23/AG08791S03.docx</w:t>
      </w:r>
      <w:r w:rsidR="00E02F16">
        <w:rPr>
          <w:szCs w:val="16"/>
        </w:rPr>
        <w:t xml:space="preserve"> </w:t>
      </w:r>
    </w:p>
  </w:footnote>
  <w:footnote w:id="12">
    <w:p w14:paraId="72302EBD" w14:textId="0A1743E0" w:rsidR="0044229E" w:rsidRPr="0044229E" w:rsidRDefault="0044229E">
      <w:pPr>
        <w:pStyle w:val="Textonotapie"/>
      </w:pPr>
      <w:r>
        <w:rPr>
          <w:rStyle w:val="Refdenotaalpie"/>
        </w:rPr>
        <w:footnoteRef/>
      </w:r>
      <w:r>
        <w:t xml:space="preserve"> </w:t>
      </w:r>
      <w:r>
        <w:tab/>
        <w:t xml:space="preserve">La representación de CENIDH es ejercida por el Centro por la Justicia y el Derecho Internacional (CEJIL). </w:t>
      </w:r>
    </w:p>
  </w:footnote>
  <w:footnote w:id="13">
    <w:p w14:paraId="761C120C" w14:textId="4DAF38DE" w:rsidR="007152F2" w:rsidRPr="00AE0709" w:rsidRDefault="007152F2" w:rsidP="00112300">
      <w:pPr>
        <w:pStyle w:val="Textonotapie"/>
        <w:spacing w:before="20" w:after="20"/>
        <w:rPr>
          <w:szCs w:val="16"/>
          <w:lang w:val="es-CR"/>
        </w:rPr>
      </w:pPr>
      <w:r w:rsidRPr="00112300">
        <w:rPr>
          <w:rStyle w:val="Refdenotaalpie"/>
          <w:szCs w:val="16"/>
        </w:rPr>
        <w:footnoteRef/>
      </w:r>
      <w:r w:rsidRPr="00112300">
        <w:rPr>
          <w:szCs w:val="16"/>
        </w:rPr>
        <w:t xml:space="preserve"> </w:t>
      </w:r>
      <w:r w:rsidR="00BA69F0" w:rsidRPr="00112300">
        <w:rPr>
          <w:szCs w:val="16"/>
        </w:rPr>
        <w:tab/>
      </w:r>
      <w:r w:rsidR="00BA69F0" w:rsidRPr="00112300">
        <w:rPr>
          <w:i/>
          <w:szCs w:val="16"/>
        </w:rPr>
        <w:t>Cfr.</w:t>
      </w:r>
      <w:r w:rsidR="00E517F8">
        <w:rPr>
          <w:i/>
          <w:szCs w:val="16"/>
        </w:rPr>
        <w:t xml:space="preserve"> </w:t>
      </w:r>
      <w:r w:rsidR="00BA69F0" w:rsidRPr="00112300">
        <w:rPr>
          <w:i/>
          <w:szCs w:val="16"/>
        </w:rPr>
        <w:t>Caso</w:t>
      </w:r>
      <w:r w:rsidR="00E517F8">
        <w:rPr>
          <w:i/>
          <w:szCs w:val="16"/>
        </w:rPr>
        <w:t xml:space="preserve"> </w:t>
      </w:r>
      <w:r w:rsidR="00BA69F0" w:rsidRPr="00112300">
        <w:rPr>
          <w:i/>
          <w:szCs w:val="16"/>
        </w:rPr>
        <w:t>Herrera</w:t>
      </w:r>
      <w:r w:rsidR="00E517F8">
        <w:rPr>
          <w:i/>
          <w:szCs w:val="16"/>
        </w:rPr>
        <w:t xml:space="preserve"> </w:t>
      </w:r>
      <w:r w:rsidR="00BA69F0" w:rsidRPr="00112300">
        <w:rPr>
          <w:i/>
          <w:szCs w:val="16"/>
        </w:rPr>
        <w:t>Ulloa</w:t>
      </w:r>
      <w:r w:rsidR="00E517F8">
        <w:rPr>
          <w:i/>
          <w:szCs w:val="16"/>
        </w:rPr>
        <w:t xml:space="preserve"> </w:t>
      </w:r>
      <w:r w:rsidR="00BA69F0" w:rsidRPr="00112300">
        <w:rPr>
          <w:i/>
          <w:szCs w:val="16"/>
        </w:rPr>
        <w:t>respecto</w:t>
      </w:r>
      <w:r w:rsidR="00E517F8">
        <w:rPr>
          <w:i/>
          <w:szCs w:val="16"/>
        </w:rPr>
        <w:t xml:space="preserve"> </w:t>
      </w:r>
      <w:r w:rsidR="00BA69F0" w:rsidRPr="00112300">
        <w:rPr>
          <w:i/>
          <w:szCs w:val="16"/>
        </w:rPr>
        <w:t>de</w:t>
      </w:r>
      <w:r w:rsidR="00E517F8">
        <w:rPr>
          <w:i/>
          <w:szCs w:val="16"/>
        </w:rPr>
        <w:t xml:space="preserve"> </w:t>
      </w:r>
      <w:r w:rsidR="00BA69F0" w:rsidRPr="00112300">
        <w:rPr>
          <w:i/>
          <w:szCs w:val="16"/>
        </w:rPr>
        <w:t>Costa</w:t>
      </w:r>
      <w:r w:rsidR="00E517F8">
        <w:rPr>
          <w:i/>
          <w:szCs w:val="16"/>
        </w:rPr>
        <w:t xml:space="preserve"> </w:t>
      </w:r>
      <w:r w:rsidR="00BA69F0" w:rsidRPr="00112300">
        <w:rPr>
          <w:i/>
          <w:szCs w:val="16"/>
        </w:rPr>
        <w:t>Rica.</w:t>
      </w:r>
      <w:r w:rsidR="00E517F8">
        <w:rPr>
          <w:i/>
          <w:szCs w:val="16"/>
        </w:rPr>
        <w:t xml:space="preserve"> </w:t>
      </w:r>
      <w:r w:rsidR="00BA69F0" w:rsidRPr="00112300">
        <w:rPr>
          <w:i/>
          <w:szCs w:val="16"/>
        </w:rPr>
        <w:t>Medidas</w:t>
      </w:r>
      <w:r w:rsidR="00E517F8">
        <w:rPr>
          <w:i/>
          <w:szCs w:val="16"/>
        </w:rPr>
        <w:t xml:space="preserve"> </w:t>
      </w:r>
      <w:r w:rsidR="00BA69F0" w:rsidRPr="00112300">
        <w:rPr>
          <w:i/>
          <w:szCs w:val="16"/>
        </w:rPr>
        <w:t>Provisionales</w:t>
      </w:r>
      <w:r w:rsidR="00BA69F0" w:rsidRPr="00112300">
        <w:rPr>
          <w:szCs w:val="16"/>
        </w:rPr>
        <w:t xml:space="preserve">. </w:t>
      </w:r>
      <w:r w:rsidR="00957530" w:rsidRPr="00112300">
        <w:rPr>
          <w:szCs w:val="16"/>
        </w:rPr>
        <w:t xml:space="preserve">Resolución de </w:t>
      </w:r>
      <w:r w:rsidR="00957530" w:rsidRPr="00112300">
        <w:rPr>
          <w:spacing w:val="5"/>
          <w:szCs w:val="16"/>
        </w:rPr>
        <w:t>la</w:t>
      </w:r>
      <w:r w:rsidR="00E517F8">
        <w:rPr>
          <w:szCs w:val="16"/>
        </w:rPr>
        <w:t xml:space="preserve"> </w:t>
      </w:r>
      <w:r w:rsidR="00BA69F0" w:rsidRPr="00112300">
        <w:rPr>
          <w:szCs w:val="16"/>
        </w:rPr>
        <w:t>Corte</w:t>
      </w:r>
      <w:r w:rsidR="00BA69F0" w:rsidRPr="00112300">
        <w:rPr>
          <w:w w:val="99"/>
          <w:szCs w:val="16"/>
        </w:rPr>
        <w:t xml:space="preserve"> </w:t>
      </w:r>
      <w:r w:rsidR="00BA69F0" w:rsidRPr="00112300">
        <w:rPr>
          <w:szCs w:val="16"/>
        </w:rPr>
        <w:t xml:space="preserve">Interamericana de Derechos Humanos de 7 de septiembre de 2001, Considerando 4, y </w:t>
      </w:r>
      <w:r w:rsidR="003F537B" w:rsidRPr="00AE0709">
        <w:rPr>
          <w:i/>
          <w:iCs/>
          <w:szCs w:val="16"/>
          <w:lang w:val="es-CR"/>
        </w:rPr>
        <w:t>Asunto Monseñor Rolando José Álvarez Lagos respecto de Nicaragua. Adopción de Medidas Provisionales.</w:t>
      </w:r>
      <w:r w:rsidR="003F537B" w:rsidRPr="003F537B">
        <w:rPr>
          <w:szCs w:val="16"/>
          <w:lang w:val="es-CR"/>
        </w:rPr>
        <w:t xml:space="preserve"> Resolución de la Corte Interamericana de Derechos Humanos de 27 de junio de 2023</w:t>
      </w:r>
      <w:r w:rsidR="003F537B">
        <w:rPr>
          <w:szCs w:val="16"/>
          <w:lang w:val="es-CR"/>
        </w:rPr>
        <w:t>, Considerando 2.</w:t>
      </w:r>
      <w:r w:rsidR="00E02F16">
        <w:rPr>
          <w:szCs w:val="16"/>
          <w:lang w:val="es-CR"/>
        </w:rPr>
        <w:t xml:space="preserve"> </w:t>
      </w:r>
    </w:p>
  </w:footnote>
  <w:footnote w:id="14">
    <w:p w14:paraId="742528AE" w14:textId="4DC1E4CB" w:rsidR="007152F2" w:rsidRPr="00AE0709" w:rsidRDefault="007152F2" w:rsidP="00112300">
      <w:pPr>
        <w:pStyle w:val="Textonotapie"/>
        <w:spacing w:before="20" w:after="20"/>
        <w:rPr>
          <w:szCs w:val="16"/>
          <w:lang w:val="es-CR"/>
        </w:rPr>
      </w:pPr>
      <w:r w:rsidRPr="00112300">
        <w:rPr>
          <w:rStyle w:val="Refdenotaalpie"/>
          <w:szCs w:val="16"/>
        </w:rPr>
        <w:footnoteRef/>
      </w:r>
      <w:r w:rsidRPr="00112300">
        <w:rPr>
          <w:szCs w:val="16"/>
        </w:rPr>
        <w:t xml:space="preserve"> </w:t>
      </w:r>
      <w:r w:rsidR="00D06C88" w:rsidRPr="00112300">
        <w:rPr>
          <w:szCs w:val="16"/>
        </w:rPr>
        <w:tab/>
      </w:r>
      <w:r w:rsidR="00D06C88" w:rsidRPr="00112300">
        <w:rPr>
          <w:i/>
          <w:szCs w:val="16"/>
        </w:rPr>
        <w:t>Cfr.</w:t>
      </w:r>
      <w:r w:rsidR="00D06C88" w:rsidRPr="00112300">
        <w:rPr>
          <w:i/>
          <w:spacing w:val="-7"/>
          <w:szCs w:val="16"/>
        </w:rPr>
        <w:t xml:space="preserve"> </w:t>
      </w:r>
      <w:r w:rsidR="00D06C88" w:rsidRPr="00112300">
        <w:rPr>
          <w:i/>
          <w:szCs w:val="16"/>
        </w:rPr>
        <w:t>Asunto</w:t>
      </w:r>
      <w:r w:rsidR="00D06C88" w:rsidRPr="00112300">
        <w:rPr>
          <w:i/>
          <w:spacing w:val="-6"/>
          <w:szCs w:val="16"/>
        </w:rPr>
        <w:t xml:space="preserve"> </w:t>
      </w:r>
      <w:r w:rsidR="00D06C88" w:rsidRPr="00112300">
        <w:rPr>
          <w:i/>
          <w:szCs w:val="16"/>
        </w:rPr>
        <w:t>Juan</w:t>
      </w:r>
      <w:r w:rsidR="00D06C88" w:rsidRPr="00112300">
        <w:rPr>
          <w:i/>
          <w:spacing w:val="-7"/>
          <w:szCs w:val="16"/>
        </w:rPr>
        <w:t xml:space="preserve"> </w:t>
      </w:r>
      <w:r w:rsidR="00D06C88" w:rsidRPr="00112300">
        <w:rPr>
          <w:i/>
          <w:szCs w:val="16"/>
        </w:rPr>
        <w:t>Sebastián</w:t>
      </w:r>
      <w:r w:rsidR="00D06C88" w:rsidRPr="00112300">
        <w:rPr>
          <w:i/>
          <w:spacing w:val="-7"/>
          <w:szCs w:val="16"/>
        </w:rPr>
        <w:t xml:space="preserve"> </w:t>
      </w:r>
      <w:r w:rsidR="00D06C88" w:rsidRPr="00112300">
        <w:rPr>
          <w:i/>
          <w:szCs w:val="16"/>
        </w:rPr>
        <w:t>Chamorro</w:t>
      </w:r>
      <w:r w:rsidR="00D06C88" w:rsidRPr="00112300">
        <w:rPr>
          <w:i/>
          <w:spacing w:val="-6"/>
          <w:szCs w:val="16"/>
        </w:rPr>
        <w:t xml:space="preserve"> </w:t>
      </w:r>
      <w:r w:rsidR="00D06C88" w:rsidRPr="00112300">
        <w:rPr>
          <w:i/>
          <w:szCs w:val="16"/>
        </w:rPr>
        <w:t>y</w:t>
      </w:r>
      <w:r w:rsidR="00D06C88" w:rsidRPr="00112300">
        <w:rPr>
          <w:i/>
          <w:spacing w:val="-6"/>
          <w:szCs w:val="16"/>
        </w:rPr>
        <w:t xml:space="preserve"> </w:t>
      </w:r>
      <w:r w:rsidR="00D06C88" w:rsidRPr="00112300">
        <w:rPr>
          <w:i/>
          <w:szCs w:val="16"/>
        </w:rPr>
        <w:t>otros</w:t>
      </w:r>
      <w:r w:rsidR="00D06C88" w:rsidRPr="00112300">
        <w:rPr>
          <w:i/>
          <w:spacing w:val="-7"/>
          <w:szCs w:val="16"/>
        </w:rPr>
        <w:t xml:space="preserve"> </w:t>
      </w:r>
      <w:r w:rsidR="00D06C88" w:rsidRPr="00112300">
        <w:rPr>
          <w:i/>
          <w:szCs w:val="16"/>
        </w:rPr>
        <w:t>respecto</w:t>
      </w:r>
      <w:r w:rsidR="00D06C88" w:rsidRPr="00112300">
        <w:rPr>
          <w:i/>
          <w:spacing w:val="-6"/>
          <w:szCs w:val="16"/>
        </w:rPr>
        <w:t xml:space="preserve"> </w:t>
      </w:r>
      <w:r w:rsidR="00D06C88" w:rsidRPr="00112300">
        <w:rPr>
          <w:i/>
          <w:szCs w:val="16"/>
        </w:rPr>
        <w:t>de</w:t>
      </w:r>
      <w:r w:rsidR="00D06C88" w:rsidRPr="00112300">
        <w:rPr>
          <w:i/>
          <w:spacing w:val="-7"/>
          <w:szCs w:val="16"/>
        </w:rPr>
        <w:t xml:space="preserve"> </w:t>
      </w:r>
      <w:r w:rsidR="00D06C88" w:rsidRPr="00112300">
        <w:rPr>
          <w:i/>
          <w:szCs w:val="16"/>
        </w:rPr>
        <w:t>Nicaragua.</w:t>
      </w:r>
      <w:r w:rsidR="00D06C88" w:rsidRPr="00112300">
        <w:rPr>
          <w:i/>
          <w:spacing w:val="-7"/>
          <w:szCs w:val="16"/>
        </w:rPr>
        <w:t xml:space="preserve"> </w:t>
      </w:r>
      <w:r w:rsidR="00D06C88" w:rsidRPr="00112300">
        <w:rPr>
          <w:i/>
          <w:szCs w:val="16"/>
        </w:rPr>
        <w:t>Medidas</w:t>
      </w:r>
      <w:r w:rsidR="00D06C88" w:rsidRPr="00112300">
        <w:rPr>
          <w:i/>
          <w:spacing w:val="-7"/>
          <w:szCs w:val="16"/>
        </w:rPr>
        <w:t xml:space="preserve"> </w:t>
      </w:r>
      <w:r w:rsidR="00D06C88" w:rsidRPr="00112300">
        <w:rPr>
          <w:i/>
          <w:szCs w:val="16"/>
        </w:rPr>
        <w:t>Provisionales.</w:t>
      </w:r>
      <w:r w:rsidR="00D06C88" w:rsidRPr="00112300">
        <w:rPr>
          <w:i/>
          <w:spacing w:val="-7"/>
          <w:szCs w:val="16"/>
        </w:rPr>
        <w:t xml:space="preserve"> </w:t>
      </w:r>
      <w:r w:rsidR="00D06C88" w:rsidRPr="00112300">
        <w:rPr>
          <w:szCs w:val="16"/>
        </w:rPr>
        <w:t>Resolución</w:t>
      </w:r>
      <w:r w:rsidR="00D06C88" w:rsidRPr="00112300">
        <w:rPr>
          <w:w w:val="99"/>
          <w:szCs w:val="16"/>
        </w:rPr>
        <w:t xml:space="preserve"> </w:t>
      </w:r>
      <w:r w:rsidR="00D06C88" w:rsidRPr="00112300">
        <w:rPr>
          <w:szCs w:val="16"/>
        </w:rPr>
        <w:t>de</w:t>
      </w:r>
      <w:r w:rsidR="00D06C88" w:rsidRPr="00112300">
        <w:rPr>
          <w:spacing w:val="-4"/>
          <w:szCs w:val="16"/>
        </w:rPr>
        <w:t xml:space="preserve"> </w:t>
      </w:r>
      <w:r w:rsidR="00D06C88" w:rsidRPr="00112300">
        <w:rPr>
          <w:szCs w:val="16"/>
        </w:rPr>
        <w:t>la</w:t>
      </w:r>
      <w:r w:rsidR="00D06C88" w:rsidRPr="00112300">
        <w:rPr>
          <w:spacing w:val="-3"/>
          <w:szCs w:val="16"/>
        </w:rPr>
        <w:t xml:space="preserve"> </w:t>
      </w:r>
      <w:r w:rsidR="00D06C88" w:rsidRPr="00112300">
        <w:rPr>
          <w:szCs w:val="16"/>
        </w:rPr>
        <w:t>Corte</w:t>
      </w:r>
      <w:r w:rsidR="00D06C88" w:rsidRPr="00112300">
        <w:rPr>
          <w:spacing w:val="-4"/>
          <w:szCs w:val="16"/>
        </w:rPr>
        <w:t xml:space="preserve"> </w:t>
      </w:r>
      <w:r w:rsidR="00D06C88" w:rsidRPr="00112300">
        <w:rPr>
          <w:szCs w:val="16"/>
        </w:rPr>
        <w:t>Interamericana</w:t>
      </w:r>
      <w:r w:rsidR="00D06C88" w:rsidRPr="00112300">
        <w:rPr>
          <w:spacing w:val="-3"/>
          <w:szCs w:val="16"/>
        </w:rPr>
        <w:t xml:space="preserve"> </w:t>
      </w:r>
      <w:r w:rsidR="00D06C88" w:rsidRPr="00112300">
        <w:rPr>
          <w:szCs w:val="16"/>
        </w:rPr>
        <w:t>de</w:t>
      </w:r>
      <w:r w:rsidR="00D06C88" w:rsidRPr="00112300">
        <w:rPr>
          <w:spacing w:val="-4"/>
          <w:szCs w:val="16"/>
        </w:rPr>
        <w:t xml:space="preserve"> </w:t>
      </w:r>
      <w:r w:rsidR="00D06C88" w:rsidRPr="00112300">
        <w:rPr>
          <w:szCs w:val="16"/>
        </w:rPr>
        <w:t>Derechos</w:t>
      </w:r>
      <w:r w:rsidR="00D06C88" w:rsidRPr="00112300">
        <w:rPr>
          <w:spacing w:val="-4"/>
          <w:szCs w:val="16"/>
        </w:rPr>
        <w:t xml:space="preserve"> </w:t>
      </w:r>
      <w:r w:rsidR="00D06C88" w:rsidRPr="00112300">
        <w:rPr>
          <w:szCs w:val="16"/>
        </w:rPr>
        <w:t>Humanos</w:t>
      </w:r>
      <w:r w:rsidR="00D06C88" w:rsidRPr="00112300">
        <w:rPr>
          <w:spacing w:val="-4"/>
          <w:szCs w:val="16"/>
        </w:rPr>
        <w:t xml:space="preserve"> </w:t>
      </w:r>
      <w:r w:rsidR="00D06C88" w:rsidRPr="00112300">
        <w:rPr>
          <w:szCs w:val="16"/>
        </w:rPr>
        <w:t>de</w:t>
      </w:r>
      <w:r w:rsidR="00D06C88" w:rsidRPr="00112300">
        <w:rPr>
          <w:spacing w:val="-4"/>
          <w:szCs w:val="16"/>
        </w:rPr>
        <w:t xml:space="preserve"> </w:t>
      </w:r>
      <w:r w:rsidR="00D06C88" w:rsidRPr="00112300">
        <w:rPr>
          <w:szCs w:val="16"/>
        </w:rPr>
        <w:t>22</w:t>
      </w:r>
      <w:r w:rsidR="00D06C88" w:rsidRPr="00112300">
        <w:rPr>
          <w:spacing w:val="-3"/>
          <w:szCs w:val="16"/>
        </w:rPr>
        <w:t xml:space="preserve"> </w:t>
      </w:r>
      <w:r w:rsidR="00D06C88" w:rsidRPr="00112300">
        <w:rPr>
          <w:szCs w:val="16"/>
        </w:rPr>
        <w:t>de</w:t>
      </w:r>
      <w:r w:rsidR="00D06C88" w:rsidRPr="00112300">
        <w:rPr>
          <w:spacing w:val="-4"/>
          <w:szCs w:val="16"/>
        </w:rPr>
        <w:t xml:space="preserve"> </w:t>
      </w:r>
      <w:r w:rsidR="00D06C88" w:rsidRPr="00112300">
        <w:rPr>
          <w:szCs w:val="16"/>
        </w:rPr>
        <w:t>noviembre</w:t>
      </w:r>
      <w:r w:rsidR="00D06C88" w:rsidRPr="00112300">
        <w:rPr>
          <w:spacing w:val="-4"/>
          <w:szCs w:val="16"/>
        </w:rPr>
        <w:t xml:space="preserve"> </w:t>
      </w:r>
      <w:r w:rsidR="00D06C88" w:rsidRPr="00112300">
        <w:rPr>
          <w:szCs w:val="16"/>
        </w:rPr>
        <w:t>de</w:t>
      </w:r>
      <w:r w:rsidR="00D06C88" w:rsidRPr="00112300">
        <w:rPr>
          <w:spacing w:val="-4"/>
          <w:szCs w:val="16"/>
        </w:rPr>
        <w:t xml:space="preserve"> </w:t>
      </w:r>
      <w:r w:rsidR="00D06C88" w:rsidRPr="00112300">
        <w:rPr>
          <w:szCs w:val="16"/>
        </w:rPr>
        <w:t>2021,</w:t>
      </w:r>
      <w:r w:rsidR="00D06C88" w:rsidRPr="00112300">
        <w:rPr>
          <w:spacing w:val="-4"/>
          <w:szCs w:val="16"/>
        </w:rPr>
        <w:t xml:space="preserve"> </w:t>
      </w:r>
      <w:r w:rsidR="00D06C88" w:rsidRPr="00112300">
        <w:rPr>
          <w:szCs w:val="16"/>
        </w:rPr>
        <w:t>Considerando</w:t>
      </w:r>
      <w:r w:rsidR="00D06C88" w:rsidRPr="00112300">
        <w:rPr>
          <w:spacing w:val="-3"/>
          <w:szCs w:val="16"/>
        </w:rPr>
        <w:t xml:space="preserve"> </w:t>
      </w:r>
      <w:r w:rsidR="00D06C88" w:rsidRPr="00112300">
        <w:rPr>
          <w:szCs w:val="16"/>
        </w:rPr>
        <w:t>2, y</w:t>
      </w:r>
      <w:r w:rsidR="00A01D5B" w:rsidRPr="00112300">
        <w:rPr>
          <w:szCs w:val="16"/>
        </w:rPr>
        <w:t xml:space="preserve"> </w:t>
      </w:r>
      <w:r w:rsidR="00CE608C" w:rsidRPr="00AE0709">
        <w:rPr>
          <w:i/>
          <w:iCs/>
          <w:szCs w:val="16"/>
          <w:lang w:val="es-CR"/>
        </w:rPr>
        <w:t>Asunto Juan Sebastián Chamorro y otros respecto de Nicaragua. Ampliación de Medidas Provisionales</w:t>
      </w:r>
      <w:r w:rsidR="00CE608C" w:rsidRPr="00CE608C">
        <w:rPr>
          <w:szCs w:val="16"/>
          <w:lang w:val="es-CR"/>
        </w:rPr>
        <w:t>. Resolución de la Corte Interamericana de Derechos Humanos de 25 de septiembre de 2023</w:t>
      </w:r>
      <w:r w:rsidR="00D06C88" w:rsidRPr="00112300">
        <w:rPr>
          <w:iCs/>
          <w:szCs w:val="16"/>
        </w:rPr>
        <w:t>, Considerando 2.</w:t>
      </w:r>
    </w:p>
  </w:footnote>
  <w:footnote w:id="15">
    <w:p w14:paraId="3A721A01" w14:textId="770B4CEC" w:rsidR="00CE608C" w:rsidRPr="00CE608C" w:rsidRDefault="00222B31" w:rsidP="00CE608C">
      <w:pPr>
        <w:pStyle w:val="Textonotapie"/>
        <w:spacing w:before="20" w:after="20"/>
        <w:rPr>
          <w:rFonts w:cs="Arial"/>
          <w:szCs w:val="16"/>
          <w:shd w:val="clear" w:color="auto" w:fill="FFFFFF"/>
          <w:lang w:val="es-CR"/>
        </w:rPr>
      </w:pPr>
      <w:r w:rsidRPr="00112300">
        <w:rPr>
          <w:rStyle w:val="Refdenotaalpie"/>
          <w:szCs w:val="16"/>
        </w:rPr>
        <w:footnoteRef/>
      </w:r>
      <w:r w:rsidRPr="00112300">
        <w:rPr>
          <w:szCs w:val="16"/>
        </w:rPr>
        <w:t xml:space="preserve"> </w:t>
      </w:r>
      <w:r w:rsidRPr="00112300">
        <w:rPr>
          <w:szCs w:val="16"/>
        </w:rPr>
        <w:tab/>
      </w:r>
      <w:r w:rsidRPr="00112300">
        <w:rPr>
          <w:i/>
          <w:szCs w:val="16"/>
        </w:rPr>
        <w:t>Cfr</w:t>
      </w:r>
      <w:r w:rsidRPr="00112300">
        <w:rPr>
          <w:szCs w:val="16"/>
        </w:rPr>
        <w:t xml:space="preserve">. </w:t>
      </w:r>
      <w:r w:rsidRPr="00112300">
        <w:rPr>
          <w:i/>
          <w:szCs w:val="16"/>
        </w:rPr>
        <w:t>Asunto Álvarez y otros. Medidas provisionales respecto de Colombia</w:t>
      </w:r>
      <w:r w:rsidRPr="00112300">
        <w:rPr>
          <w:szCs w:val="16"/>
        </w:rPr>
        <w:t xml:space="preserve">. Resolución de la Corte Interamericana de Derechos Humanos de 22 de mayo de 2013, Considerando 2, y </w:t>
      </w:r>
      <w:r w:rsidR="00CE608C" w:rsidRPr="00AE0709">
        <w:rPr>
          <w:rFonts w:cs="Arial"/>
          <w:i/>
          <w:iCs/>
          <w:szCs w:val="16"/>
          <w:shd w:val="clear" w:color="auto" w:fill="FFFFFF"/>
          <w:lang w:val="es-CR"/>
        </w:rPr>
        <w:t>Asunto de la Unidad de Internación Socioeducativa respecto de Brasil. Medidas Provisionales.</w:t>
      </w:r>
      <w:r w:rsidR="00CE608C" w:rsidRPr="00CE608C">
        <w:rPr>
          <w:rFonts w:cs="Arial"/>
          <w:szCs w:val="16"/>
          <w:shd w:val="clear" w:color="auto" w:fill="FFFFFF"/>
          <w:lang w:val="es-CR"/>
        </w:rPr>
        <w:t xml:space="preserve"> Resolución de la Corte Interamericana de Derechos Humanos de 8 de febrero de 2023</w:t>
      </w:r>
      <w:r w:rsidR="00CE608C">
        <w:rPr>
          <w:rFonts w:cs="Arial"/>
          <w:szCs w:val="16"/>
          <w:shd w:val="clear" w:color="auto" w:fill="FFFFFF"/>
          <w:lang w:val="es-CR"/>
        </w:rPr>
        <w:t xml:space="preserve">, Considerando 2. </w:t>
      </w:r>
    </w:p>
    <w:p w14:paraId="58712D62" w14:textId="617BB4D3" w:rsidR="00222B31" w:rsidRPr="00112300" w:rsidRDefault="00222B31" w:rsidP="00112300">
      <w:pPr>
        <w:pStyle w:val="Textonotapie"/>
        <w:spacing w:before="20" w:after="20"/>
        <w:rPr>
          <w:szCs w:val="16"/>
        </w:rPr>
      </w:pPr>
    </w:p>
  </w:footnote>
  <w:footnote w:id="16">
    <w:p w14:paraId="7EE361F6" w14:textId="216EEE55" w:rsidR="00232F26" w:rsidRPr="00232F26" w:rsidRDefault="00222B31" w:rsidP="00232F26">
      <w:pPr>
        <w:pStyle w:val="Textonotapie"/>
        <w:spacing w:before="20" w:after="20"/>
        <w:rPr>
          <w:rFonts w:cs="Arial"/>
          <w:szCs w:val="16"/>
          <w:shd w:val="clear" w:color="auto" w:fill="FFFFFF"/>
          <w:lang w:val="es-CR"/>
        </w:rPr>
      </w:pPr>
      <w:r w:rsidRPr="00112300">
        <w:rPr>
          <w:rStyle w:val="Refdenotaalpie"/>
          <w:szCs w:val="16"/>
        </w:rPr>
        <w:footnoteRef/>
      </w:r>
      <w:r w:rsidRPr="00112300">
        <w:rPr>
          <w:szCs w:val="16"/>
        </w:rPr>
        <w:t xml:space="preserve"> </w:t>
      </w:r>
      <w:r w:rsidRPr="00112300">
        <w:rPr>
          <w:szCs w:val="16"/>
        </w:rPr>
        <w:tab/>
      </w:r>
      <w:r w:rsidRPr="00112300">
        <w:rPr>
          <w:i/>
          <w:szCs w:val="16"/>
        </w:rPr>
        <w:t>Cfr. Asunto James y otros</w:t>
      </w:r>
      <w:r w:rsidRPr="00112300">
        <w:rPr>
          <w:szCs w:val="16"/>
        </w:rPr>
        <w:t xml:space="preserve">. </w:t>
      </w:r>
      <w:r w:rsidRPr="00112300">
        <w:rPr>
          <w:i/>
          <w:szCs w:val="16"/>
        </w:rPr>
        <w:t>Medidas Provisionales respecto de Trinidad y Tobago</w:t>
      </w:r>
      <w:r w:rsidRPr="00112300">
        <w:rPr>
          <w:szCs w:val="16"/>
        </w:rPr>
        <w:t xml:space="preserve">. Resolución de la Corte Interamericana de Derechos Humanos de 14 de junio de 1998, Considerando 6, y </w:t>
      </w:r>
      <w:r w:rsidR="00232F26" w:rsidRPr="00AE0709">
        <w:rPr>
          <w:rFonts w:cs="Arial"/>
          <w:i/>
          <w:iCs/>
          <w:szCs w:val="16"/>
          <w:shd w:val="clear" w:color="auto" w:fill="FFFFFF"/>
          <w:lang w:val="es-CR"/>
        </w:rPr>
        <w:t>Caso Molina Theissen Vs. Guatemala. Solicitud de Medidas Provisionales y Supervisión de Cumplimiento de Sentencia.</w:t>
      </w:r>
      <w:r w:rsidR="00232F26" w:rsidRPr="00232F26">
        <w:rPr>
          <w:rFonts w:cs="Arial"/>
          <w:szCs w:val="16"/>
          <w:shd w:val="clear" w:color="auto" w:fill="FFFFFF"/>
          <w:lang w:val="es-CR"/>
        </w:rPr>
        <w:t xml:space="preserve"> Resolución de la Corte Interamericana de Derechos Humanos de 4 de septiembre de 2023</w:t>
      </w:r>
      <w:r w:rsidR="00232F26">
        <w:rPr>
          <w:rFonts w:cs="Arial"/>
          <w:szCs w:val="16"/>
          <w:shd w:val="clear" w:color="auto" w:fill="FFFFFF"/>
          <w:lang w:val="es-CR"/>
        </w:rPr>
        <w:t xml:space="preserve">, Considerando 33. </w:t>
      </w:r>
    </w:p>
    <w:p w14:paraId="08E6E0CC" w14:textId="74A70EA6" w:rsidR="00222B31" w:rsidRPr="00112300" w:rsidRDefault="00222B31" w:rsidP="00112300">
      <w:pPr>
        <w:pStyle w:val="Textonotapie"/>
        <w:spacing w:before="20" w:after="20"/>
        <w:rPr>
          <w:szCs w:val="16"/>
        </w:rPr>
      </w:pPr>
    </w:p>
  </w:footnote>
  <w:footnote w:id="17">
    <w:p w14:paraId="3E7213BB" w14:textId="484C88FE" w:rsidR="00907794" w:rsidRPr="00907794" w:rsidRDefault="00222B31" w:rsidP="00907794">
      <w:pPr>
        <w:pStyle w:val="Textonotapie"/>
        <w:spacing w:before="20" w:after="20"/>
        <w:rPr>
          <w:rFonts w:cs="Arial"/>
          <w:szCs w:val="16"/>
          <w:shd w:val="clear" w:color="auto" w:fill="FFFFFF"/>
          <w:lang w:val="es-CR"/>
        </w:rPr>
      </w:pPr>
      <w:r w:rsidRPr="00112300">
        <w:rPr>
          <w:rStyle w:val="Refdenotaalpie"/>
          <w:szCs w:val="16"/>
        </w:rPr>
        <w:footnoteRef/>
      </w:r>
      <w:r w:rsidRPr="00112300">
        <w:rPr>
          <w:szCs w:val="16"/>
        </w:rPr>
        <w:t xml:space="preserve"> </w:t>
      </w:r>
      <w:r w:rsidRPr="00112300">
        <w:rPr>
          <w:szCs w:val="16"/>
        </w:rPr>
        <w:tab/>
      </w:r>
      <w:r w:rsidRPr="00112300">
        <w:rPr>
          <w:i/>
          <w:szCs w:val="16"/>
        </w:rPr>
        <w:t xml:space="preserve">Cfr. Asunto </w:t>
      </w:r>
      <w:r w:rsidR="00064D82" w:rsidRPr="00112300">
        <w:rPr>
          <w:i/>
          <w:szCs w:val="16"/>
        </w:rPr>
        <w:t>Eloísa</w:t>
      </w:r>
      <w:r w:rsidRPr="00112300">
        <w:rPr>
          <w:i/>
          <w:szCs w:val="16"/>
        </w:rPr>
        <w:t xml:space="preserve"> Barrios y otros.</w:t>
      </w:r>
      <w:r w:rsidRPr="00112300">
        <w:rPr>
          <w:szCs w:val="16"/>
        </w:rPr>
        <w:t xml:space="preserve"> </w:t>
      </w:r>
      <w:r w:rsidRPr="00112300">
        <w:rPr>
          <w:i/>
          <w:szCs w:val="16"/>
        </w:rPr>
        <w:t>Medidas provisionales respecto de Venezuela</w:t>
      </w:r>
      <w:r w:rsidRPr="00112300">
        <w:rPr>
          <w:szCs w:val="16"/>
        </w:rPr>
        <w:t xml:space="preserve">. Resolución de la Corte Interamericana de Derechos Humanos de 23 de noviembre de 2004, Considerando 12, y </w:t>
      </w:r>
      <w:r w:rsidR="00907794" w:rsidRPr="00AE0709">
        <w:rPr>
          <w:rFonts w:cs="Arial"/>
          <w:i/>
          <w:iCs/>
          <w:szCs w:val="16"/>
          <w:shd w:val="clear" w:color="auto" w:fill="FFFFFF"/>
          <w:lang w:val="es-CR"/>
        </w:rPr>
        <w:t>Asunto Juan Sebastián Chamorro y otros respecto de Nicaragua. Ratificación, ampliación y seguimiento de Medidas Provisionales.</w:t>
      </w:r>
      <w:r w:rsidR="00907794" w:rsidRPr="00907794">
        <w:rPr>
          <w:rFonts w:cs="Arial"/>
          <w:szCs w:val="16"/>
          <w:shd w:val="clear" w:color="auto" w:fill="FFFFFF"/>
          <w:lang w:val="es-CR"/>
        </w:rPr>
        <w:t xml:space="preserve"> Resolución de la Corte Interamericana de Derechos Humanos de 9 de septiembre de 2021</w:t>
      </w:r>
      <w:r w:rsidR="00907794">
        <w:rPr>
          <w:rFonts w:cs="Arial"/>
          <w:szCs w:val="16"/>
          <w:shd w:val="clear" w:color="auto" w:fill="FFFFFF"/>
          <w:lang w:val="es-CR"/>
        </w:rPr>
        <w:t>, Considerando 3.</w:t>
      </w:r>
    </w:p>
    <w:p w14:paraId="1C4A9D92" w14:textId="181A44B2" w:rsidR="00222B31" w:rsidRPr="00112300" w:rsidRDefault="00222B31" w:rsidP="00112300">
      <w:pPr>
        <w:pStyle w:val="Textonotapie"/>
        <w:spacing w:before="20" w:after="20"/>
        <w:rPr>
          <w:szCs w:val="16"/>
        </w:rPr>
      </w:pPr>
    </w:p>
  </w:footnote>
  <w:footnote w:id="18">
    <w:p w14:paraId="0EB944FC" w14:textId="32FC3402" w:rsidR="00271D33" w:rsidRPr="00112300" w:rsidRDefault="00271D33" w:rsidP="00112300">
      <w:pPr>
        <w:pStyle w:val="Textonotapie"/>
        <w:spacing w:before="20" w:after="20"/>
        <w:rPr>
          <w:szCs w:val="16"/>
          <w:lang w:val="es-ES"/>
        </w:rPr>
      </w:pPr>
      <w:r w:rsidRPr="00112300">
        <w:rPr>
          <w:rStyle w:val="Refdenotaalpie"/>
          <w:szCs w:val="16"/>
        </w:rPr>
        <w:footnoteRef/>
      </w:r>
      <w:r w:rsidRPr="00112300">
        <w:rPr>
          <w:szCs w:val="16"/>
        </w:rPr>
        <w:t xml:space="preserve"> </w:t>
      </w:r>
      <w:r w:rsidRPr="00112300">
        <w:rPr>
          <w:szCs w:val="16"/>
        </w:rPr>
        <w:tab/>
        <w:t>Ley N°. 1055. Ley de Defensa de los Derechos del Pueblo a la Independencia, la Soberanía y Autodeterminación para la Paz. 21 de diciembre de 2020.</w:t>
      </w:r>
    </w:p>
  </w:footnote>
  <w:footnote w:id="19">
    <w:p w14:paraId="42CFCB02" w14:textId="67B6D636" w:rsidR="00546BA8" w:rsidRPr="00112300" w:rsidRDefault="00546BA8" w:rsidP="00112300">
      <w:pPr>
        <w:pStyle w:val="Textonotapie"/>
        <w:spacing w:before="20" w:after="20"/>
        <w:rPr>
          <w:szCs w:val="16"/>
          <w:lang w:val="es-CR"/>
        </w:rPr>
      </w:pPr>
      <w:r w:rsidRPr="00112300">
        <w:rPr>
          <w:rStyle w:val="Refdenotaalpie"/>
          <w:szCs w:val="16"/>
        </w:rPr>
        <w:footnoteRef/>
      </w:r>
      <w:r w:rsidRPr="00112300">
        <w:rPr>
          <w:szCs w:val="16"/>
        </w:rPr>
        <w:t xml:space="preserve"> </w:t>
      </w:r>
      <w:r w:rsidR="005D6932" w:rsidRPr="00112300">
        <w:rPr>
          <w:szCs w:val="16"/>
        </w:rPr>
        <w:tab/>
      </w:r>
      <w:r w:rsidR="005D6932" w:rsidRPr="00112300">
        <w:rPr>
          <w:szCs w:val="16"/>
          <w:lang w:val="es-CR"/>
        </w:rPr>
        <w:t>CIDH. Comunicado de Prensa No. 024/23. La CIDH y la OACNUDH condenan la escalada de violaciones de derechos humanos en Nicaragua, de 17 de febrero de 2023.</w:t>
      </w:r>
    </w:p>
  </w:footnote>
  <w:footnote w:id="20">
    <w:p w14:paraId="32A374DF" w14:textId="51FB1B4C" w:rsidR="00B64A1E" w:rsidRPr="00112300" w:rsidRDefault="00B64A1E" w:rsidP="00112300">
      <w:pPr>
        <w:pStyle w:val="Textonotapie"/>
        <w:spacing w:before="20" w:after="20"/>
        <w:rPr>
          <w:szCs w:val="16"/>
          <w:lang w:val="es-CR"/>
        </w:rPr>
      </w:pPr>
      <w:r w:rsidRPr="00112300">
        <w:rPr>
          <w:rStyle w:val="Refdenotaalpie"/>
          <w:szCs w:val="16"/>
        </w:rPr>
        <w:footnoteRef/>
      </w:r>
      <w:r w:rsidRPr="00112300">
        <w:rPr>
          <w:szCs w:val="16"/>
        </w:rPr>
        <w:t xml:space="preserve"> </w:t>
      </w:r>
      <w:r w:rsidRPr="00112300">
        <w:rPr>
          <w:szCs w:val="16"/>
        </w:rPr>
        <w:tab/>
      </w:r>
      <w:r w:rsidRPr="00112300">
        <w:rPr>
          <w:i/>
          <w:szCs w:val="16"/>
        </w:rPr>
        <w:t>Cfr</w:t>
      </w:r>
      <w:r w:rsidRPr="00112300">
        <w:rPr>
          <w:szCs w:val="16"/>
        </w:rPr>
        <w:t>.</w:t>
      </w:r>
      <w:r w:rsidRPr="00112300">
        <w:rPr>
          <w:i/>
          <w:szCs w:val="16"/>
        </w:rPr>
        <w:t xml:space="preserve"> </w:t>
      </w:r>
      <w:r w:rsidRPr="00112300">
        <w:rPr>
          <w:rFonts w:cs="Arial"/>
          <w:i/>
          <w:szCs w:val="16"/>
          <w:shd w:val="clear" w:color="auto" w:fill="FFFFFF"/>
        </w:rPr>
        <w:t>Asunto Juan Sebastián Chamorro y otros respecto de Nicaragua. Medidas Provisionales</w:t>
      </w:r>
      <w:r w:rsidRPr="00112300">
        <w:rPr>
          <w:rFonts w:cs="Arial"/>
          <w:szCs w:val="16"/>
          <w:shd w:val="clear" w:color="auto" w:fill="FFFFFF"/>
        </w:rPr>
        <w:t>. Resolución de la Corte Interamericana de Derechos Humanos de 24 de junio de 2021, Considerando 24</w:t>
      </w:r>
      <w:r w:rsidR="00261539" w:rsidRPr="00112300">
        <w:rPr>
          <w:rFonts w:cs="Arial"/>
          <w:szCs w:val="16"/>
          <w:shd w:val="clear" w:color="auto" w:fill="FFFFFF"/>
        </w:rPr>
        <w:t xml:space="preserve">; </w:t>
      </w:r>
      <w:r w:rsidR="00653D77" w:rsidRPr="00112300">
        <w:rPr>
          <w:rFonts w:cs="Arial"/>
          <w:i/>
          <w:szCs w:val="16"/>
          <w:shd w:val="clear" w:color="auto" w:fill="FFFFFF"/>
        </w:rPr>
        <w:t>Asunto Integrantes del Centro Nicaragüense de Derechos Humanos y de la Comisión Permanente de Derechos Humanos (CENIDH-CPDH) respecto de Nicaragua.</w:t>
      </w:r>
      <w:r w:rsidR="00653D77" w:rsidRPr="00112300">
        <w:rPr>
          <w:rFonts w:cs="Arial"/>
          <w:szCs w:val="16"/>
          <w:shd w:val="clear" w:color="auto" w:fill="FFFFFF"/>
        </w:rPr>
        <w:t xml:space="preserve"> Medidas Provisionales. Resolución de la Corte Interamericana de Derechos Humanos de 1 de septiembre de 2021, Considerando 21</w:t>
      </w:r>
      <w:r w:rsidR="007918F7">
        <w:rPr>
          <w:rFonts w:cs="Arial"/>
          <w:szCs w:val="16"/>
          <w:shd w:val="clear" w:color="auto" w:fill="FFFFFF"/>
        </w:rPr>
        <w:t>.</w:t>
      </w:r>
    </w:p>
  </w:footnote>
  <w:footnote w:id="21">
    <w:p w14:paraId="647C29A9" w14:textId="745D4443" w:rsidR="00B64A1E" w:rsidRPr="00112300" w:rsidRDefault="00B64A1E" w:rsidP="00112300">
      <w:pPr>
        <w:pStyle w:val="Textonotapie"/>
        <w:spacing w:before="20" w:after="20"/>
        <w:rPr>
          <w:i/>
          <w:szCs w:val="16"/>
        </w:rPr>
      </w:pPr>
      <w:r w:rsidRPr="00112300">
        <w:rPr>
          <w:rStyle w:val="Refdenotaalpie"/>
          <w:szCs w:val="16"/>
        </w:rPr>
        <w:footnoteRef/>
      </w:r>
      <w:r w:rsidRPr="00112300">
        <w:rPr>
          <w:szCs w:val="16"/>
        </w:rPr>
        <w:t xml:space="preserve"> </w:t>
      </w:r>
      <w:r w:rsidRPr="00112300">
        <w:rPr>
          <w:szCs w:val="16"/>
        </w:rPr>
        <w:tab/>
      </w:r>
      <w:r w:rsidRPr="00112300">
        <w:rPr>
          <w:i/>
          <w:szCs w:val="16"/>
        </w:rPr>
        <w:t>Cfr. Asunto Integrantes del Centro Nicaragüense de Derechos Humanos y de la Comisión Permanente de Derechos Humanos (CENIDH-CPDH) respecto de Nicaragua. Medidas Provisionales</w:t>
      </w:r>
      <w:r w:rsidRPr="00112300">
        <w:rPr>
          <w:szCs w:val="16"/>
        </w:rPr>
        <w:t>. Resolución de la Corte Interamericana de Derechos Humanos de 1 de septiembre de 2021, Considerando 21.</w:t>
      </w:r>
    </w:p>
  </w:footnote>
  <w:footnote w:id="22">
    <w:p w14:paraId="54E816E1" w14:textId="66CE94C7" w:rsidR="00AD2C21" w:rsidRPr="00112300" w:rsidRDefault="00AD2C21" w:rsidP="00112300">
      <w:pPr>
        <w:pStyle w:val="Textonotapie"/>
        <w:spacing w:before="20" w:after="20"/>
        <w:rPr>
          <w:szCs w:val="16"/>
        </w:rPr>
      </w:pPr>
      <w:r w:rsidRPr="00112300">
        <w:rPr>
          <w:rStyle w:val="Refdenotaalpie"/>
          <w:szCs w:val="16"/>
        </w:rPr>
        <w:footnoteRef/>
      </w:r>
      <w:r w:rsidRPr="00112300">
        <w:rPr>
          <w:szCs w:val="16"/>
        </w:rPr>
        <w:t xml:space="preserve"> </w:t>
      </w:r>
      <w:r w:rsidRPr="00112300">
        <w:rPr>
          <w:szCs w:val="16"/>
        </w:rPr>
        <w:tab/>
      </w:r>
      <w:r w:rsidRPr="00112300">
        <w:rPr>
          <w:i/>
          <w:iCs/>
          <w:szCs w:val="16"/>
        </w:rPr>
        <w:t>Cfr</w:t>
      </w:r>
      <w:r w:rsidRPr="00112300">
        <w:rPr>
          <w:szCs w:val="16"/>
        </w:rPr>
        <w:t>. Resoluciones emitidas el 15 de febrero de 2023 contra 94 acusados por el Ministerio Público conspiración para cometer menoscabo a la integridad nacional en concurso real con el delito de propagación de noticias falsas, Puntos Resolutivos (expediente de Medidas Provisionales, folios 1749 a 1750)</w:t>
      </w:r>
      <w:r w:rsidR="000327CC">
        <w:rPr>
          <w:szCs w:val="16"/>
        </w:rPr>
        <w:t>.</w:t>
      </w:r>
    </w:p>
  </w:footnote>
  <w:footnote w:id="23">
    <w:p w14:paraId="6F9812E0" w14:textId="70F5CACC" w:rsidR="00AD2C21" w:rsidRPr="00112300" w:rsidRDefault="00AD2C21" w:rsidP="00112300">
      <w:pPr>
        <w:pStyle w:val="Textonotapie"/>
        <w:spacing w:before="20" w:after="20"/>
        <w:rPr>
          <w:szCs w:val="16"/>
        </w:rPr>
      </w:pPr>
      <w:r w:rsidRPr="00112300">
        <w:rPr>
          <w:rStyle w:val="Refdenotaalpie"/>
          <w:szCs w:val="16"/>
        </w:rPr>
        <w:footnoteRef/>
      </w:r>
      <w:r w:rsidRPr="00112300">
        <w:rPr>
          <w:szCs w:val="16"/>
        </w:rPr>
        <w:t xml:space="preserve"> </w:t>
      </w:r>
      <w:r w:rsidRPr="00112300">
        <w:rPr>
          <w:szCs w:val="16"/>
        </w:rPr>
        <w:tab/>
      </w:r>
      <w:r w:rsidRPr="00112300">
        <w:rPr>
          <w:i/>
          <w:iCs/>
          <w:szCs w:val="16"/>
        </w:rPr>
        <w:t>Cfr</w:t>
      </w:r>
      <w:r w:rsidRPr="00112300">
        <w:rPr>
          <w:szCs w:val="16"/>
        </w:rPr>
        <w:t>. Resoluciones emitidas el 15 de febrero de 2023 contra 94 acusados por el Ministerio Público conspiración para cometer menoscabo a la integridad nacional en concurso real con el delito de propagación de noticias falsas, Puntos Resolutivos (expediente de Medidas Provisionales, folios 1749 a 1750)</w:t>
      </w:r>
      <w:r w:rsidR="000327CC">
        <w:rPr>
          <w:szCs w:val="16"/>
        </w:rPr>
        <w:t>.</w:t>
      </w:r>
    </w:p>
  </w:footnote>
  <w:footnote w:id="24">
    <w:p w14:paraId="2681746E" w14:textId="0E34AC12" w:rsidR="00AD2C21" w:rsidRPr="00112300" w:rsidRDefault="00AD2C21" w:rsidP="00112300">
      <w:pPr>
        <w:pStyle w:val="Textonotapie"/>
        <w:spacing w:before="20" w:after="20"/>
        <w:rPr>
          <w:szCs w:val="16"/>
        </w:rPr>
      </w:pPr>
      <w:r w:rsidRPr="00112300">
        <w:rPr>
          <w:rStyle w:val="Refdenotaalpie"/>
          <w:szCs w:val="16"/>
        </w:rPr>
        <w:footnoteRef/>
      </w:r>
      <w:r w:rsidRPr="00112300">
        <w:rPr>
          <w:szCs w:val="16"/>
        </w:rPr>
        <w:t xml:space="preserve"> </w:t>
      </w:r>
      <w:r w:rsidRPr="00112300">
        <w:rPr>
          <w:szCs w:val="16"/>
        </w:rPr>
        <w:tab/>
      </w:r>
      <w:r w:rsidR="00482AA6" w:rsidRPr="00112300">
        <w:rPr>
          <w:i/>
          <w:iCs/>
          <w:szCs w:val="16"/>
        </w:rPr>
        <w:t>Cfr</w:t>
      </w:r>
      <w:r w:rsidR="00482AA6" w:rsidRPr="00112300">
        <w:rPr>
          <w:szCs w:val="16"/>
        </w:rPr>
        <w:t xml:space="preserve">. </w:t>
      </w:r>
      <w:r w:rsidR="00347EEF" w:rsidRPr="00112300">
        <w:rPr>
          <w:szCs w:val="16"/>
        </w:rPr>
        <w:t>Corte Suprema de Justicia, Consejo Nacional de Administración y Carrera Judicial, Resolución de 11 de mayo de 2023 (expediente de prueba, folio 1782).</w:t>
      </w:r>
    </w:p>
  </w:footnote>
  <w:footnote w:id="25">
    <w:p w14:paraId="38191B81" w14:textId="0964B678" w:rsidR="00AD2C21" w:rsidRPr="00112300" w:rsidRDefault="00AD2C21" w:rsidP="00112300">
      <w:pPr>
        <w:pStyle w:val="Textonotapie"/>
        <w:spacing w:before="20" w:after="20"/>
        <w:rPr>
          <w:szCs w:val="16"/>
        </w:rPr>
      </w:pPr>
      <w:r w:rsidRPr="00112300">
        <w:rPr>
          <w:rStyle w:val="Refdenotaalpie"/>
          <w:szCs w:val="16"/>
        </w:rPr>
        <w:footnoteRef/>
      </w:r>
      <w:r w:rsidRPr="00112300">
        <w:rPr>
          <w:szCs w:val="16"/>
        </w:rPr>
        <w:t xml:space="preserve"> </w:t>
      </w:r>
      <w:r w:rsidRPr="00112300">
        <w:rPr>
          <w:szCs w:val="16"/>
        </w:rPr>
        <w:tab/>
      </w:r>
      <w:r w:rsidRPr="00112300">
        <w:rPr>
          <w:i/>
          <w:iCs/>
          <w:szCs w:val="16"/>
        </w:rPr>
        <w:t>Cfr</w:t>
      </w:r>
      <w:r w:rsidRPr="00112300">
        <w:rPr>
          <w:szCs w:val="16"/>
        </w:rPr>
        <w:t>. Resoluciones emitidas el 15 de febrero de 2023 contra 94 acusados por el Ministerio Público conspiración para cometer menoscabo a la integridad nacional en concurso real con el delito de propagación de noticias falsas, Puntos Resolutivos (expediente de Medidas Provisionales, folios 1749 a 1750)</w:t>
      </w:r>
      <w:r w:rsidR="000327CC">
        <w:rPr>
          <w:szCs w:val="16"/>
        </w:rPr>
        <w:t>.</w:t>
      </w:r>
    </w:p>
  </w:footnote>
  <w:footnote w:id="26">
    <w:p w14:paraId="7FC9AF9F" w14:textId="1A51AB1A" w:rsidR="00AD2C21" w:rsidRPr="00112300" w:rsidRDefault="00AD2C21" w:rsidP="00112300">
      <w:pPr>
        <w:pStyle w:val="Textonotapie"/>
        <w:spacing w:before="20" w:after="20"/>
        <w:rPr>
          <w:szCs w:val="16"/>
        </w:rPr>
      </w:pPr>
      <w:r w:rsidRPr="00112300">
        <w:rPr>
          <w:rStyle w:val="Refdenotaalpie"/>
          <w:szCs w:val="16"/>
        </w:rPr>
        <w:footnoteRef/>
      </w:r>
      <w:r w:rsidRPr="00112300">
        <w:rPr>
          <w:szCs w:val="16"/>
        </w:rPr>
        <w:t xml:space="preserve"> </w:t>
      </w:r>
      <w:r w:rsidRPr="00112300">
        <w:rPr>
          <w:szCs w:val="16"/>
        </w:rPr>
        <w:tab/>
      </w:r>
      <w:r w:rsidRPr="00112300">
        <w:rPr>
          <w:i/>
          <w:iCs/>
          <w:szCs w:val="16"/>
        </w:rPr>
        <w:t>Cfr</w:t>
      </w:r>
      <w:r w:rsidRPr="00112300">
        <w:rPr>
          <w:szCs w:val="16"/>
        </w:rPr>
        <w:t>. Resoluciones emitidas el 15 de febrero de 2023 contra 94 acusados por el Ministerio Público conspiración para cometer menoscabo a la integridad nacional en concurso real con el delito de propagación de noticias falsas, Puntos Resolutivos (expediente de Medidas Provisionales, folios 1749 a 1750)</w:t>
      </w:r>
      <w:r w:rsidR="000327CC">
        <w:rPr>
          <w:szCs w:val="16"/>
        </w:rPr>
        <w:t>.</w:t>
      </w:r>
      <w:r w:rsidRPr="00112300">
        <w:rPr>
          <w:szCs w:val="16"/>
        </w:rPr>
        <w:t xml:space="preserve"> </w:t>
      </w:r>
    </w:p>
  </w:footnote>
  <w:footnote w:id="27">
    <w:p w14:paraId="5EDEBD91" w14:textId="15CE876E" w:rsidR="00D75716" w:rsidRPr="00112300" w:rsidRDefault="00D75716" w:rsidP="00112300">
      <w:pPr>
        <w:pStyle w:val="Textonotapie"/>
        <w:spacing w:before="20" w:after="20"/>
        <w:rPr>
          <w:szCs w:val="16"/>
        </w:rPr>
      </w:pPr>
      <w:r w:rsidRPr="00112300">
        <w:rPr>
          <w:rStyle w:val="Refdenotaalpie"/>
          <w:szCs w:val="16"/>
        </w:rPr>
        <w:footnoteRef/>
      </w:r>
      <w:r w:rsidRPr="00112300">
        <w:rPr>
          <w:szCs w:val="16"/>
        </w:rPr>
        <w:t xml:space="preserve"> </w:t>
      </w:r>
      <w:r w:rsidRPr="00112300">
        <w:rPr>
          <w:szCs w:val="16"/>
        </w:rPr>
        <w:tab/>
      </w:r>
      <w:r w:rsidRPr="00112300">
        <w:rPr>
          <w:i/>
          <w:iCs/>
          <w:szCs w:val="16"/>
        </w:rPr>
        <w:t>Cfr</w:t>
      </w:r>
      <w:r w:rsidRPr="00112300">
        <w:rPr>
          <w:szCs w:val="16"/>
        </w:rPr>
        <w:t xml:space="preserve">. </w:t>
      </w:r>
      <w:r w:rsidRPr="00A03BBB">
        <w:rPr>
          <w:i/>
          <w:iCs/>
          <w:szCs w:val="16"/>
        </w:rPr>
        <w:t>Asunto 45 personas privadas de su libertad en ocho centros de detención respecto de Nicaragua. Medidas Provisionales.</w:t>
      </w:r>
      <w:r w:rsidRPr="00112300">
        <w:rPr>
          <w:szCs w:val="16"/>
        </w:rPr>
        <w:t xml:space="preserve"> Resolución de la Corte Interamericana de Derechos Humanos de 4 de octubre de 2022, Considerando </w:t>
      </w:r>
      <w:r w:rsidR="00FC3471" w:rsidRPr="00112300">
        <w:rPr>
          <w:szCs w:val="16"/>
        </w:rPr>
        <w:t>253</w:t>
      </w:r>
      <w:r w:rsidRPr="00112300">
        <w:rPr>
          <w:szCs w:val="16"/>
        </w:rPr>
        <w:t>.</w:t>
      </w:r>
      <w:r w:rsidR="00FC3471" w:rsidRPr="00112300">
        <w:rPr>
          <w:szCs w:val="16"/>
        </w:rPr>
        <w:t xml:space="preserve"> Ver también, </w:t>
      </w:r>
      <w:r w:rsidR="00FC3471" w:rsidRPr="00A03BBB">
        <w:rPr>
          <w:i/>
          <w:iCs/>
          <w:szCs w:val="16"/>
        </w:rPr>
        <w:t xml:space="preserve">Asunto Juan Sebastián Chamorro y otros respecto de Nicaragua. Medidas Provisionales. </w:t>
      </w:r>
      <w:r w:rsidR="00FC3471" w:rsidRPr="00112300">
        <w:rPr>
          <w:szCs w:val="16"/>
        </w:rPr>
        <w:t>Resolución de la Corte Interamericana de Derechos Humanos de 8 de febrero de 2023, Considerando 22.</w:t>
      </w:r>
    </w:p>
  </w:footnote>
  <w:footnote w:id="28">
    <w:p w14:paraId="7385A7FD" w14:textId="224C179D" w:rsidR="00FE695E" w:rsidRPr="00112300" w:rsidRDefault="00FE695E" w:rsidP="00112300">
      <w:pPr>
        <w:pStyle w:val="Textonotapie"/>
        <w:spacing w:before="20" w:after="20"/>
        <w:rPr>
          <w:szCs w:val="16"/>
          <w:lang w:val="es-ES"/>
        </w:rPr>
      </w:pPr>
      <w:r w:rsidRPr="00112300">
        <w:rPr>
          <w:rStyle w:val="Refdenotaalpie"/>
          <w:szCs w:val="16"/>
        </w:rPr>
        <w:footnoteRef/>
      </w:r>
      <w:r w:rsidRPr="00112300">
        <w:rPr>
          <w:szCs w:val="16"/>
        </w:rPr>
        <w:t xml:space="preserve"> </w:t>
      </w:r>
      <w:r w:rsidR="00A641C1" w:rsidRPr="00112300">
        <w:rPr>
          <w:szCs w:val="16"/>
        </w:rPr>
        <w:tab/>
      </w:r>
      <w:r w:rsidR="00A641C1" w:rsidRPr="00112300">
        <w:rPr>
          <w:i/>
          <w:iCs/>
          <w:szCs w:val="16"/>
        </w:rPr>
        <w:t>Cfr</w:t>
      </w:r>
      <w:r w:rsidR="00A641C1" w:rsidRPr="00112300">
        <w:rPr>
          <w:szCs w:val="16"/>
        </w:rPr>
        <w:t xml:space="preserve">. </w:t>
      </w:r>
      <w:r w:rsidR="00A641C1" w:rsidRPr="00A03BBB">
        <w:rPr>
          <w:i/>
          <w:iCs/>
          <w:szCs w:val="16"/>
        </w:rPr>
        <w:t>Asunto 45 personas privadas de su libertad en ocho centros de detención respecto de Nicaragua. Medidas Provisionales.</w:t>
      </w:r>
      <w:r w:rsidR="00A641C1" w:rsidRPr="00112300">
        <w:rPr>
          <w:szCs w:val="16"/>
        </w:rPr>
        <w:t xml:space="preserve"> Resolución de la Corte Interamericana de Derechos Humanos de 4 de octubre de 2022, Considerandos 40, 51, 61 y 83</w:t>
      </w:r>
      <w:r w:rsidR="0099181F" w:rsidRPr="00112300">
        <w:rPr>
          <w:szCs w:val="16"/>
        </w:rPr>
        <w:t xml:space="preserve">, </w:t>
      </w:r>
      <w:r w:rsidR="0099181F" w:rsidRPr="00A03BBB">
        <w:rPr>
          <w:i/>
          <w:iCs/>
          <w:szCs w:val="16"/>
        </w:rPr>
        <w:t xml:space="preserve">Asunto Juan Sebastián Chamorro y otros respecto de Nicaragua. Ampliación de Medidas Provisionales. </w:t>
      </w:r>
      <w:r w:rsidR="0099181F" w:rsidRPr="00112300">
        <w:rPr>
          <w:szCs w:val="16"/>
        </w:rPr>
        <w:t xml:space="preserve">Resolución de la Corte Interamericana de Derechos Humanos de 25 de septiembre de 2023, </w:t>
      </w:r>
      <w:r w:rsidR="004D20DA">
        <w:rPr>
          <w:szCs w:val="16"/>
        </w:rPr>
        <w:t>Considerando</w:t>
      </w:r>
      <w:r w:rsidR="0099181F" w:rsidRPr="00112300">
        <w:rPr>
          <w:szCs w:val="16"/>
        </w:rPr>
        <w:t>. 34.</w:t>
      </w:r>
    </w:p>
  </w:footnote>
  <w:footnote w:id="29">
    <w:p w14:paraId="0FFAF097" w14:textId="07B9010C" w:rsidR="00183769" w:rsidRPr="00112300" w:rsidRDefault="00183769" w:rsidP="00112300">
      <w:pPr>
        <w:pStyle w:val="Textonotapie"/>
        <w:spacing w:before="20" w:after="20"/>
        <w:rPr>
          <w:szCs w:val="16"/>
          <w:lang w:val="es-ES"/>
        </w:rPr>
      </w:pPr>
      <w:r w:rsidRPr="00112300">
        <w:rPr>
          <w:rStyle w:val="Refdenotaalpie"/>
          <w:szCs w:val="16"/>
        </w:rPr>
        <w:footnoteRef/>
      </w:r>
      <w:r w:rsidRPr="00112300">
        <w:rPr>
          <w:szCs w:val="16"/>
        </w:rPr>
        <w:t xml:space="preserve"> </w:t>
      </w:r>
      <w:r w:rsidR="00431BB4" w:rsidRPr="00112300">
        <w:rPr>
          <w:szCs w:val="16"/>
        </w:rPr>
        <w:tab/>
      </w:r>
      <w:r w:rsidR="00431BB4" w:rsidRPr="00112300">
        <w:rPr>
          <w:i/>
          <w:iCs/>
          <w:szCs w:val="16"/>
        </w:rPr>
        <w:t>Cfr</w:t>
      </w:r>
      <w:r w:rsidR="00431BB4" w:rsidRPr="00112300">
        <w:rPr>
          <w:szCs w:val="16"/>
        </w:rPr>
        <w:t xml:space="preserve">. </w:t>
      </w:r>
      <w:r w:rsidR="00431BB4" w:rsidRPr="00A03BBB">
        <w:rPr>
          <w:i/>
          <w:iCs/>
          <w:szCs w:val="16"/>
        </w:rPr>
        <w:t>Asunto 45 personas privadas de su libertad en ocho centros de detención respecto de Nicaragua. Medidas Provisionales.</w:t>
      </w:r>
      <w:r w:rsidR="00431BB4" w:rsidRPr="00112300">
        <w:rPr>
          <w:szCs w:val="16"/>
        </w:rPr>
        <w:t xml:space="preserve"> Resolución de la Corte Interamericana de Derechos Humanos de 4 de octubre de 2022, Considerando 94</w:t>
      </w:r>
      <w:r w:rsidR="0099181F" w:rsidRPr="00112300">
        <w:rPr>
          <w:szCs w:val="16"/>
        </w:rPr>
        <w:t xml:space="preserve">, y </w:t>
      </w:r>
      <w:r w:rsidR="0099181F" w:rsidRPr="00A03BBB">
        <w:rPr>
          <w:i/>
          <w:iCs/>
          <w:szCs w:val="16"/>
        </w:rPr>
        <w:t>Asunto Juan Sebastián Chamorro y otros respecto de Nicaragua. Ampliación de Medidas Provisionales.</w:t>
      </w:r>
      <w:r w:rsidR="0099181F" w:rsidRPr="00112300">
        <w:rPr>
          <w:szCs w:val="16"/>
        </w:rPr>
        <w:t xml:space="preserve"> Resolución de la Corte Interamericana de Derechos Humanos de 25 de septiembre de 2023, </w:t>
      </w:r>
      <w:r w:rsidR="004D20DA">
        <w:rPr>
          <w:szCs w:val="16"/>
        </w:rPr>
        <w:t>Considerando</w:t>
      </w:r>
      <w:r w:rsidR="0099181F" w:rsidRPr="00112300">
        <w:rPr>
          <w:szCs w:val="16"/>
        </w:rPr>
        <w:t>. 34.</w:t>
      </w:r>
    </w:p>
  </w:footnote>
  <w:footnote w:id="30">
    <w:p w14:paraId="0809D1BD" w14:textId="0273C788" w:rsidR="00183769" w:rsidRPr="00112300" w:rsidRDefault="00183769" w:rsidP="00112300">
      <w:pPr>
        <w:pStyle w:val="Textonotapie"/>
        <w:spacing w:before="20" w:after="20"/>
        <w:rPr>
          <w:szCs w:val="16"/>
          <w:lang w:val="es-ES"/>
        </w:rPr>
      </w:pPr>
      <w:r w:rsidRPr="00112300">
        <w:rPr>
          <w:rStyle w:val="Refdenotaalpie"/>
          <w:szCs w:val="16"/>
        </w:rPr>
        <w:footnoteRef/>
      </w:r>
      <w:r w:rsidRPr="00112300">
        <w:rPr>
          <w:szCs w:val="16"/>
        </w:rPr>
        <w:t xml:space="preserve"> </w:t>
      </w:r>
      <w:r w:rsidR="00431BB4" w:rsidRPr="00112300">
        <w:rPr>
          <w:szCs w:val="16"/>
        </w:rPr>
        <w:tab/>
      </w:r>
      <w:r w:rsidR="00431BB4" w:rsidRPr="00112300">
        <w:rPr>
          <w:i/>
          <w:iCs/>
          <w:szCs w:val="16"/>
        </w:rPr>
        <w:t>Cfr</w:t>
      </w:r>
      <w:r w:rsidR="00431BB4" w:rsidRPr="00112300">
        <w:rPr>
          <w:szCs w:val="16"/>
        </w:rPr>
        <w:t xml:space="preserve">. </w:t>
      </w:r>
      <w:r w:rsidR="00431BB4" w:rsidRPr="00A03BBB">
        <w:rPr>
          <w:i/>
          <w:iCs/>
          <w:szCs w:val="16"/>
        </w:rPr>
        <w:t>Asunto 45 personas privadas de su libertad en ocho centros de detención respecto de Nicaragua. Medidas Provisionales.</w:t>
      </w:r>
      <w:r w:rsidR="00431BB4" w:rsidRPr="00112300">
        <w:rPr>
          <w:szCs w:val="16"/>
        </w:rPr>
        <w:t xml:space="preserve"> Resolución de la Corte Interamericana de Derechos Humanos de 4 de octubre de 2022, Considerandos 46 y 94</w:t>
      </w:r>
      <w:r w:rsidR="0099181F" w:rsidRPr="00112300">
        <w:rPr>
          <w:szCs w:val="16"/>
        </w:rPr>
        <w:t xml:space="preserve">, y </w:t>
      </w:r>
      <w:r w:rsidR="0099181F" w:rsidRPr="00A03BBB">
        <w:rPr>
          <w:i/>
          <w:iCs/>
          <w:szCs w:val="16"/>
        </w:rPr>
        <w:t>Asunto Juan Sebastián Chamorro y otros respecto de Nicaragua. Ampliación de Medidas Provisionales.</w:t>
      </w:r>
      <w:r w:rsidR="0099181F" w:rsidRPr="00112300">
        <w:rPr>
          <w:szCs w:val="16"/>
        </w:rPr>
        <w:t xml:space="preserve"> Resolución de la Corte Interamericana de Derechos Humanos de 25 de septiembre de 2023</w:t>
      </w:r>
      <w:r w:rsidR="00C46C67" w:rsidRPr="00112300">
        <w:rPr>
          <w:szCs w:val="16"/>
        </w:rPr>
        <w:t xml:space="preserve">, </w:t>
      </w:r>
      <w:r w:rsidR="004D20DA">
        <w:rPr>
          <w:szCs w:val="16"/>
        </w:rPr>
        <w:t>Considerando</w:t>
      </w:r>
      <w:r w:rsidR="00C46C67" w:rsidRPr="00112300">
        <w:rPr>
          <w:szCs w:val="16"/>
        </w:rPr>
        <w:t>. 34.</w:t>
      </w:r>
    </w:p>
  </w:footnote>
  <w:footnote w:id="31">
    <w:p w14:paraId="6A51BF2E" w14:textId="48962459" w:rsidR="002E6534" w:rsidRPr="00112300" w:rsidRDefault="002E6534" w:rsidP="00112300">
      <w:pPr>
        <w:pStyle w:val="Textonotapie"/>
        <w:spacing w:before="20" w:after="20"/>
        <w:rPr>
          <w:szCs w:val="16"/>
          <w:lang w:val="es-ES"/>
        </w:rPr>
      </w:pPr>
      <w:r w:rsidRPr="00112300">
        <w:rPr>
          <w:rStyle w:val="Refdenotaalpie"/>
          <w:szCs w:val="16"/>
        </w:rPr>
        <w:footnoteRef/>
      </w:r>
      <w:r w:rsidRPr="00112300">
        <w:rPr>
          <w:szCs w:val="16"/>
        </w:rPr>
        <w:t xml:space="preserve"> </w:t>
      </w:r>
      <w:r w:rsidRPr="00112300">
        <w:rPr>
          <w:szCs w:val="16"/>
          <w:lang w:val="es-ES"/>
        </w:rPr>
        <w:tab/>
      </w:r>
      <w:r w:rsidRPr="00112300">
        <w:rPr>
          <w:i/>
          <w:iCs/>
          <w:szCs w:val="16"/>
          <w:lang w:val="es-ES"/>
        </w:rPr>
        <w:t>Cfr</w:t>
      </w:r>
      <w:r w:rsidRPr="00112300">
        <w:rPr>
          <w:szCs w:val="16"/>
          <w:lang w:val="es-ES"/>
        </w:rPr>
        <w:t xml:space="preserve">. </w:t>
      </w:r>
      <w:r w:rsidR="00DB6208" w:rsidRPr="00112300">
        <w:rPr>
          <w:i/>
          <w:iCs/>
          <w:szCs w:val="16"/>
        </w:rPr>
        <w:t>Asunto Monseñor Rolando José Álvarez Lagos respecto de Nicaragua. Adopción de Medidas Provisionales.</w:t>
      </w:r>
      <w:r w:rsidR="00DB6208" w:rsidRPr="00112300">
        <w:rPr>
          <w:szCs w:val="16"/>
        </w:rPr>
        <w:t xml:space="preserve"> Resolución de la Corte Interamericana de Derechos Humanos de 27 de junio de 2023, </w:t>
      </w:r>
      <w:r w:rsidR="003466BF" w:rsidRPr="00112300">
        <w:rPr>
          <w:szCs w:val="16"/>
        </w:rPr>
        <w:t xml:space="preserve">Considerando 44. </w:t>
      </w:r>
    </w:p>
  </w:footnote>
  <w:footnote w:id="32">
    <w:p w14:paraId="1B867206" w14:textId="385534F7" w:rsidR="00701422" w:rsidRPr="00112300" w:rsidRDefault="00701422" w:rsidP="00112300">
      <w:pPr>
        <w:pStyle w:val="Textonotapie"/>
        <w:spacing w:before="20" w:after="20"/>
        <w:rPr>
          <w:szCs w:val="16"/>
        </w:rPr>
      </w:pPr>
      <w:r w:rsidRPr="00112300">
        <w:rPr>
          <w:rStyle w:val="Refdenotaalpie"/>
          <w:szCs w:val="16"/>
        </w:rPr>
        <w:footnoteRef/>
      </w:r>
      <w:r w:rsidRPr="00112300">
        <w:rPr>
          <w:szCs w:val="16"/>
        </w:rPr>
        <w:t xml:space="preserve"> </w:t>
      </w:r>
      <w:r w:rsidR="00DD4B41" w:rsidRPr="00112300">
        <w:rPr>
          <w:szCs w:val="16"/>
        </w:rPr>
        <w:tab/>
      </w:r>
      <w:r w:rsidR="00272BB4" w:rsidRPr="00112300">
        <w:rPr>
          <w:i/>
          <w:iCs/>
          <w:szCs w:val="16"/>
        </w:rPr>
        <w:t>Cfr</w:t>
      </w:r>
      <w:r w:rsidR="00272BB4" w:rsidRPr="00112300">
        <w:rPr>
          <w:szCs w:val="16"/>
        </w:rPr>
        <w:t xml:space="preserve">. </w:t>
      </w:r>
      <w:r w:rsidR="00DD4B41" w:rsidRPr="00112300">
        <w:rPr>
          <w:i/>
          <w:iCs/>
          <w:szCs w:val="16"/>
        </w:rPr>
        <w:t>Asunto Integrantes del Centro Nicaragüense de Derechos Humanos y de la Comisión Permanente de Derechos Humanos (CENIDH-CPDH) respecto de Nicaragua. Medidas Provisionales.</w:t>
      </w:r>
      <w:r w:rsidR="00DD4B41" w:rsidRPr="00112300">
        <w:rPr>
          <w:szCs w:val="16"/>
        </w:rPr>
        <w:t xml:space="preserve"> Resolución de la Corte Interamericana de Derechos Humanos de 1 de septiembre de 2021, Considerando 25, y </w:t>
      </w:r>
      <w:r w:rsidR="007F0F14" w:rsidRPr="00112300">
        <w:rPr>
          <w:i/>
          <w:iCs/>
          <w:szCs w:val="16"/>
        </w:rPr>
        <w:t>Asunto Integrantes del Centro Nicaragüense de Derechos Humanos y de la Comisión Permanente de Derechos Humanos (CENIDH-CPDH) respecto de Nicaragua. Medidas Provisionales.</w:t>
      </w:r>
      <w:r w:rsidR="007F0F14" w:rsidRPr="00112300">
        <w:rPr>
          <w:szCs w:val="16"/>
        </w:rPr>
        <w:t xml:space="preserve"> Resolución de la Corte Interamericana de Derechos Humanos de 14 de octubre de 2021, Considerando </w:t>
      </w:r>
      <w:r w:rsidR="00272BB4" w:rsidRPr="00112300">
        <w:rPr>
          <w:szCs w:val="16"/>
        </w:rPr>
        <w:t>11.</w:t>
      </w:r>
    </w:p>
  </w:footnote>
  <w:footnote w:id="33">
    <w:p w14:paraId="450EC0AA" w14:textId="0DF08D68" w:rsidR="00867C80" w:rsidRPr="00112300" w:rsidRDefault="00867C80" w:rsidP="00867C80">
      <w:pPr>
        <w:pStyle w:val="Textonotapie"/>
        <w:spacing w:before="20" w:after="20"/>
        <w:rPr>
          <w:szCs w:val="16"/>
          <w:lang w:val="es-ES"/>
        </w:rPr>
      </w:pPr>
      <w:r w:rsidRPr="00112300">
        <w:rPr>
          <w:rStyle w:val="Refdenotaalpie"/>
          <w:szCs w:val="16"/>
        </w:rPr>
        <w:footnoteRef/>
      </w:r>
      <w:r w:rsidRPr="00112300">
        <w:rPr>
          <w:szCs w:val="16"/>
        </w:rPr>
        <w:t xml:space="preserve"> </w:t>
      </w:r>
      <w:r w:rsidRPr="00112300">
        <w:rPr>
          <w:szCs w:val="16"/>
        </w:rPr>
        <w:tab/>
      </w:r>
      <w:r w:rsidRPr="00112300">
        <w:rPr>
          <w:i/>
          <w:iCs/>
          <w:szCs w:val="16"/>
        </w:rPr>
        <w:t>Cfr</w:t>
      </w:r>
      <w:r w:rsidRPr="00112300">
        <w:rPr>
          <w:szCs w:val="16"/>
        </w:rPr>
        <w:t xml:space="preserve">. </w:t>
      </w:r>
      <w:r w:rsidRPr="00112300">
        <w:rPr>
          <w:i/>
          <w:iCs/>
          <w:szCs w:val="16"/>
        </w:rPr>
        <w:t>Asunto Juan Sebastián Chamorro y otros respecto de Nicaragua</w:t>
      </w:r>
      <w:r w:rsidRPr="00112300">
        <w:rPr>
          <w:szCs w:val="16"/>
        </w:rPr>
        <w:t xml:space="preserve">. </w:t>
      </w:r>
      <w:r w:rsidRPr="00A03BBB">
        <w:rPr>
          <w:i/>
          <w:iCs/>
          <w:szCs w:val="16"/>
        </w:rPr>
        <w:t>Medidas Provisionales.</w:t>
      </w:r>
      <w:r w:rsidRPr="00112300">
        <w:rPr>
          <w:szCs w:val="16"/>
        </w:rPr>
        <w:t xml:space="preserve"> Resolución de la Corte Interamericana de Derechos Humanos de 24 de junio de 2021, Considerando 41 y</w:t>
      </w:r>
      <w:r w:rsidR="00E517F8">
        <w:rPr>
          <w:rFonts w:eastAsia="MS Mincho" w:cs="Open Sans"/>
          <w:color w:val="494848"/>
          <w:szCs w:val="16"/>
          <w:shd w:val="clear" w:color="auto" w:fill="FFFFFF"/>
          <w:lang w:eastAsia="en-US"/>
        </w:rPr>
        <w:t xml:space="preserve"> </w:t>
      </w:r>
      <w:r w:rsidRPr="00A03BBB">
        <w:rPr>
          <w:i/>
          <w:iCs/>
          <w:szCs w:val="16"/>
        </w:rPr>
        <w:t>Asunto Integrantes del Equipo Periodístico de la Radio “La Costeñísima” respecto de Nicaragua. Medidas Provisionales.</w:t>
      </w:r>
      <w:r w:rsidRPr="00112300">
        <w:rPr>
          <w:szCs w:val="16"/>
        </w:rPr>
        <w:t xml:space="preserve"> Resolución de la Corte Interamericana de Derechos Humanos de 22 de marzo de 2023, Considerando 19. </w:t>
      </w:r>
    </w:p>
  </w:footnote>
  <w:footnote w:id="34">
    <w:p w14:paraId="62020283" w14:textId="77777777" w:rsidR="00867C80" w:rsidRPr="00112300" w:rsidRDefault="00867C80" w:rsidP="00867C80">
      <w:pPr>
        <w:pStyle w:val="Textonotapie"/>
        <w:spacing w:before="20" w:after="20"/>
        <w:rPr>
          <w:szCs w:val="16"/>
        </w:rPr>
      </w:pPr>
      <w:r w:rsidRPr="00112300">
        <w:rPr>
          <w:rStyle w:val="Refdenotaalpie"/>
          <w:szCs w:val="16"/>
        </w:rPr>
        <w:footnoteRef/>
      </w:r>
      <w:r w:rsidRPr="00112300">
        <w:rPr>
          <w:szCs w:val="16"/>
        </w:rPr>
        <w:t xml:space="preserve"> </w:t>
      </w:r>
      <w:r w:rsidRPr="00112300">
        <w:rPr>
          <w:szCs w:val="16"/>
        </w:rPr>
        <w:tab/>
      </w:r>
      <w:r w:rsidRPr="00112300">
        <w:rPr>
          <w:i/>
          <w:iCs/>
          <w:szCs w:val="16"/>
        </w:rPr>
        <w:t>Cfr</w:t>
      </w:r>
      <w:r w:rsidRPr="00112300">
        <w:rPr>
          <w:szCs w:val="16"/>
        </w:rPr>
        <w:t xml:space="preserve">. </w:t>
      </w:r>
      <w:r w:rsidRPr="00A03BBB">
        <w:rPr>
          <w:i/>
          <w:iCs/>
          <w:szCs w:val="16"/>
        </w:rPr>
        <w:t xml:space="preserve">El hábeas corpus bajo suspensión de garantías (Arts. 27.2, 25.1 y 7.6 Convención Americana sobre Derechos Humanos). </w:t>
      </w:r>
      <w:r w:rsidRPr="00112300">
        <w:rPr>
          <w:szCs w:val="16"/>
        </w:rPr>
        <w:t xml:space="preserve">Opinión Consultiva OC-8/87 de 30 de enero de 1987. Serie A No. 8, y </w:t>
      </w:r>
      <w:r w:rsidRPr="00A03BBB">
        <w:rPr>
          <w:i/>
          <w:iCs/>
          <w:szCs w:val="16"/>
        </w:rPr>
        <w:t>Asunto 45 personas privadas de su libertad en ocho centros de detención respecto de Nicaragua. Medidas Provisionales.</w:t>
      </w:r>
      <w:r w:rsidRPr="00112300">
        <w:rPr>
          <w:szCs w:val="16"/>
        </w:rPr>
        <w:t xml:space="preserve"> Resolución de la Corte Interamericana de Derechos Humanos de 4 de octubre de 2022, Considerando 165.</w:t>
      </w:r>
    </w:p>
  </w:footnote>
  <w:footnote w:id="35">
    <w:p w14:paraId="13D52B65" w14:textId="11A05A65" w:rsidR="0033022A" w:rsidRPr="0033022A" w:rsidRDefault="0033022A">
      <w:pPr>
        <w:pStyle w:val="Textonotapie"/>
        <w:rPr>
          <w:szCs w:val="16"/>
          <w:lang w:val="es-ES"/>
        </w:rPr>
      </w:pPr>
      <w:r w:rsidRPr="0033022A">
        <w:rPr>
          <w:rStyle w:val="Refdenotaalpie"/>
          <w:szCs w:val="16"/>
        </w:rPr>
        <w:footnoteRef/>
      </w:r>
      <w:r w:rsidRPr="0033022A">
        <w:rPr>
          <w:szCs w:val="16"/>
        </w:rPr>
        <w:t xml:space="preserve"> </w:t>
      </w:r>
      <w:r w:rsidRPr="0033022A">
        <w:rPr>
          <w:szCs w:val="16"/>
          <w:lang w:val="es-ES"/>
        </w:rPr>
        <w:tab/>
      </w:r>
      <w:r w:rsidRPr="0033022A">
        <w:rPr>
          <w:i/>
          <w:iCs/>
          <w:szCs w:val="16"/>
          <w:lang w:val="es-ES"/>
        </w:rPr>
        <w:t xml:space="preserve">Cfr. </w:t>
      </w:r>
      <w:r w:rsidRPr="0033022A">
        <w:rPr>
          <w:rFonts w:cs="Open Sans"/>
          <w:i/>
          <w:iCs/>
          <w:szCs w:val="16"/>
          <w:shd w:val="clear" w:color="auto" w:fill="FFFFFF"/>
        </w:rPr>
        <w:t>Asunto Monseñor Rolando José Álvarez Lagos respecto de Nicaragua. Adopción de Medidas Provisionales.</w:t>
      </w:r>
      <w:r w:rsidRPr="0033022A">
        <w:rPr>
          <w:rFonts w:cs="Open Sans"/>
          <w:szCs w:val="16"/>
          <w:shd w:val="clear" w:color="auto" w:fill="FFFFFF"/>
        </w:rPr>
        <w:t xml:space="preserve"> Resolución de la Corte Interamericana de Derechos Humanos de 27 de junio de 2023, Considerando 57. </w:t>
      </w:r>
    </w:p>
  </w:footnote>
  <w:footnote w:id="36">
    <w:p w14:paraId="3195F6BD" w14:textId="704EF311" w:rsidR="00867C80" w:rsidRPr="00BB25AB" w:rsidRDefault="00867C80" w:rsidP="00867C80">
      <w:pPr>
        <w:spacing w:before="40" w:after="40"/>
        <w:jc w:val="both"/>
        <w:rPr>
          <w:sz w:val="16"/>
          <w:szCs w:val="16"/>
        </w:rPr>
      </w:pPr>
      <w:r w:rsidRPr="00BB25AB">
        <w:rPr>
          <w:rStyle w:val="Refdenotaalpie"/>
          <w:sz w:val="16"/>
          <w:szCs w:val="16"/>
        </w:rPr>
        <w:footnoteRef/>
      </w:r>
      <w:r w:rsidRPr="005E58DF">
        <w:rPr>
          <w:sz w:val="16"/>
          <w:szCs w:val="16"/>
          <w:lang w:val="pt-BR"/>
        </w:rPr>
        <w:tab/>
      </w:r>
      <w:r w:rsidRPr="00723B5D">
        <w:rPr>
          <w:rFonts w:ascii="Verdana" w:hAnsi="Verdana" w:cs="Verdana-Italic"/>
          <w:i/>
          <w:iCs/>
          <w:sz w:val="16"/>
          <w:szCs w:val="16"/>
          <w:lang w:val="pt-BR"/>
        </w:rPr>
        <w:t xml:space="preserve">Cfr. </w:t>
      </w:r>
      <w:r w:rsidRPr="00723B5D">
        <w:rPr>
          <w:rFonts w:ascii="Verdana" w:hAnsi="Verdana"/>
          <w:i/>
          <w:sz w:val="16"/>
          <w:szCs w:val="16"/>
          <w:lang w:val="pt-BR"/>
        </w:rPr>
        <w:t xml:space="preserve">Caso Nogueira de Carvalho y otros Vs. </w:t>
      </w:r>
      <w:r w:rsidRPr="005F7957">
        <w:rPr>
          <w:rFonts w:ascii="Verdana" w:hAnsi="Verdana"/>
          <w:i/>
          <w:sz w:val="16"/>
          <w:szCs w:val="16"/>
          <w:lang w:val="pt-BR"/>
        </w:rPr>
        <w:t xml:space="preserve">Brasil. </w:t>
      </w:r>
      <w:r w:rsidRPr="00723B5D">
        <w:rPr>
          <w:rFonts w:ascii="Verdana" w:hAnsi="Verdana"/>
          <w:i/>
          <w:sz w:val="16"/>
          <w:szCs w:val="16"/>
        </w:rPr>
        <w:t>Excepciones Preliminares y Fondo</w:t>
      </w:r>
      <w:r w:rsidRPr="00723B5D">
        <w:rPr>
          <w:rFonts w:ascii="Verdana" w:hAnsi="Verdana"/>
          <w:sz w:val="16"/>
          <w:szCs w:val="16"/>
        </w:rPr>
        <w:t xml:space="preserve">. Sentencia de 28 de noviembre de 2006. Serie C No. 161, párr. 74, y </w:t>
      </w:r>
      <w:r w:rsidR="00F734DC" w:rsidRPr="00F734DC">
        <w:rPr>
          <w:rFonts w:ascii="Verdana" w:hAnsi="Verdana" w:cs="Open Sans"/>
          <w:i/>
          <w:iCs/>
          <w:sz w:val="16"/>
          <w:szCs w:val="16"/>
          <w:shd w:val="clear" w:color="auto" w:fill="FFFFFF"/>
        </w:rPr>
        <w:t xml:space="preserve">Caso Sales Pimenta Vs. Brasil. Excepciones Preliminares, Fondo, Reparaciones y Costas. </w:t>
      </w:r>
      <w:r w:rsidR="00F734DC" w:rsidRPr="00AE0709">
        <w:rPr>
          <w:rFonts w:ascii="Verdana" w:hAnsi="Verdana" w:cs="Open Sans"/>
          <w:sz w:val="16"/>
          <w:szCs w:val="16"/>
          <w:shd w:val="clear" w:color="auto" w:fill="FFFFFF"/>
        </w:rPr>
        <w:t>Sentencia de 30 de junio de 2022. Serie C No. 454</w:t>
      </w:r>
      <w:r w:rsidR="00F734DC">
        <w:rPr>
          <w:rFonts w:ascii="Verdana" w:hAnsi="Verdana" w:cs="Open Sans"/>
          <w:sz w:val="16"/>
          <w:szCs w:val="16"/>
          <w:shd w:val="clear" w:color="auto" w:fill="FFFFFF"/>
        </w:rPr>
        <w:t>, párr. 88.</w:t>
      </w:r>
    </w:p>
  </w:footnote>
  <w:footnote w:id="37">
    <w:p w14:paraId="61276D47" w14:textId="0151F468" w:rsidR="00867C80" w:rsidRPr="00BB25AB" w:rsidRDefault="00867C80" w:rsidP="00867C80">
      <w:pPr>
        <w:pStyle w:val="Textonotapie"/>
        <w:spacing w:before="40" w:after="40"/>
        <w:rPr>
          <w:szCs w:val="16"/>
          <w:lang w:val="es-ES"/>
        </w:rPr>
      </w:pPr>
      <w:r w:rsidRPr="00BB25AB">
        <w:rPr>
          <w:rStyle w:val="Refdenotaalpie"/>
          <w:szCs w:val="16"/>
        </w:rPr>
        <w:footnoteRef/>
      </w:r>
      <w:r w:rsidRPr="00BB25AB">
        <w:rPr>
          <w:szCs w:val="16"/>
        </w:rPr>
        <w:t xml:space="preserve"> </w:t>
      </w:r>
      <w:r w:rsidRPr="00BB25AB">
        <w:rPr>
          <w:szCs w:val="16"/>
        </w:rPr>
        <w:tab/>
      </w:r>
      <w:r w:rsidRPr="00BB25AB">
        <w:rPr>
          <w:i/>
          <w:spacing w:val="-12"/>
          <w:szCs w:val="16"/>
          <w:lang w:val="es-GT"/>
        </w:rPr>
        <w:t xml:space="preserve">Cfr. </w:t>
      </w:r>
      <w:r w:rsidRPr="00BB25AB">
        <w:rPr>
          <w:i/>
          <w:szCs w:val="16"/>
        </w:rPr>
        <w:t>Caso Valle Jaramillo y otros Vs. Colombia. Fondo, Reparaciones y Costas.</w:t>
      </w:r>
      <w:r w:rsidRPr="00BB25AB">
        <w:rPr>
          <w:szCs w:val="16"/>
        </w:rPr>
        <w:t xml:space="preserve"> Sentencia de 27 de noviembre de 2008. Serie C No. 192, párr. 88</w:t>
      </w:r>
      <w:r w:rsidRPr="00723B5D">
        <w:rPr>
          <w:szCs w:val="16"/>
        </w:rPr>
        <w:t xml:space="preserve">, y </w:t>
      </w:r>
      <w:r w:rsidR="00F734DC" w:rsidRPr="00F734DC">
        <w:rPr>
          <w:rFonts w:cs="Open Sans"/>
          <w:i/>
          <w:iCs/>
          <w:szCs w:val="16"/>
          <w:shd w:val="clear" w:color="auto" w:fill="FFFFFF"/>
        </w:rPr>
        <w:t>Caso Sales Pimenta Vs. Brasil</w:t>
      </w:r>
      <w:r w:rsidR="00F734DC">
        <w:rPr>
          <w:rFonts w:cs="Open Sans"/>
          <w:i/>
          <w:iCs/>
          <w:szCs w:val="16"/>
          <w:shd w:val="clear" w:color="auto" w:fill="FFFFFF"/>
        </w:rPr>
        <w:t>, supra</w:t>
      </w:r>
      <w:r w:rsidR="00F734DC" w:rsidRPr="00F734DC">
        <w:rPr>
          <w:rFonts w:cs="Open Sans"/>
          <w:i/>
          <w:iCs/>
          <w:szCs w:val="16"/>
          <w:shd w:val="clear" w:color="auto" w:fill="FFFFFF"/>
        </w:rPr>
        <w:t xml:space="preserve">, </w:t>
      </w:r>
      <w:r w:rsidR="00F734DC" w:rsidRPr="00AE0709">
        <w:rPr>
          <w:rFonts w:cs="Open Sans"/>
          <w:szCs w:val="16"/>
          <w:shd w:val="clear" w:color="auto" w:fill="FFFFFF"/>
        </w:rPr>
        <w:t>párr. 88.</w:t>
      </w:r>
    </w:p>
  </w:footnote>
  <w:footnote w:id="38">
    <w:p w14:paraId="5E53993E" w14:textId="78A3AF88" w:rsidR="00424C78" w:rsidRPr="00112300" w:rsidRDefault="00424C78" w:rsidP="00112300">
      <w:pPr>
        <w:pStyle w:val="Textonotapie"/>
        <w:spacing w:before="20" w:after="20"/>
        <w:rPr>
          <w:szCs w:val="16"/>
        </w:rPr>
      </w:pPr>
      <w:r w:rsidRPr="00112300">
        <w:rPr>
          <w:rStyle w:val="Refdenotaalpie"/>
          <w:szCs w:val="16"/>
        </w:rPr>
        <w:footnoteRef/>
      </w:r>
      <w:r w:rsidRPr="00112300">
        <w:rPr>
          <w:szCs w:val="16"/>
        </w:rPr>
        <w:t xml:space="preserve"> </w:t>
      </w:r>
      <w:r w:rsidRPr="00112300">
        <w:rPr>
          <w:szCs w:val="16"/>
        </w:rPr>
        <w:tab/>
      </w:r>
      <w:r w:rsidRPr="00112300">
        <w:rPr>
          <w:i/>
          <w:szCs w:val="16"/>
        </w:rPr>
        <w:t>Cfr.</w:t>
      </w:r>
      <w:r w:rsidRPr="00112300">
        <w:rPr>
          <w:szCs w:val="16"/>
        </w:rPr>
        <w:t xml:space="preserve"> </w:t>
      </w:r>
      <w:r w:rsidRPr="00112300">
        <w:rPr>
          <w:i/>
          <w:szCs w:val="16"/>
        </w:rPr>
        <w:t>Caso González y otras (“Campo Algodonero”) Vs. México. Excepción Preliminar, Fondo, Reparaciones y Costas</w:t>
      </w:r>
      <w:r w:rsidRPr="00112300">
        <w:rPr>
          <w:szCs w:val="16"/>
        </w:rPr>
        <w:t>. Sentencia de 16 de noviembre de 2009. Serie C No. 205, párr. 33</w:t>
      </w:r>
      <w:r w:rsidR="00095275" w:rsidRPr="00112300">
        <w:rPr>
          <w:szCs w:val="16"/>
        </w:rPr>
        <w:t xml:space="preserve">; </w:t>
      </w:r>
      <w:r w:rsidRPr="00112300">
        <w:rPr>
          <w:rFonts w:cs="Arial"/>
          <w:i/>
          <w:szCs w:val="16"/>
          <w:shd w:val="clear" w:color="auto" w:fill="FFFFFF"/>
          <w:lang w:val="es-ES"/>
        </w:rPr>
        <w:t xml:space="preserve">Asunto Juan Sebastián Chamorro y otros respecto de Nicaragua. Medidas Provisionales. </w:t>
      </w:r>
      <w:r w:rsidRPr="00112300">
        <w:rPr>
          <w:rFonts w:cs="Arial"/>
          <w:iCs/>
          <w:szCs w:val="16"/>
          <w:shd w:val="clear" w:color="auto" w:fill="FFFFFF"/>
          <w:lang w:val="es-ES"/>
        </w:rPr>
        <w:t>Resolución de la Corte Interamericana de Derechos Humanos de 22 de noviembre de 2021, Considerando 41</w:t>
      </w:r>
      <w:r w:rsidR="0041560E" w:rsidRPr="00112300">
        <w:rPr>
          <w:rFonts w:cs="Arial"/>
          <w:iCs/>
          <w:szCs w:val="16"/>
          <w:shd w:val="clear" w:color="auto" w:fill="FFFFFF"/>
          <w:lang w:val="es-ES"/>
        </w:rPr>
        <w:t xml:space="preserve">, y </w:t>
      </w:r>
      <w:bookmarkStart w:id="2" w:name="_Hlk148704326"/>
      <w:r w:rsidR="004F0434" w:rsidRPr="00AE0709">
        <w:rPr>
          <w:rFonts w:cs="Arial"/>
          <w:i/>
          <w:szCs w:val="16"/>
          <w:shd w:val="clear" w:color="auto" w:fill="FFFFFF"/>
        </w:rPr>
        <w:t>Asunto Juan Sebastián Chamorro y otros y 45 personas privadas de su libertad en ocho centros de detención respecto de Nicaragua. Medidas Provisionales.</w:t>
      </w:r>
      <w:r w:rsidR="004F0434" w:rsidRPr="004F0434">
        <w:rPr>
          <w:rFonts w:cs="Arial"/>
          <w:iCs/>
          <w:szCs w:val="16"/>
          <w:shd w:val="clear" w:color="auto" w:fill="FFFFFF"/>
        </w:rPr>
        <w:t xml:space="preserve"> Resolución de la Corte Interamericana de Derechos Humanos de 22 de noviembre de 2022</w:t>
      </w:r>
      <w:r w:rsidR="004F0434">
        <w:rPr>
          <w:rFonts w:cs="Arial"/>
          <w:iCs/>
          <w:szCs w:val="16"/>
          <w:shd w:val="clear" w:color="auto" w:fill="FFFFFF"/>
        </w:rPr>
        <w:t>, Considerando 24.</w:t>
      </w:r>
      <w:bookmarkEnd w:id="2"/>
      <w:r w:rsidR="00E02F16">
        <w:rPr>
          <w:rFonts w:cs="Arial"/>
          <w:iCs/>
          <w:szCs w:val="16"/>
          <w:shd w:val="clear" w:color="auto" w:fill="FFFFFF"/>
        </w:rPr>
        <w:t xml:space="preserve"> </w:t>
      </w:r>
      <w:r w:rsidRPr="00112300">
        <w:rPr>
          <w:rFonts w:cs="Arial"/>
          <w:iCs/>
          <w:szCs w:val="16"/>
          <w:shd w:val="clear" w:color="auto" w:fill="FFFFFF"/>
          <w:lang w:val="es-ES"/>
        </w:rPr>
        <w:t>También véase</w:t>
      </w:r>
      <w:r w:rsidRPr="00112300">
        <w:rPr>
          <w:szCs w:val="16"/>
        </w:rPr>
        <w:t xml:space="preserve"> </w:t>
      </w:r>
      <w:r w:rsidRPr="00112300">
        <w:rPr>
          <w:i/>
          <w:szCs w:val="16"/>
        </w:rPr>
        <w:t>La denuncia de la Convención Americana sobre Derechos Humanos y de la Carta de la Organización de los Estados Americanos y sus efectos sobre las obligaciones estatales en materia de derechos humanos (Interpretación y alcance de los artículos 1, 2, 27, 29, 30, 31, 32, 33 a 65 y 78 de la Convención Americana sobre Derechos Humanos y 3.l), 17, 45, 53, 106 y 143 de la Carta de la Organización de los Estados Americanos)</w:t>
      </w:r>
      <w:r w:rsidRPr="00112300">
        <w:rPr>
          <w:szCs w:val="16"/>
        </w:rPr>
        <w:t xml:space="preserve">. Opinión Consultiva OC-26/20 de 9 de noviembre de 2020. Serie A No. 26, párr. 56. </w:t>
      </w:r>
    </w:p>
  </w:footnote>
  <w:footnote w:id="39">
    <w:p w14:paraId="482AB6E4" w14:textId="61B5A118" w:rsidR="00424C78" w:rsidRPr="00112300" w:rsidRDefault="00424C78" w:rsidP="00112300">
      <w:pPr>
        <w:pStyle w:val="Textonotapie"/>
        <w:spacing w:before="20" w:after="20"/>
        <w:rPr>
          <w:szCs w:val="16"/>
          <w:lang w:val="es-CR"/>
        </w:rPr>
      </w:pPr>
      <w:r w:rsidRPr="00112300">
        <w:rPr>
          <w:rStyle w:val="Refdenotaalpie"/>
          <w:szCs w:val="16"/>
        </w:rPr>
        <w:footnoteRef/>
      </w:r>
      <w:r w:rsidRPr="00112300">
        <w:rPr>
          <w:szCs w:val="16"/>
        </w:rPr>
        <w:t xml:space="preserve"> </w:t>
      </w:r>
      <w:r w:rsidRPr="00112300">
        <w:rPr>
          <w:szCs w:val="16"/>
        </w:rPr>
        <w:tab/>
      </w:r>
      <w:r w:rsidRPr="00112300">
        <w:rPr>
          <w:i/>
          <w:szCs w:val="16"/>
        </w:rPr>
        <w:t>Cfr.</w:t>
      </w:r>
      <w:r w:rsidRPr="00112300">
        <w:rPr>
          <w:szCs w:val="16"/>
        </w:rPr>
        <w:t xml:space="preserve"> Asamblea General de la OEA, Carta Democrática Interamericana, Resolución AG/RES. 1 (XXVIII-E/01) de 11 de septiembre de 2001, </w:t>
      </w:r>
      <w:r w:rsidRPr="00112300">
        <w:rPr>
          <w:i/>
          <w:szCs w:val="16"/>
        </w:rPr>
        <w:t>La figura de la reelección presidencial indefinida en Sistemas Presidenciales en el contexto del Sistema Interamericano de Derechos Humanos (Interpretación y alcance de los artículos 1, 23, 24 y 32 de la Convención Americana sobre Derechos Humanos, XX de la Declaración Americana de los Derechos y Deberes del Hombre, 3.d de la Carta de la Organización de los Estados Americanos y de la Carta Democrática Interamericana)</w:t>
      </w:r>
      <w:r w:rsidRPr="00112300">
        <w:rPr>
          <w:szCs w:val="16"/>
        </w:rPr>
        <w:t>. Opinión Consultiva OC-28/21 de 7 de junio de 2021. Serie A No. 28, párr. 44</w:t>
      </w:r>
      <w:r w:rsidR="00550D0B" w:rsidRPr="00112300">
        <w:rPr>
          <w:szCs w:val="16"/>
        </w:rPr>
        <w:t>;</w:t>
      </w:r>
      <w:r w:rsidRPr="00112300">
        <w:rPr>
          <w:szCs w:val="16"/>
        </w:rPr>
        <w:t xml:space="preserve"> </w:t>
      </w:r>
      <w:r w:rsidRPr="00112300">
        <w:rPr>
          <w:i/>
          <w:iCs/>
          <w:szCs w:val="16"/>
        </w:rPr>
        <w:t>Asunto Juan Sebastián Chamorro y otros respecto de Nicaragua. Medidas Provisionales</w:t>
      </w:r>
      <w:r w:rsidRPr="00112300">
        <w:rPr>
          <w:szCs w:val="16"/>
        </w:rPr>
        <w:t>. Resolución de la Corte Interamericana de Derechos Humanos de 22 de noviembre de 2021, Considerando 41</w:t>
      </w:r>
      <w:r w:rsidR="00550D0B" w:rsidRPr="00112300">
        <w:rPr>
          <w:szCs w:val="16"/>
        </w:rPr>
        <w:t xml:space="preserve">, </w:t>
      </w:r>
      <w:r w:rsidR="004F0434" w:rsidRPr="00AE0709">
        <w:rPr>
          <w:rFonts w:cs="Arial"/>
          <w:i/>
          <w:szCs w:val="16"/>
          <w:shd w:val="clear" w:color="auto" w:fill="FFFFFF"/>
        </w:rPr>
        <w:t>Asunto Juan Sebastián Chamorro y otros y 45 personas privadas de su libertad en ocho centros de detención respecto de Nicaragua. Medidas Provisionales.</w:t>
      </w:r>
      <w:r w:rsidR="004F0434" w:rsidRPr="004F0434">
        <w:rPr>
          <w:rFonts w:cs="Arial"/>
          <w:iCs/>
          <w:szCs w:val="16"/>
          <w:shd w:val="clear" w:color="auto" w:fill="FFFFFF"/>
        </w:rPr>
        <w:t xml:space="preserve"> Resolución de la Corte Interamericana de Derechos Humanos de 22 de noviembre de 2022</w:t>
      </w:r>
      <w:r w:rsidR="00550D0B" w:rsidRPr="00112300">
        <w:rPr>
          <w:rFonts w:cs="Arial"/>
          <w:iCs/>
          <w:szCs w:val="16"/>
          <w:shd w:val="clear" w:color="auto" w:fill="FFFFFF"/>
        </w:rPr>
        <w:t>, Considerando 24.</w:t>
      </w:r>
    </w:p>
  </w:footnote>
  <w:footnote w:id="40">
    <w:p w14:paraId="29B71ABA" w14:textId="71FF8926" w:rsidR="00424C78" w:rsidRPr="00112300" w:rsidRDefault="00424C78" w:rsidP="00112300">
      <w:pPr>
        <w:pStyle w:val="Textonotapie"/>
        <w:spacing w:before="20" w:after="20"/>
        <w:rPr>
          <w:szCs w:val="16"/>
        </w:rPr>
      </w:pPr>
      <w:r w:rsidRPr="00112300">
        <w:rPr>
          <w:rStyle w:val="Refdenotaalpie"/>
          <w:szCs w:val="16"/>
        </w:rPr>
        <w:footnoteRef/>
      </w:r>
      <w:r w:rsidRPr="00112300">
        <w:rPr>
          <w:szCs w:val="16"/>
        </w:rPr>
        <w:t xml:space="preserve"> </w:t>
      </w:r>
      <w:r w:rsidRPr="00112300">
        <w:rPr>
          <w:szCs w:val="16"/>
        </w:rPr>
        <w:tab/>
      </w:r>
      <w:r w:rsidRPr="00112300">
        <w:rPr>
          <w:i/>
          <w:szCs w:val="16"/>
        </w:rPr>
        <w:t xml:space="preserve">Cfr. Caso Fleury y otros Vs. Haití. Supervisión de Cumplimiento de Sentencia. </w:t>
      </w:r>
      <w:r w:rsidRPr="00112300">
        <w:rPr>
          <w:szCs w:val="16"/>
        </w:rPr>
        <w:t>Resolución de la Corte Interamericana de Derechos Humanos de 22 de noviembre de 2019</w:t>
      </w:r>
      <w:r w:rsidR="00160075" w:rsidRPr="00112300">
        <w:rPr>
          <w:szCs w:val="16"/>
        </w:rPr>
        <w:t xml:space="preserve">; </w:t>
      </w:r>
      <w:r w:rsidRPr="00112300">
        <w:rPr>
          <w:rFonts w:cs="Arial"/>
          <w:i/>
          <w:szCs w:val="16"/>
          <w:shd w:val="clear" w:color="auto" w:fill="FFFFFF"/>
          <w:lang w:val="es-ES"/>
        </w:rPr>
        <w:t xml:space="preserve">Asunto Juan Sebastián Chamorro y otros respecto de Nicaragua. Medidas Provisionales. </w:t>
      </w:r>
      <w:r w:rsidRPr="00112300">
        <w:rPr>
          <w:rFonts w:cs="Arial"/>
          <w:iCs/>
          <w:szCs w:val="16"/>
          <w:shd w:val="clear" w:color="auto" w:fill="FFFFFF"/>
          <w:lang w:val="es-ES"/>
        </w:rPr>
        <w:t>Resolución de la Corte Interamericana de Derechos Humanos de 22 de noviembre de 2021, Considerando 42</w:t>
      </w:r>
      <w:r w:rsidR="00160075" w:rsidRPr="00112300">
        <w:rPr>
          <w:rFonts w:cs="Arial"/>
          <w:iCs/>
          <w:szCs w:val="16"/>
          <w:shd w:val="clear" w:color="auto" w:fill="FFFFFF"/>
          <w:lang w:val="es-ES"/>
        </w:rPr>
        <w:t xml:space="preserve">, y </w:t>
      </w:r>
      <w:r w:rsidR="004F0434" w:rsidRPr="00816F92">
        <w:rPr>
          <w:rFonts w:cs="Arial"/>
          <w:i/>
          <w:szCs w:val="16"/>
          <w:shd w:val="clear" w:color="auto" w:fill="FFFFFF"/>
        </w:rPr>
        <w:t>Asunto Juan Sebastián Chamorro y otros y 45 personas privadas de su libertad en ocho centros de detención respecto de Nicaragua. Medidas Provisionales.</w:t>
      </w:r>
      <w:r w:rsidR="004F0434" w:rsidRPr="004F0434">
        <w:rPr>
          <w:rFonts w:cs="Arial"/>
          <w:iCs/>
          <w:szCs w:val="16"/>
          <w:shd w:val="clear" w:color="auto" w:fill="FFFFFF"/>
        </w:rPr>
        <w:t xml:space="preserve"> Resolución de la Corte Interamericana de Derechos Humanos de 22 de noviembre de 2022</w:t>
      </w:r>
      <w:r w:rsidR="004F0434">
        <w:rPr>
          <w:rFonts w:cs="Arial"/>
          <w:iCs/>
          <w:szCs w:val="16"/>
          <w:shd w:val="clear" w:color="auto" w:fill="FFFFFF"/>
        </w:rPr>
        <w:t>, Considerando 25.</w:t>
      </w:r>
    </w:p>
  </w:footnote>
  <w:footnote w:id="41">
    <w:p w14:paraId="56A42BB9" w14:textId="4F49DC2E" w:rsidR="00424C78" w:rsidRPr="00112300" w:rsidRDefault="00424C78" w:rsidP="00112300">
      <w:pPr>
        <w:pStyle w:val="Textonotapie"/>
        <w:spacing w:before="20" w:after="20"/>
        <w:rPr>
          <w:szCs w:val="16"/>
        </w:rPr>
      </w:pPr>
      <w:r w:rsidRPr="00112300">
        <w:rPr>
          <w:rStyle w:val="Refdenotaalpie"/>
          <w:szCs w:val="16"/>
        </w:rPr>
        <w:footnoteRef/>
      </w:r>
      <w:r w:rsidRPr="00112300">
        <w:rPr>
          <w:szCs w:val="16"/>
        </w:rPr>
        <w:t xml:space="preserve"> </w:t>
      </w:r>
      <w:r w:rsidRPr="00112300">
        <w:rPr>
          <w:szCs w:val="16"/>
        </w:rPr>
        <w:tab/>
      </w:r>
      <w:r w:rsidRPr="00112300">
        <w:rPr>
          <w:i/>
          <w:szCs w:val="16"/>
        </w:rPr>
        <w:t>Cfr.</w:t>
      </w:r>
      <w:r w:rsidRPr="00112300">
        <w:rPr>
          <w:szCs w:val="16"/>
        </w:rPr>
        <w:t xml:space="preserve"> </w:t>
      </w:r>
      <w:r w:rsidRPr="00112300">
        <w:rPr>
          <w:i/>
          <w:szCs w:val="16"/>
        </w:rPr>
        <w:t>La denuncia de la Convención Americana sobre Derechos Humanos y de la Carta de la Organización de los Estados Americanos y sus efectos sobre las obligaciones estatales en materia de derechos humanos (Interpretación y alcance de los artículos 1, 2, 27, 29, 30, 31, 32, 33 a 65 y 78 de la Convención Americana sobre Derechos Humanos y 3.l), 17, 45, 53, 106 y 143 de la Carta de la Organización de los Estados Americanos)</w:t>
      </w:r>
      <w:r w:rsidRPr="00112300">
        <w:rPr>
          <w:szCs w:val="16"/>
        </w:rPr>
        <w:t>. Opinión Consultiva OC-26/20 de 9 de noviembre de 2020. Serie A No. 26</w:t>
      </w:r>
      <w:r w:rsidR="00160075" w:rsidRPr="00112300">
        <w:rPr>
          <w:szCs w:val="16"/>
        </w:rPr>
        <w:t xml:space="preserve">; </w:t>
      </w:r>
      <w:r w:rsidRPr="00112300">
        <w:rPr>
          <w:rFonts w:cs="Arial"/>
          <w:i/>
          <w:szCs w:val="16"/>
          <w:shd w:val="clear" w:color="auto" w:fill="FFFFFF"/>
          <w:lang w:val="es-ES"/>
        </w:rPr>
        <w:t xml:space="preserve">Asunto Juan Sebastián Chamorro y otros respecto de Nicaragua. Medidas Provisionales. </w:t>
      </w:r>
      <w:r w:rsidRPr="00112300">
        <w:rPr>
          <w:rFonts w:cs="Arial"/>
          <w:iCs/>
          <w:szCs w:val="16"/>
          <w:shd w:val="clear" w:color="auto" w:fill="FFFFFF"/>
          <w:lang w:val="es-ES"/>
        </w:rPr>
        <w:t>Resolución de la Corte Interamericana de Derechos Humanos de 22 de noviembre de 2021, Considerando 42</w:t>
      </w:r>
      <w:r w:rsidR="00160075" w:rsidRPr="00112300">
        <w:rPr>
          <w:szCs w:val="16"/>
        </w:rPr>
        <w:t>,</w:t>
      </w:r>
      <w:r w:rsidR="00160075" w:rsidRPr="00112300">
        <w:rPr>
          <w:rFonts w:cs="Arial"/>
          <w:iCs/>
          <w:szCs w:val="16"/>
          <w:shd w:val="clear" w:color="auto" w:fill="FFFFFF"/>
        </w:rPr>
        <w:t xml:space="preserve"> </w:t>
      </w:r>
      <w:r w:rsidR="004F0434">
        <w:rPr>
          <w:rFonts w:cs="Arial"/>
          <w:iCs/>
          <w:szCs w:val="16"/>
          <w:shd w:val="clear" w:color="auto" w:fill="FFFFFF"/>
        </w:rPr>
        <w:t xml:space="preserve">y </w:t>
      </w:r>
      <w:r w:rsidR="004F0434" w:rsidRPr="00816F92">
        <w:rPr>
          <w:rFonts w:cs="Arial"/>
          <w:i/>
          <w:szCs w:val="16"/>
          <w:shd w:val="clear" w:color="auto" w:fill="FFFFFF"/>
        </w:rPr>
        <w:t>Asunto Juan Sebastián Chamorro y otros y 45 personas privadas de su libertad en ocho centros de detención respecto de Nicaragua. Medidas Provisionales.</w:t>
      </w:r>
      <w:r w:rsidR="004F0434" w:rsidRPr="004F0434">
        <w:rPr>
          <w:rFonts w:cs="Arial"/>
          <w:iCs/>
          <w:szCs w:val="16"/>
          <w:shd w:val="clear" w:color="auto" w:fill="FFFFFF"/>
        </w:rPr>
        <w:t xml:space="preserve"> Resolución de la Corte Interamericana de Derechos Humanos de 22 de noviembre de 2022</w:t>
      </w:r>
      <w:r w:rsidR="004F0434">
        <w:rPr>
          <w:rFonts w:cs="Arial"/>
          <w:iCs/>
          <w:szCs w:val="16"/>
          <w:shd w:val="clear" w:color="auto" w:fill="FFFFFF"/>
        </w:rPr>
        <w:t>, Considerando 25.</w:t>
      </w:r>
      <w:r w:rsidR="00160075" w:rsidRPr="00112300">
        <w:rPr>
          <w:rFonts w:cs="Arial"/>
          <w:iCs/>
          <w:szCs w:val="16"/>
          <w:shd w:val="clear" w:color="auto" w:fill="FFFFFF"/>
        </w:rPr>
        <w:t>.</w:t>
      </w:r>
      <w:r w:rsidR="00E517F8">
        <w:rPr>
          <w:rFonts w:cs="Arial"/>
          <w:iCs/>
          <w:szCs w:val="16"/>
          <w:shd w:val="clear" w:color="auto" w:fill="FFFFFF"/>
          <w:lang w:val="es-ES"/>
        </w:rPr>
        <w:t xml:space="preserve"> </w:t>
      </w:r>
      <w:r w:rsidRPr="00112300">
        <w:rPr>
          <w:szCs w:val="16"/>
        </w:rPr>
        <w:t xml:space="preserve">Ver también: Informe Anual de la Corte Interamericana de Derechos Humanos del año 2019, pág. 83, Informe Anual de la Corte Interamericana de Derechos Humanos del año 2021, pág. 101 y discurso del Presidente de la Corte en el 52 Periodo Ordinario de Sesiones de 7 de octubre de 2022 de la Asamblea General de la Organización de Estados Americanos. Disponible en: </w:t>
      </w:r>
      <w:hyperlink r:id="rId9" w:history="1">
        <w:r w:rsidRPr="00112300">
          <w:rPr>
            <w:rStyle w:val="Hipervnculo"/>
            <w:szCs w:val="16"/>
          </w:rPr>
          <w:t>https://www.youtube.com/watch?v=w242B9yJfdg&amp;list=PLkh9EPEuEx2upRhlyXqhf2aldLHNFRGkW&amp;index=4</w:t>
        </w:r>
      </w:hyperlink>
      <w:r w:rsidRPr="00112300">
        <w:rPr>
          <w:szCs w:val="16"/>
        </w:rPr>
        <w:t xml:space="preserve">. </w:t>
      </w:r>
    </w:p>
  </w:footnote>
  <w:footnote w:id="42">
    <w:p w14:paraId="732E4B85" w14:textId="2D781498" w:rsidR="00424C78" w:rsidRPr="00112300" w:rsidRDefault="00424C78" w:rsidP="00112300">
      <w:pPr>
        <w:pStyle w:val="Textonotapie"/>
        <w:spacing w:before="20" w:after="20"/>
        <w:rPr>
          <w:szCs w:val="16"/>
        </w:rPr>
      </w:pPr>
      <w:r w:rsidRPr="00112300">
        <w:rPr>
          <w:rStyle w:val="Refdenotaalpie"/>
          <w:szCs w:val="16"/>
        </w:rPr>
        <w:footnoteRef/>
      </w:r>
      <w:r w:rsidRPr="00112300">
        <w:rPr>
          <w:szCs w:val="16"/>
        </w:rPr>
        <w:t xml:space="preserve"> </w:t>
      </w:r>
      <w:r w:rsidRPr="00112300">
        <w:rPr>
          <w:szCs w:val="16"/>
        </w:rPr>
        <w:tab/>
      </w:r>
      <w:r w:rsidRPr="00112300">
        <w:rPr>
          <w:i/>
          <w:szCs w:val="16"/>
        </w:rPr>
        <w:t>Caso Apitz Barbera Vs. Venezuela. Supervisión de Cumplimiento de Sentencia.</w:t>
      </w:r>
      <w:r w:rsidRPr="00112300">
        <w:rPr>
          <w:szCs w:val="16"/>
        </w:rPr>
        <w:t xml:space="preserve"> Resolución de la Corte Interamericana de Derechos Humanos de 23 de noviembre de 2012, párr. 47</w:t>
      </w:r>
      <w:r w:rsidR="00160075" w:rsidRPr="00112300">
        <w:rPr>
          <w:szCs w:val="16"/>
        </w:rPr>
        <w:t xml:space="preserve">, y </w:t>
      </w:r>
      <w:r w:rsidR="004F0434" w:rsidRPr="00816F92">
        <w:rPr>
          <w:rFonts w:cs="Arial"/>
          <w:i/>
          <w:szCs w:val="16"/>
          <w:shd w:val="clear" w:color="auto" w:fill="FFFFFF"/>
        </w:rPr>
        <w:t>Asunto Juan Sebastián Chamorro y otros y 45 personas privadas de su libertad en ocho centros de detención respecto de Nicaragua. Medidas Provisionales.</w:t>
      </w:r>
      <w:r w:rsidR="004F0434" w:rsidRPr="004F0434">
        <w:rPr>
          <w:rFonts w:cs="Arial"/>
          <w:iCs/>
          <w:szCs w:val="16"/>
          <w:shd w:val="clear" w:color="auto" w:fill="FFFFFF"/>
        </w:rPr>
        <w:t xml:space="preserve"> Resolución de la Corte Interamericana de Derechos Humanos de 22 de noviembre de 2022</w:t>
      </w:r>
      <w:r w:rsidR="004F0434">
        <w:rPr>
          <w:rFonts w:cs="Arial"/>
          <w:iCs/>
          <w:szCs w:val="16"/>
          <w:shd w:val="clear" w:color="auto" w:fill="FFFFFF"/>
        </w:rPr>
        <w:t>, Considerando 26.</w:t>
      </w:r>
    </w:p>
  </w:footnote>
  <w:footnote w:id="43">
    <w:p w14:paraId="52141C0F" w14:textId="2730AA11" w:rsidR="00424C78" w:rsidRPr="00112300" w:rsidRDefault="00424C78" w:rsidP="00112300">
      <w:pPr>
        <w:pStyle w:val="Textonotapie"/>
        <w:spacing w:before="20" w:after="20"/>
        <w:rPr>
          <w:szCs w:val="16"/>
        </w:rPr>
      </w:pPr>
      <w:r w:rsidRPr="00112300">
        <w:rPr>
          <w:rStyle w:val="Refdenotaalpie"/>
          <w:szCs w:val="16"/>
        </w:rPr>
        <w:footnoteRef/>
      </w:r>
      <w:r w:rsidRPr="00112300">
        <w:rPr>
          <w:szCs w:val="16"/>
        </w:rPr>
        <w:t xml:space="preserve"> </w:t>
      </w:r>
      <w:r w:rsidRPr="00112300">
        <w:rPr>
          <w:szCs w:val="16"/>
        </w:rPr>
        <w:tab/>
      </w:r>
      <w:r w:rsidRPr="00112300">
        <w:rPr>
          <w:i/>
          <w:szCs w:val="16"/>
        </w:rPr>
        <w:t>Cfr. Opinión Consultiva OC-26/20 de 9 de noviembre de 2020</w:t>
      </w:r>
      <w:r w:rsidRPr="00112300">
        <w:rPr>
          <w:szCs w:val="16"/>
        </w:rPr>
        <w:t>. Serie A No. 26, párr. 168</w:t>
      </w:r>
      <w:r w:rsidR="00160075" w:rsidRPr="00112300">
        <w:rPr>
          <w:szCs w:val="16"/>
        </w:rPr>
        <w:t xml:space="preserve">, y </w:t>
      </w:r>
      <w:r w:rsidR="00A15CC9" w:rsidRPr="00816F92">
        <w:rPr>
          <w:rFonts w:cs="Arial"/>
          <w:i/>
          <w:szCs w:val="16"/>
          <w:shd w:val="clear" w:color="auto" w:fill="FFFFFF"/>
        </w:rPr>
        <w:t>Asunto Juan Sebastián Chamorro y otros y 45 personas privadas de su libertad en ocho centros de detención respecto de Nicaragua. Medidas Provisionales.</w:t>
      </w:r>
      <w:r w:rsidR="00A15CC9" w:rsidRPr="004F0434">
        <w:rPr>
          <w:rFonts w:cs="Arial"/>
          <w:iCs/>
          <w:szCs w:val="16"/>
          <w:shd w:val="clear" w:color="auto" w:fill="FFFFFF"/>
        </w:rPr>
        <w:t xml:space="preserve"> Resolución de la Corte Interamericana de Derechos Humanos de 22 de noviembre de 2022</w:t>
      </w:r>
      <w:r w:rsidR="00A15CC9">
        <w:rPr>
          <w:rFonts w:cs="Arial"/>
          <w:iCs/>
          <w:szCs w:val="16"/>
          <w:shd w:val="clear" w:color="auto" w:fill="FFFFFF"/>
        </w:rPr>
        <w:t>, Considerando 27.</w:t>
      </w:r>
    </w:p>
  </w:footnote>
  <w:footnote w:id="44">
    <w:p w14:paraId="2E808454" w14:textId="218BFAAA" w:rsidR="00E961D2" w:rsidRPr="006775B0" w:rsidRDefault="00E961D2" w:rsidP="00E961D2">
      <w:pPr>
        <w:pStyle w:val="Textonotapie"/>
        <w:rPr>
          <w:lang w:val="es-CR"/>
        </w:rPr>
      </w:pPr>
      <w:r>
        <w:rPr>
          <w:rStyle w:val="Refdenotaalpie"/>
        </w:rPr>
        <w:footnoteRef/>
      </w:r>
      <w:r>
        <w:t xml:space="preserve"> </w:t>
      </w:r>
      <w:r>
        <w:tab/>
        <w:t xml:space="preserve">La Corte destaca que ya ha declarado al Estado de Nicaragua en desacato en reiteradas ocasiones anteriores por el incumplimiento de otras medidas provisionales dictadas en un contexto similar al de las presentes medidas. </w:t>
      </w:r>
      <w:r w:rsidRPr="006775B0">
        <w:rPr>
          <w:i/>
          <w:iCs/>
        </w:rPr>
        <w:t>Cfr. Asunto Juan Sebastián Chamorro y otros respecto de Nicaragua. Medidas Provisionales</w:t>
      </w:r>
      <w:r w:rsidRPr="006775B0">
        <w:t>. Resolución de la Corte Interamericana de Derechos Humanos de 22 de noviembre de 2021</w:t>
      </w:r>
      <w:r>
        <w:t xml:space="preserve">, Considerando 38, y </w:t>
      </w:r>
      <w:r w:rsidR="00A15CC9" w:rsidRPr="00816F92">
        <w:rPr>
          <w:rFonts w:cs="Arial"/>
          <w:i/>
          <w:szCs w:val="16"/>
          <w:shd w:val="clear" w:color="auto" w:fill="FFFFFF"/>
        </w:rPr>
        <w:t>Asunto Juan Sebastián Chamorro y otros y 45 personas privadas de su libertad en ocho centros de detención respecto de Nicaragua. Medidas Provisionales.</w:t>
      </w:r>
      <w:r w:rsidR="00A15CC9" w:rsidRPr="004F0434">
        <w:rPr>
          <w:rFonts w:cs="Arial"/>
          <w:iCs/>
          <w:szCs w:val="16"/>
          <w:shd w:val="clear" w:color="auto" w:fill="FFFFFF"/>
        </w:rPr>
        <w:t xml:space="preserve"> Resolución de la Corte Interamericana de Derechos Humanos de 22 de noviembre de 2022</w:t>
      </w:r>
      <w:r w:rsidR="00A15CC9">
        <w:rPr>
          <w:rFonts w:cs="Arial"/>
          <w:iCs/>
          <w:szCs w:val="16"/>
          <w:shd w:val="clear" w:color="auto" w:fill="FFFFFF"/>
        </w:rPr>
        <w:t>, Considerando 31.</w:t>
      </w:r>
    </w:p>
  </w:footnote>
  <w:footnote w:id="45">
    <w:p w14:paraId="4FABB238" w14:textId="3228E403" w:rsidR="00F22BED" w:rsidRPr="00F22BED" w:rsidRDefault="00F22BED">
      <w:pPr>
        <w:pStyle w:val="Textonotapie"/>
        <w:rPr>
          <w:lang w:val="es-ES"/>
        </w:rPr>
      </w:pPr>
      <w:r>
        <w:rPr>
          <w:rStyle w:val="Refdenotaalpie"/>
        </w:rPr>
        <w:footnoteRef/>
      </w:r>
      <w:r>
        <w:t xml:space="preserve"> </w:t>
      </w:r>
      <w:r>
        <w:tab/>
      </w:r>
      <w:r w:rsidRPr="00F22BED">
        <w:rPr>
          <w:i/>
          <w:iCs/>
        </w:rPr>
        <w:t>Cfr. Asunto Juan Sebastián Chamorro y otros y 45 personas privadas de su libertad en ocho centros de detención respecto de Nicaragua. Medidas Provisionales</w:t>
      </w:r>
      <w:r>
        <w:t xml:space="preserve">. Resolución de la Corte Interamericana de Derechos Humanos de 22 de noviembre de 2022, Considerando 24 a 26 y </w:t>
      </w:r>
      <w:r w:rsidRPr="00F22BED">
        <w:rPr>
          <w:i/>
          <w:iCs/>
        </w:rPr>
        <w:t>Asunto Monseñor Rolando José Álvarez Lagos respecto de Nicaragua. Adopción de Medidas Provisionales</w:t>
      </w:r>
      <w:r w:rsidRPr="00F22BED">
        <w:t>. Resolución de la Corte Interamericana de Derechos Humanos de 27 de junio de 2023</w:t>
      </w:r>
      <w:r>
        <w:t>, Considerando 61</w:t>
      </w:r>
      <w:r w:rsidRPr="00F22BED">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51F8B9" w14:textId="560B8CA6" w:rsidR="00222B31" w:rsidRPr="00BA723D" w:rsidRDefault="00222B31" w:rsidP="00BA723D">
    <w:pPr>
      <w:pStyle w:val="Encabezado"/>
      <w:jc w:val="right"/>
      <w:rPr>
        <w:rFonts w:ascii="Verdana" w:hAnsi="Verdana"/>
        <w:sz w:val="16"/>
      </w:rPr>
    </w:pPr>
    <w:r w:rsidRPr="00BA723D">
      <w:rPr>
        <w:rFonts w:ascii="Verdana" w:hAnsi="Verdana"/>
        <w:sz w:val="16"/>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32DA3"/>
    <w:multiLevelType w:val="hybridMultilevel"/>
    <w:tmpl w:val="3438BA60"/>
    <w:lvl w:ilvl="0" w:tplc="83AE308E">
      <w:start w:val="4"/>
      <w:numFmt w:val="decimal"/>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063D0C21"/>
    <w:multiLevelType w:val="hybridMultilevel"/>
    <w:tmpl w:val="3D8A309A"/>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392D71"/>
    <w:multiLevelType w:val="hybridMultilevel"/>
    <w:tmpl w:val="BB9C07C0"/>
    <w:lvl w:ilvl="0" w:tplc="0F1AC554">
      <w:numFmt w:val="bullet"/>
      <w:lvlText w:val="-"/>
      <w:lvlJc w:val="left"/>
      <w:pPr>
        <w:ind w:left="720" w:hanging="360"/>
      </w:pPr>
      <w:rPr>
        <w:rFonts w:ascii="Verdana" w:eastAsiaTheme="minorHAnsi" w:hAnsi="Verdana" w:cstheme="minorBidi" w:hint="default"/>
      </w:rPr>
    </w:lvl>
    <w:lvl w:ilvl="1" w:tplc="140A0003">
      <w:start w:val="1"/>
      <w:numFmt w:val="bullet"/>
      <w:lvlText w:val="o"/>
      <w:lvlJc w:val="left"/>
      <w:pPr>
        <w:ind w:left="1440" w:hanging="360"/>
      </w:pPr>
      <w:rPr>
        <w:rFonts w:ascii="Courier New" w:hAnsi="Courier New" w:cs="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cs="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cs="Courier New" w:hint="default"/>
      </w:rPr>
    </w:lvl>
    <w:lvl w:ilvl="8" w:tplc="140A0005">
      <w:start w:val="1"/>
      <w:numFmt w:val="bullet"/>
      <w:lvlText w:val=""/>
      <w:lvlJc w:val="left"/>
      <w:pPr>
        <w:ind w:left="6480" w:hanging="360"/>
      </w:pPr>
      <w:rPr>
        <w:rFonts w:ascii="Wingdings" w:hAnsi="Wingdings" w:hint="default"/>
      </w:rPr>
    </w:lvl>
  </w:abstractNum>
  <w:abstractNum w:abstractNumId="3" w15:restartNumberingAfterBreak="0">
    <w:nsid w:val="0BCA6A97"/>
    <w:multiLevelType w:val="hybridMultilevel"/>
    <w:tmpl w:val="D8A84F48"/>
    <w:lvl w:ilvl="0" w:tplc="FFFFFFFF">
      <w:start w:val="1"/>
      <w:numFmt w:val="low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 w15:restartNumberingAfterBreak="0">
    <w:nsid w:val="0D6335B2"/>
    <w:multiLevelType w:val="hybridMultilevel"/>
    <w:tmpl w:val="5678C6F0"/>
    <w:lvl w:ilvl="0" w:tplc="A830DE00">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 w15:restartNumberingAfterBreak="0">
    <w:nsid w:val="0F47564E"/>
    <w:multiLevelType w:val="hybridMultilevel"/>
    <w:tmpl w:val="A53C9704"/>
    <w:lvl w:ilvl="0" w:tplc="FFFFFFFF">
      <w:start w:val="1"/>
      <w:numFmt w:val="low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 w15:restartNumberingAfterBreak="0">
    <w:nsid w:val="10B23730"/>
    <w:multiLevelType w:val="hybridMultilevel"/>
    <w:tmpl w:val="D5E0A8D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33F1A52"/>
    <w:multiLevelType w:val="hybridMultilevel"/>
    <w:tmpl w:val="A936E78C"/>
    <w:lvl w:ilvl="0" w:tplc="140A0001">
      <w:start w:val="1"/>
      <w:numFmt w:val="bullet"/>
      <w:lvlText w:val=""/>
      <w:lvlJc w:val="left"/>
      <w:pPr>
        <w:ind w:left="720" w:hanging="360"/>
      </w:pPr>
      <w:rPr>
        <w:rFonts w:ascii="Symbol" w:hAnsi="Symbol" w:hint="default"/>
      </w:rPr>
    </w:lvl>
    <w:lvl w:ilvl="1" w:tplc="140A0019">
      <w:start w:val="1"/>
      <w:numFmt w:val="lowerLetter"/>
      <w:lvlText w:val="%2."/>
      <w:lvlJc w:val="left"/>
      <w:pPr>
        <w:ind w:left="1440" w:hanging="360"/>
      </w:pPr>
    </w:lvl>
    <w:lvl w:ilvl="2" w:tplc="6AD4A608">
      <w:start w:val="4"/>
      <w:numFmt w:val="bullet"/>
      <w:lvlText w:val="-"/>
      <w:lvlJc w:val="left"/>
      <w:pPr>
        <w:ind w:left="2340" w:hanging="360"/>
      </w:pPr>
      <w:rPr>
        <w:rFonts w:ascii="Times New Roman" w:eastAsia="MS Mincho" w:hAnsi="Times New Roman" w:cs="Times New Roman" w:hint="default"/>
      </w:r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8" w15:restartNumberingAfterBreak="0">
    <w:nsid w:val="15B31E0B"/>
    <w:multiLevelType w:val="hybridMultilevel"/>
    <w:tmpl w:val="85C8B3D6"/>
    <w:lvl w:ilvl="0" w:tplc="90E4EC10">
      <w:start w:val="1"/>
      <w:numFmt w:val="decimal"/>
      <w:lvlText w:val="%1."/>
      <w:lvlJc w:val="left"/>
      <w:pPr>
        <w:ind w:left="1080" w:hanging="720"/>
      </w:pPr>
      <w:rPr>
        <w:rFonts w:hint="default"/>
      </w:rPr>
    </w:lvl>
    <w:lvl w:ilvl="1" w:tplc="2C0A0019">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9" w15:restartNumberingAfterBreak="0">
    <w:nsid w:val="19580159"/>
    <w:multiLevelType w:val="hybridMultilevel"/>
    <w:tmpl w:val="756C503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F786912"/>
    <w:multiLevelType w:val="hybridMultilevel"/>
    <w:tmpl w:val="85BE591A"/>
    <w:lvl w:ilvl="0" w:tplc="D66226FC">
      <w:start w:val="1"/>
      <w:numFmt w:val="decimal"/>
      <w:lvlText w:val="%1."/>
      <w:lvlJc w:val="left"/>
      <w:pPr>
        <w:ind w:left="720" w:hanging="360"/>
      </w:pPr>
      <w:rPr>
        <w:rFonts w:ascii="Verdana" w:hAnsi="Verdana" w:hint="default"/>
        <w:b w:val="0"/>
        <w:color w:val="auto"/>
        <w:sz w:val="20"/>
        <w:szCs w:val="20"/>
      </w:r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1" w15:restartNumberingAfterBreak="0">
    <w:nsid w:val="223922F0"/>
    <w:multiLevelType w:val="hybridMultilevel"/>
    <w:tmpl w:val="BFD6FFDC"/>
    <w:lvl w:ilvl="0" w:tplc="0ADCF7B6">
      <w:start w:val="1"/>
      <w:numFmt w:val="upperLetter"/>
      <w:lvlText w:val="%1."/>
      <w:lvlJc w:val="left"/>
      <w:pPr>
        <w:ind w:left="1147" w:hanging="585"/>
      </w:pPr>
      <w:rPr>
        <w:rFonts w:hint="default"/>
      </w:rPr>
    </w:lvl>
    <w:lvl w:ilvl="1" w:tplc="140A0019" w:tentative="1">
      <w:start w:val="1"/>
      <w:numFmt w:val="lowerLetter"/>
      <w:lvlText w:val="%2."/>
      <w:lvlJc w:val="left"/>
      <w:pPr>
        <w:ind w:left="1642" w:hanging="360"/>
      </w:pPr>
    </w:lvl>
    <w:lvl w:ilvl="2" w:tplc="140A001B" w:tentative="1">
      <w:start w:val="1"/>
      <w:numFmt w:val="lowerRoman"/>
      <w:lvlText w:val="%3."/>
      <w:lvlJc w:val="right"/>
      <w:pPr>
        <w:ind w:left="2362" w:hanging="180"/>
      </w:pPr>
    </w:lvl>
    <w:lvl w:ilvl="3" w:tplc="140A000F" w:tentative="1">
      <w:start w:val="1"/>
      <w:numFmt w:val="decimal"/>
      <w:lvlText w:val="%4."/>
      <w:lvlJc w:val="left"/>
      <w:pPr>
        <w:ind w:left="3082" w:hanging="360"/>
      </w:pPr>
    </w:lvl>
    <w:lvl w:ilvl="4" w:tplc="140A0019" w:tentative="1">
      <w:start w:val="1"/>
      <w:numFmt w:val="lowerLetter"/>
      <w:lvlText w:val="%5."/>
      <w:lvlJc w:val="left"/>
      <w:pPr>
        <w:ind w:left="3802" w:hanging="360"/>
      </w:pPr>
    </w:lvl>
    <w:lvl w:ilvl="5" w:tplc="140A001B" w:tentative="1">
      <w:start w:val="1"/>
      <w:numFmt w:val="lowerRoman"/>
      <w:lvlText w:val="%6."/>
      <w:lvlJc w:val="right"/>
      <w:pPr>
        <w:ind w:left="4522" w:hanging="180"/>
      </w:pPr>
    </w:lvl>
    <w:lvl w:ilvl="6" w:tplc="140A000F" w:tentative="1">
      <w:start w:val="1"/>
      <w:numFmt w:val="decimal"/>
      <w:lvlText w:val="%7."/>
      <w:lvlJc w:val="left"/>
      <w:pPr>
        <w:ind w:left="5242" w:hanging="360"/>
      </w:pPr>
    </w:lvl>
    <w:lvl w:ilvl="7" w:tplc="140A0019" w:tentative="1">
      <w:start w:val="1"/>
      <w:numFmt w:val="lowerLetter"/>
      <w:lvlText w:val="%8."/>
      <w:lvlJc w:val="left"/>
      <w:pPr>
        <w:ind w:left="5962" w:hanging="360"/>
      </w:pPr>
    </w:lvl>
    <w:lvl w:ilvl="8" w:tplc="140A001B" w:tentative="1">
      <w:start w:val="1"/>
      <w:numFmt w:val="lowerRoman"/>
      <w:lvlText w:val="%9."/>
      <w:lvlJc w:val="right"/>
      <w:pPr>
        <w:ind w:left="6682" w:hanging="180"/>
      </w:pPr>
    </w:lvl>
  </w:abstractNum>
  <w:abstractNum w:abstractNumId="12" w15:restartNumberingAfterBreak="0">
    <w:nsid w:val="278E37A6"/>
    <w:multiLevelType w:val="hybridMultilevel"/>
    <w:tmpl w:val="5678C6F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8935416"/>
    <w:multiLevelType w:val="hybridMultilevel"/>
    <w:tmpl w:val="7FD2021A"/>
    <w:lvl w:ilvl="0" w:tplc="D1147204">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295D07C6"/>
    <w:multiLevelType w:val="hybridMultilevel"/>
    <w:tmpl w:val="ECE248E2"/>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5" w15:restartNumberingAfterBreak="0">
    <w:nsid w:val="2C4D4584"/>
    <w:multiLevelType w:val="hybridMultilevel"/>
    <w:tmpl w:val="48D6A5B8"/>
    <w:lvl w:ilvl="0" w:tplc="3938730A">
      <w:start w:val="1"/>
      <w:numFmt w:val="decimal"/>
      <w:lvlText w:val="%1."/>
      <w:lvlJc w:val="left"/>
      <w:pPr>
        <w:ind w:left="360" w:hanging="360"/>
      </w:pPr>
      <w:rPr>
        <w:rFonts w:ascii="Verdana" w:hAnsi="Verdana" w:hint="default"/>
        <w:b w:val="0"/>
        <w:i w:val="0"/>
        <w:sz w:val="20"/>
      </w:r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16" w15:restartNumberingAfterBreak="0">
    <w:nsid w:val="2D6234A7"/>
    <w:multiLevelType w:val="hybridMultilevel"/>
    <w:tmpl w:val="BFD6FFDC"/>
    <w:lvl w:ilvl="0" w:tplc="FFFFFFFF">
      <w:start w:val="1"/>
      <w:numFmt w:val="upperLetter"/>
      <w:lvlText w:val="%1."/>
      <w:lvlJc w:val="left"/>
      <w:pPr>
        <w:ind w:left="1147" w:hanging="585"/>
      </w:pPr>
      <w:rPr>
        <w:rFonts w:hint="default"/>
      </w:rPr>
    </w:lvl>
    <w:lvl w:ilvl="1" w:tplc="FFFFFFFF" w:tentative="1">
      <w:start w:val="1"/>
      <w:numFmt w:val="lowerLetter"/>
      <w:lvlText w:val="%2."/>
      <w:lvlJc w:val="left"/>
      <w:pPr>
        <w:ind w:left="1642" w:hanging="360"/>
      </w:pPr>
    </w:lvl>
    <w:lvl w:ilvl="2" w:tplc="FFFFFFFF" w:tentative="1">
      <w:start w:val="1"/>
      <w:numFmt w:val="lowerRoman"/>
      <w:lvlText w:val="%3."/>
      <w:lvlJc w:val="right"/>
      <w:pPr>
        <w:ind w:left="2362" w:hanging="180"/>
      </w:pPr>
    </w:lvl>
    <w:lvl w:ilvl="3" w:tplc="FFFFFFFF" w:tentative="1">
      <w:start w:val="1"/>
      <w:numFmt w:val="decimal"/>
      <w:lvlText w:val="%4."/>
      <w:lvlJc w:val="left"/>
      <w:pPr>
        <w:ind w:left="3082" w:hanging="360"/>
      </w:pPr>
    </w:lvl>
    <w:lvl w:ilvl="4" w:tplc="FFFFFFFF" w:tentative="1">
      <w:start w:val="1"/>
      <w:numFmt w:val="lowerLetter"/>
      <w:lvlText w:val="%5."/>
      <w:lvlJc w:val="left"/>
      <w:pPr>
        <w:ind w:left="3802" w:hanging="360"/>
      </w:pPr>
    </w:lvl>
    <w:lvl w:ilvl="5" w:tplc="FFFFFFFF" w:tentative="1">
      <w:start w:val="1"/>
      <w:numFmt w:val="lowerRoman"/>
      <w:lvlText w:val="%6."/>
      <w:lvlJc w:val="right"/>
      <w:pPr>
        <w:ind w:left="4522" w:hanging="180"/>
      </w:pPr>
    </w:lvl>
    <w:lvl w:ilvl="6" w:tplc="FFFFFFFF" w:tentative="1">
      <w:start w:val="1"/>
      <w:numFmt w:val="decimal"/>
      <w:lvlText w:val="%7."/>
      <w:lvlJc w:val="left"/>
      <w:pPr>
        <w:ind w:left="5242" w:hanging="360"/>
      </w:pPr>
    </w:lvl>
    <w:lvl w:ilvl="7" w:tplc="FFFFFFFF" w:tentative="1">
      <w:start w:val="1"/>
      <w:numFmt w:val="lowerLetter"/>
      <w:lvlText w:val="%8."/>
      <w:lvlJc w:val="left"/>
      <w:pPr>
        <w:ind w:left="5962" w:hanging="360"/>
      </w:pPr>
    </w:lvl>
    <w:lvl w:ilvl="8" w:tplc="FFFFFFFF" w:tentative="1">
      <w:start w:val="1"/>
      <w:numFmt w:val="lowerRoman"/>
      <w:lvlText w:val="%9."/>
      <w:lvlJc w:val="right"/>
      <w:pPr>
        <w:ind w:left="6682" w:hanging="180"/>
      </w:pPr>
    </w:lvl>
  </w:abstractNum>
  <w:abstractNum w:abstractNumId="17" w15:restartNumberingAfterBreak="0">
    <w:nsid w:val="2F230420"/>
    <w:multiLevelType w:val="hybridMultilevel"/>
    <w:tmpl w:val="B152267E"/>
    <w:lvl w:ilvl="0" w:tplc="90E4EC10">
      <w:start w:val="1"/>
      <w:numFmt w:val="decimal"/>
      <w:lvlText w:val="%1."/>
      <w:lvlJc w:val="left"/>
      <w:pPr>
        <w:ind w:left="1080" w:hanging="720"/>
      </w:pPr>
      <w:rPr>
        <w:rFonts w:hint="default"/>
      </w:rPr>
    </w:lvl>
    <w:lvl w:ilvl="1" w:tplc="2C0A0019">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8" w15:restartNumberingAfterBreak="0">
    <w:nsid w:val="321F187F"/>
    <w:multiLevelType w:val="hybridMultilevel"/>
    <w:tmpl w:val="E8DE121A"/>
    <w:lvl w:ilvl="0" w:tplc="140A000F">
      <w:start w:val="1"/>
      <w:numFmt w:val="decimal"/>
      <w:lvlText w:val="%1."/>
      <w:lvlJc w:val="left"/>
      <w:pPr>
        <w:ind w:left="720" w:hanging="360"/>
      </w:p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9" w15:restartNumberingAfterBreak="0">
    <w:nsid w:val="326E718F"/>
    <w:multiLevelType w:val="hybridMultilevel"/>
    <w:tmpl w:val="0E30A8C8"/>
    <w:lvl w:ilvl="0" w:tplc="83AE308E">
      <w:start w:val="4"/>
      <w:numFmt w:val="decimal"/>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0" w15:restartNumberingAfterBreak="0">
    <w:nsid w:val="3A7A1A06"/>
    <w:multiLevelType w:val="hybridMultilevel"/>
    <w:tmpl w:val="2A066DEC"/>
    <w:lvl w:ilvl="0" w:tplc="FF4CB7BE">
      <w:start w:val="1"/>
      <w:numFmt w:val="decimal"/>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1" w15:restartNumberingAfterBreak="0">
    <w:nsid w:val="3D674AC0"/>
    <w:multiLevelType w:val="hybridMultilevel"/>
    <w:tmpl w:val="BFD6FFDC"/>
    <w:lvl w:ilvl="0" w:tplc="FFFFFFFF">
      <w:start w:val="1"/>
      <w:numFmt w:val="upperLetter"/>
      <w:lvlText w:val="%1."/>
      <w:lvlJc w:val="left"/>
      <w:pPr>
        <w:ind w:left="1147" w:hanging="585"/>
      </w:pPr>
      <w:rPr>
        <w:rFonts w:hint="default"/>
      </w:rPr>
    </w:lvl>
    <w:lvl w:ilvl="1" w:tplc="FFFFFFFF" w:tentative="1">
      <w:start w:val="1"/>
      <w:numFmt w:val="lowerLetter"/>
      <w:lvlText w:val="%2."/>
      <w:lvlJc w:val="left"/>
      <w:pPr>
        <w:ind w:left="1642" w:hanging="360"/>
      </w:pPr>
    </w:lvl>
    <w:lvl w:ilvl="2" w:tplc="FFFFFFFF" w:tentative="1">
      <w:start w:val="1"/>
      <w:numFmt w:val="lowerRoman"/>
      <w:lvlText w:val="%3."/>
      <w:lvlJc w:val="right"/>
      <w:pPr>
        <w:ind w:left="2362" w:hanging="180"/>
      </w:pPr>
    </w:lvl>
    <w:lvl w:ilvl="3" w:tplc="FFFFFFFF" w:tentative="1">
      <w:start w:val="1"/>
      <w:numFmt w:val="decimal"/>
      <w:lvlText w:val="%4."/>
      <w:lvlJc w:val="left"/>
      <w:pPr>
        <w:ind w:left="3082" w:hanging="360"/>
      </w:pPr>
    </w:lvl>
    <w:lvl w:ilvl="4" w:tplc="FFFFFFFF" w:tentative="1">
      <w:start w:val="1"/>
      <w:numFmt w:val="lowerLetter"/>
      <w:lvlText w:val="%5."/>
      <w:lvlJc w:val="left"/>
      <w:pPr>
        <w:ind w:left="3802" w:hanging="360"/>
      </w:pPr>
    </w:lvl>
    <w:lvl w:ilvl="5" w:tplc="FFFFFFFF" w:tentative="1">
      <w:start w:val="1"/>
      <w:numFmt w:val="lowerRoman"/>
      <w:lvlText w:val="%6."/>
      <w:lvlJc w:val="right"/>
      <w:pPr>
        <w:ind w:left="4522" w:hanging="180"/>
      </w:pPr>
    </w:lvl>
    <w:lvl w:ilvl="6" w:tplc="FFFFFFFF" w:tentative="1">
      <w:start w:val="1"/>
      <w:numFmt w:val="decimal"/>
      <w:lvlText w:val="%7."/>
      <w:lvlJc w:val="left"/>
      <w:pPr>
        <w:ind w:left="5242" w:hanging="360"/>
      </w:pPr>
    </w:lvl>
    <w:lvl w:ilvl="7" w:tplc="FFFFFFFF" w:tentative="1">
      <w:start w:val="1"/>
      <w:numFmt w:val="lowerLetter"/>
      <w:lvlText w:val="%8."/>
      <w:lvlJc w:val="left"/>
      <w:pPr>
        <w:ind w:left="5962" w:hanging="360"/>
      </w:pPr>
    </w:lvl>
    <w:lvl w:ilvl="8" w:tplc="FFFFFFFF" w:tentative="1">
      <w:start w:val="1"/>
      <w:numFmt w:val="lowerRoman"/>
      <w:lvlText w:val="%9."/>
      <w:lvlJc w:val="right"/>
      <w:pPr>
        <w:ind w:left="6682" w:hanging="180"/>
      </w:pPr>
    </w:lvl>
  </w:abstractNum>
  <w:abstractNum w:abstractNumId="22" w15:restartNumberingAfterBreak="0">
    <w:nsid w:val="455B79AB"/>
    <w:multiLevelType w:val="hybridMultilevel"/>
    <w:tmpl w:val="2D9C0530"/>
    <w:lvl w:ilvl="0" w:tplc="95F0B4D6">
      <w:start w:val="1"/>
      <w:numFmt w:val="decimal"/>
      <w:lvlText w:val="%1."/>
      <w:lvlJc w:val="left"/>
      <w:pPr>
        <w:ind w:left="1080" w:hanging="360"/>
      </w:pPr>
      <w:rPr>
        <w:rFonts w:hint="default"/>
      </w:r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23" w15:restartNumberingAfterBreak="0">
    <w:nsid w:val="45DB3552"/>
    <w:multiLevelType w:val="hybridMultilevel"/>
    <w:tmpl w:val="756C5036"/>
    <w:lvl w:ilvl="0" w:tplc="A830DE00">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4" w15:restartNumberingAfterBreak="0">
    <w:nsid w:val="45E179B7"/>
    <w:multiLevelType w:val="hybridMultilevel"/>
    <w:tmpl w:val="F1D2A574"/>
    <w:lvl w:ilvl="0" w:tplc="EEFE417E">
      <w:start w:val="1"/>
      <w:numFmt w:val="lowerLetter"/>
      <w:lvlText w:val="%1)"/>
      <w:lvlJc w:val="left"/>
      <w:pPr>
        <w:ind w:left="644" w:hanging="360"/>
      </w:pPr>
      <w:rPr>
        <w:rFonts w:cs="Cambria,Bold" w:hint="default"/>
        <w:b w:val="0"/>
      </w:rPr>
    </w:lvl>
    <w:lvl w:ilvl="1" w:tplc="140A0019" w:tentative="1">
      <w:start w:val="1"/>
      <w:numFmt w:val="lowerLetter"/>
      <w:lvlText w:val="%2."/>
      <w:lvlJc w:val="left"/>
      <w:pPr>
        <w:ind w:left="1364" w:hanging="360"/>
      </w:pPr>
    </w:lvl>
    <w:lvl w:ilvl="2" w:tplc="140A001B" w:tentative="1">
      <w:start w:val="1"/>
      <w:numFmt w:val="lowerRoman"/>
      <w:lvlText w:val="%3."/>
      <w:lvlJc w:val="right"/>
      <w:pPr>
        <w:ind w:left="2084" w:hanging="180"/>
      </w:pPr>
    </w:lvl>
    <w:lvl w:ilvl="3" w:tplc="140A000F" w:tentative="1">
      <w:start w:val="1"/>
      <w:numFmt w:val="decimal"/>
      <w:lvlText w:val="%4."/>
      <w:lvlJc w:val="left"/>
      <w:pPr>
        <w:ind w:left="2804" w:hanging="360"/>
      </w:pPr>
    </w:lvl>
    <w:lvl w:ilvl="4" w:tplc="140A0019" w:tentative="1">
      <w:start w:val="1"/>
      <w:numFmt w:val="lowerLetter"/>
      <w:lvlText w:val="%5."/>
      <w:lvlJc w:val="left"/>
      <w:pPr>
        <w:ind w:left="3524" w:hanging="360"/>
      </w:pPr>
    </w:lvl>
    <w:lvl w:ilvl="5" w:tplc="140A001B" w:tentative="1">
      <w:start w:val="1"/>
      <w:numFmt w:val="lowerRoman"/>
      <w:lvlText w:val="%6."/>
      <w:lvlJc w:val="right"/>
      <w:pPr>
        <w:ind w:left="4244" w:hanging="180"/>
      </w:pPr>
    </w:lvl>
    <w:lvl w:ilvl="6" w:tplc="140A000F" w:tentative="1">
      <w:start w:val="1"/>
      <w:numFmt w:val="decimal"/>
      <w:lvlText w:val="%7."/>
      <w:lvlJc w:val="left"/>
      <w:pPr>
        <w:ind w:left="4964" w:hanging="360"/>
      </w:pPr>
    </w:lvl>
    <w:lvl w:ilvl="7" w:tplc="140A0019" w:tentative="1">
      <w:start w:val="1"/>
      <w:numFmt w:val="lowerLetter"/>
      <w:lvlText w:val="%8."/>
      <w:lvlJc w:val="left"/>
      <w:pPr>
        <w:ind w:left="5684" w:hanging="360"/>
      </w:pPr>
    </w:lvl>
    <w:lvl w:ilvl="8" w:tplc="140A001B" w:tentative="1">
      <w:start w:val="1"/>
      <w:numFmt w:val="lowerRoman"/>
      <w:lvlText w:val="%9."/>
      <w:lvlJc w:val="right"/>
      <w:pPr>
        <w:ind w:left="6404" w:hanging="180"/>
      </w:pPr>
    </w:lvl>
  </w:abstractNum>
  <w:abstractNum w:abstractNumId="25" w15:restartNumberingAfterBreak="0">
    <w:nsid w:val="4A32173D"/>
    <w:multiLevelType w:val="hybridMultilevel"/>
    <w:tmpl w:val="C59C7860"/>
    <w:lvl w:ilvl="0" w:tplc="675C9DFA">
      <w:start w:val="1"/>
      <w:numFmt w:val="lowerLetter"/>
      <w:lvlText w:val="%1)"/>
      <w:lvlJc w:val="left"/>
      <w:pPr>
        <w:ind w:left="720" w:hanging="360"/>
      </w:pPr>
      <w:rPr>
        <w:rFonts w:hint="default"/>
        <w:b w:val="0"/>
        <w:i w:val="0"/>
      </w:r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6" w15:restartNumberingAfterBreak="0">
    <w:nsid w:val="4EBD5D3D"/>
    <w:multiLevelType w:val="hybridMultilevel"/>
    <w:tmpl w:val="40A2F880"/>
    <w:lvl w:ilvl="0" w:tplc="D898D5C0">
      <w:start w:val="1"/>
      <w:numFmt w:val="decimal"/>
      <w:pStyle w:val="PrrafodeSentencia"/>
      <w:lvlText w:val="%1."/>
      <w:lvlJc w:val="left"/>
      <w:pPr>
        <w:ind w:left="720" w:hanging="360"/>
      </w:pPr>
      <w:rPr>
        <w:rFonts w:ascii="Verdana" w:hAnsi="Verdana" w:hint="default"/>
        <w:b w:val="0"/>
        <w:i w:val="0"/>
        <w:iCs w:val="0"/>
        <w:strike w:val="0"/>
        <w:sz w:val="20"/>
        <w:szCs w:val="20"/>
      </w:r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7" w15:restartNumberingAfterBreak="0">
    <w:nsid w:val="508B1853"/>
    <w:multiLevelType w:val="hybridMultilevel"/>
    <w:tmpl w:val="DFB85174"/>
    <w:lvl w:ilvl="0" w:tplc="040A0005">
      <w:start w:val="1"/>
      <w:numFmt w:val="bullet"/>
      <w:lvlText w:val=""/>
      <w:lvlJc w:val="left"/>
      <w:pPr>
        <w:ind w:left="1428" w:hanging="360"/>
      </w:pPr>
      <w:rPr>
        <w:rFonts w:ascii="Wingdings" w:hAnsi="Wingdings" w:hint="default"/>
      </w:rPr>
    </w:lvl>
    <w:lvl w:ilvl="1" w:tplc="040A0003" w:tentative="1">
      <w:start w:val="1"/>
      <w:numFmt w:val="bullet"/>
      <w:lvlText w:val="o"/>
      <w:lvlJc w:val="left"/>
      <w:pPr>
        <w:ind w:left="2148" w:hanging="360"/>
      </w:pPr>
      <w:rPr>
        <w:rFonts w:ascii="Courier New" w:hAnsi="Courier New" w:cs="Courier New" w:hint="default"/>
      </w:rPr>
    </w:lvl>
    <w:lvl w:ilvl="2" w:tplc="040A0005" w:tentative="1">
      <w:start w:val="1"/>
      <w:numFmt w:val="bullet"/>
      <w:lvlText w:val=""/>
      <w:lvlJc w:val="left"/>
      <w:pPr>
        <w:ind w:left="2868" w:hanging="360"/>
      </w:pPr>
      <w:rPr>
        <w:rFonts w:ascii="Wingdings" w:hAnsi="Wingdings" w:hint="default"/>
      </w:rPr>
    </w:lvl>
    <w:lvl w:ilvl="3" w:tplc="040A0001" w:tentative="1">
      <w:start w:val="1"/>
      <w:numFmt w:val="bullet"/>
      <w:lvlText w:val=""/>
      <w:lvlJc w:val="left"/>
      <w:pPr>
        <w:ind w:left="3588" w:hanging="360"/>
      </w:pPr>
      <w:rPr>
        <w:rFonts w:ascii="Symbol" w:hAnsi="Symbol" w:hint="default"/>
      </w:rPr>
    </w:lvl>
    <w:lvl w:ilvl="4" w:tplc="040A0003" w:tentative="1">
      <w:start w:val="1"/>
      <w:numFmt w:val="bullet"/>
      <w:lvlText w:val="o"/>
      <w:lvlJc w:val="left"/>
      <w:pPr>
        <w:ind w:left="4308" w:hanging="360"/>
      </w:pPr>
      <w:rPr>
        <w:rFonts w:ascii="Courier New" w:hAnsi="Courier New" w:cs="Courier New" w:hint="default"/>
      </w:rPr>
    </w:lvl>
    <w:lvl w:ilvl="5" w:tplc="040A0005" w:tentative="1">
      <w:start w:val="1"/>
      <w:numFmt w:val="bullet"/>
      <w:lvlText w:val=""/>
      <w:lvlJc w:val="left"/>
      <w:pPr>
        <w:ind w:left="5028" w:hanging="360"/>
      </w:pPr>
      <w:rPr>
        <w:rFonts w:ascii="Wingdings" w:hAnsi="Wingdings" w:hint="default"/>
      </w:rPr>
    </w:lvl>
    <w:lvl w:ilvl="6" w:tplc="040A0001" w:tentative="1">
      <w:start w:val="1"/>
      <w:numFmt w:val="bullet"/>
      <w:lvlText w:val=""/>
      <w:lvlJc w:val="left"/>
      <w:pPr>
        <w:ind w:left="5748" w:hanging="360"/>
      </w:pPr>
      <w:rPr>
        <w:rFonts w:ascii="Symbol" w:hAnsi="Symbol" w:hint="default"/>
      </w:rPr>
    </w:lvl>
    <w:lvl w:ilvl="7" w:tplc="040A0003" w:tentative="1">
      <w:start w:val="1"/>
      <w:numFmt w:val="bullet"/>
      <w:lvlText w:val="o"/>
      <w:lvlJc w:val="left"/>
      <w:pPr>
        <w:ind w:left="6468" w:hanging="360"/>
      </w:pPr>
      <w:rPr>
        <w:rFonts w:ascii="Courier New" w:hAnsi="Courier New" w:cs="Courier New" w:hint="default"/>
      </w:rPr>
    </w:lvl>
    <w:lvl w:ilvl="8" w:tplc="040A0005" w:tentative="1">
      <w:start w:val="1"/>
      <w:numFmt w:val="bullet"/>
      <w:lvlText w:val=""/>
      <w:lvlJc w:val="left"/>
      <w:pPr>
        <w:ind w:left="7188" w:hanging="360"/>
      </w:pPr>
      <w:rPr>
        <w:rFonts w:ascii="Wingdings" w:hAnsi="Wingdings" w:hint="default"/>
      </w:rPr>
    </w:lvl>
  </w:abstractNum>
  <w:abstractNum w:abstractNumId="28" w15:restartNumberingAfterBreak="0">
    <w:nsid w:val="58A87000"/>
    <w:multiLevelType w:val="hybridMultilevel"/>
    <w:tmpl w:val="1742B9DA"/>
    <w:lvl w:ilvl="0" w:tplc="6CBE4998">
      <w:start w:val="1"/>
      <w:numFmt w:val="decimal"/>
      <w:lvlText w:val="%1."/>
      <w:lvlJc w:val="left"/>
      <w:pPr>
        <w:ind w:left="720" w:hanging="360"/>
      </w:pPr>
      <w:rPr>
        <w:rFonts w:hint="default"/>
        <w:b w:val="0"/>
        <w:color w:val="auto"/>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9" w15:restartNumberingAfterBreak="0">
    <w:nsid w:val="5DDB6DC6"/>
    <w:multiLevelType w:val="hybridMultilevel"/>
    <w:tmpl w:val="5DFE6406"/>
    <w:lvl w:ilvl="0" w:tplc="99FE4F9E">
      <w:start w:val="1"/>
      <w:numFmt w:val="decimal"/>
      <w:pStyle w:val="Sinespaciado"/>
      <w:lvlText w:val="%1."/>
      <w:lvlJc w:val="left"/>
      <w:pPr>
        <w:ind w:left="7560" w:hanging="360"/>
      </w:pPr>
      <w:rPr>
        <w:rFonts w:ascii="Verdana" w:hAnsi="Verdana" w:hint="default"/>
        <w:b w:val="0"/>
        <w:i w:val="0"/>
        <w:color w:val="auto"/>
        <w:sz w:val="20"/>
        <w:szCs w:val="20"/>
        <w:lang w:val="es-CR"/>
      </w:rPr>
    </w:lvl>
    <w:lvl w:ilvl="1" w:tplc="04090019">
      <w:start w:val="1"/>
      <w:numFmt w:val="lowerLetter"/>
      <w:lvlText w:val="%2."/>
      <w:lvlJc w:val="left"/>
      <w:pPr>
        <w:ind w:left="7650" w:hanging="360"/>
      </w:pPr>
    </w:lvl>
    <w:lvl w:ilvl="2" w:tplc="0409001B" w:tentative="1">
      <w:start w:val="1"/>
      <w:numFmt w:val="lowerRoman"/>
      <w:lvlText w:val="%3."/>
      <w:lvlJc w:val="right"/>
      <w:pPr>
        <w:ind w:left="8370" w:hanging="180"/>
      </w:pPr>
    </w:lvl>
    <w:lvl w:ilvl="3" w:tplc="0409000F" w:tentative="1">
      <w:start w:val="1"/>
      <w:numFmt w:val="decimal"/>
      <w:lvlText w:val="%4."/>
      <w:lvlJc w:val="left"/>
      <w:pPr>
        <w:ind w:left="9090" w:hanging="360"/>
      </w:pPr>
    </w:lvl>
    <w:lvl w:ilvl="4" w:tplc="04090019" w:tentative="1">
      <w:start w:val="1"/>
      <w:numFmt w:val="lowerLetter"/>
      <w:lvlText w:val="%5."/>
      <w:lvlJc w:val="left"/>
      <w:pPr>
        <w:ind w:left="9810" w:hanging="360"/>
      </w:pPr>
    </w:lvl>
    <w:lvl w:ilvl="5" w:tplc="0409001B" w:tentative="1">
      <w:start w:val="1"/>
      <w:numFmt w:val="lowerRoman"/>
      <w:lvlText w:val="%6."/>
      <w:lvlJc w:val="right"/>
      <w:pPr>
        <w:ind w:left="10530" w:hanging="180"/>
      </w:pPr>
    </w:lvl>
    <w:lvl w:ilvl="6" w:tplc="0409000F" w:tentative="1">
      <w:start w:val="1"/>
      <w:numFmt w:val="decimal"/>
      <w:lvlText w:val="%7."/>
      <w:lvlJc w:val="left"/>
      <w:pPr>
        <w:ind w:left="11250" w:hanging="360"/>
      </w:pPr>
    </w:lvl>
    <w:lvl w:ilvl="7" w:tplc="04090019" w:tentative="1">
      <w:start w:val="1"/>
      <w:numFmt w:val="lowerLetter"/>
      <w:lvlText w:val="%8."/>
      <w:lvlJc w:val="left"/>
      <w:pPr>
        <w:ind w:left="11970" w:hanging="360"/>
      </w:pPr>
    </w:lvl>
    <w:lvl w:ilvl="8" w:tplc="0409001B" w:tentative="1">
      <w:start w:val="1"/>
      <w:numFmt w:val="lowerRoman"/>
      <w:lvlText w:val="%9."/>
      <w:lvlJc w:val="right"/>
      <w:pPr>
        <w:ind w:left="12690" w:hanging="180"/>
      </w:pPr>
    </w:lvl>
  </w:abstractNum>
  <w:abstractNum w:abstractNumId="30" w15:restartNumberingAfterBreak="0">
    <w:nsid w:val="603E6D78"/>
    <w:multiLevelType w:val="hybridMultilevel"/>
    <w:tmpl w:val="C59C7860"/>
    <w:lvl w:ilvl="0" w:tplc="675C9DFA">
      <w:start w:val="1"/>
      <w:numFmt w:val="lowerLetter"/>
      <w:lvlText w:val="%1)"/>
      <w:lvlJc w:val="left"/>
      <w:pPr>
        <w:ind w:left="720" w:hanging="360"/>
      </w:pPr>
      <w:rPr>
        <w:rFonts w:hint="default"/>
        <w:b w:val="0"/>
        <w:i w:val="0"/>
      </w:r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1" w15:restartNumberingAfterBreak="0">
    <w:nsid w:val="622E5007"/>
    <w:multiLevelType w:val="hybridMultilevel"/>
    <w:tmpl w:val="D428B0A6"/>
    <w:lvl w:ilvl="0" w:tplc="140A0019">
      <w:start w:val="1"/>
      <w:numFmt w:val="lowerLetter"/>
      <w:lvlText w:val="%1."/>
      <w:lvlJc w:val="left"/>
      <w:pPr>
        <w:ind w:left="14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54136EC"/>
    <w:multiLevelType w:val="hybridMultilevel"/>
    <w:tmpl w:val="D5E0A8D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8FF55A1"/>
    <w:multiLevelType w:val="hybridMultilevel"/>
    <w:tmpl w:val="5E4E6698"/>
    <w:lvl w:ilvl="0" w:tplc="37924294">
      <w:start w:val="1"/>
      <w:numFmt w:val="decimal"/>
      <w:lvlText w:val="%1."/>
      <w:lvlJc w:val="left"/>
      <w:pPr>
        <w:ind w:left="720" w:hanging="360"/>
      </w:pPr>
      <w:rPr>
        <w:rFonts w:ascii="Verdana" w:hAnsi="Verdana" w:hint="default"/>
        <w:b w:val="0"/>
        <w:i w:val="0"/>
        <w:iCs w:val="0"/>
        <w:color w:val="auto"/>
        <w:sz w:val="20"/>
        <w:szCs w:val="20"/>
      </w:r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4" w15:restartNumberingAfterBreak="0">
    <w:nsid w:val="70070AE1"/>
    <w:multiLevelType w:val="hybridMultilevel"/>
    <w:tmpl w:val="2996B6F6"/>
    <w:lvl w:ilvl="0" w:tplc="0409001B">
      <w:start w:val="1"/>
      <w:numFmt w:val="lowerRoman"/>
      <w:lvlText w:val="%1."/>
      <w:lvlJc w:val="right"/>
      <w:pPr>
        <w:ind w:left="1068" w:hanging="360"/>
      </w:pPr>
      <w:rPr>
        <w:rFonts w:hint="default"/>
      </w:rPr>
    </w:lvl>
    <w:lvl w:ilvl="1" w:tplc="04090019">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35" w15:restartNumberingAfterBreak="0">
    <w:nsid w:val="720446B9"/>
    <w:multiLevelType w:val="hybridMultilevel"/>
    <w:tmpl w:val="C59C7860"/>
    <w:lvl w:ilvl="0" w:tplc="675C9DFA">
      <w:start w:val="1"/>
      <w:numFmt w:val="lowerLetter"/>
      <w:lvlText w:val="%1)"/>
      <w:lvlJc w:val="left"/>
      <w:pPr>
        <w:ind w:left="720" w:hanging="360"/>
      </w:pPr>
      <w:rPr>
        <w:rFonts w:hint="default"/>
        <w:b w:val="0"/>
        <w:i w:val="0"/>
      </w:r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6" w15:restartNumberingAfterBreak="0">
    <w:nsid w:val="7C7C7425"/>
    <w:multiLevelType w:val="hybridMultilevel"/>
    <w:tmpl w:val="0248FB72"/>
    <w:lvl w:ilvl="0" w:tplc="E93412C4">
      <w:start w:val="1"/>
      <w:numFmt w:val="decimal"/>
      <w:lvlText w:val="%1."/>
      <w:lvlJc w:val="left"/>
      <w:pPr>
        <w:ind w:left="720" w:hanging="360"/>
      </w:pPr>
      <w:rPr>
        <w:rFonts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F7207B4"/>
    <w:multiLevelType w:val="hybridMultilevel"/>
    <w:tmpl w:val="DBC47BBA"/>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73307632">
    <w:abstractNumId w:val="5"/>
  </w:num>
  <w:num w:numId="2" w16cid:durableId="712119913">
    <w:abstractNumId w:val="3"/>
  </w:num>
  <w:num w:numId="3" w16cid:durableId="1504585885">
    <w:abstractNumId w:val="10"/>
  </w:num>
  <w:num w:numId="4" w16cid:durableId="1313558608">
    <w:abstractNumId w:val="24"/>
  </w:num>
  <w:num w:numId="5" w16cid:durableId="1348944799">
    <w:abstractNumId w:val="8"/>
  </w:num>
  <w:num w:numId="6" w16cid:durableId="1888294415">
    <w:abstractNumId w:val="0"/>
  </w:num>
  <w:num w:numId="7" w16cid:durableId="1019939575">
    <w:abstractNumId w:val="4"/>
  </w:num>
  <w:num w:numId="8" w16cid:durableId="1590625547">
    <w:abstractNumId w:val="17"/>
  </w:num>
  <w:num w:numId="9" w16cid:durableId="1283154435">
    <w:abstractNumId w:val="6"/>
  </w:num>
  <w:num w:numId="10" w16cid:durableId="871576917">
    <w:abstractNumId w:val="32"/>
  </w:num>
  <w:num w:numId="11" w16cid:durableId="265771182">
    <w:abstractNumId w:val="25"/>
  </w:num>
  <w:num w:numId="12" w16cid:durableId="1748264405">
    <w:abstractNumId w:val="31"/>
  </w:num>
  <w:num w:numId="13" w16cid:durableId="1505707994">
    <w:abstractNumId w:val="34"/>
  </w:num>
  <w:num w:numId="14" w16cid:durableId="1552496736">
    <w:abstractNumId w:val="30"/>
  </w:num>
  <w:num w:numId="15" w16cid:durableId="1862357787">
    <w:abstractNumId w:val="35"/>
  </w:num>
  <w:num w:numId="16" w16cid:durableId="1681077615">
    <w:abstractNumId w:val="19"/>
  </w:num>
  <w:num w:numId="17" w16cid:durableId="705832040">
    <w:abstractNumId w:val="20"/>
  </w:num>
  <w:num w:numId="18" w16cid:durableId="1696074485">
    <w:abstractNumId w:val="29"/>
  </w:num>
  <w:num w:numId="19" w16cid:durableId="1983078220">
    <w:abstractNumId w:val="29"/>
  </w:num>
  <w:num w:numId="20" w16cid:durableId="1773625785">
    <w:abstractNumId w:val="36"/>
  </w:num>
  <w:num w:numId="21" w16cid:durableId="1390306269">
    <w:abstractNumId w:val="7"/>
  </w:num>
  <w:num w:numId="22" w16cid:durableId="1123108681">
    <w:abstractNumId w:val="2"/>
  </w:num>
  <w:num w:numId="23" w16cid:durableId="166704976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440031976">
    <w:abstractNumId w:val="18"/>
  </w:num>
  <w:num w:numId="25" w16cid:durableId="836455654">
    <w:abstractNumId w:val="33"/>
  </w:num>
  <w:num w:numId="26" w16cid:durableId="1954555411">
    <w:abstractNumId w:val="23"/>
  </w:num>
  <w:num w:numId="27" w16cid:durableId="485827157">
    <w:abstractNumId w:val="28"/>
  </w:num>
  <w:num w:numId="28" w16cid:durableId="1124232393">
    <w:abstractNumId w:val="1"/>
  </w:num>
  <w:num w:numId="29" w16cid:durableId="1709067067">
    <w:abstractNumId w:val="37"/>
  </w:num>
  <w:num w:numId="30" w16cid:durableId="1447387312">
    <w:abstractNumId w:val="11"/>
  </w:num>
  <w:num w:numId="31" w16cid:durableId="2034066290">
    <w:abstractNumId w:val="21"/>
  </w:num>
  <w:num w:numId="32" w16cid:durableId="779882788">
    <w:abstractNumId w:val="16"/>
  </w:num>
  <w:num w:numId="33" w16cid:durableId="113212925">
    <w:abstractNumId w:val="14"/>
  </w:num>
  <w:num w:numId="34" w16cid:durableId="226115039">
    <w:abstractNumId w:val="27"/>
  </w:num>
  <w:num w:numId="35" w16cid:durableId="1140338872">
    <w:abstractNumId w:val="26"/>
  </w:num>
  <w:num w:numId="36" w16cid:durableId="1553275301">
    <w:abstractNumId w:val="13"/>
  </w:num>
  <w:num w:numId="37" w16cid:durableId="1261528380">
    <w:abstractNumId w:val="10"/>
    <w:lvlOverride w:ilvl="0">
      <w:startOverride w:val="1"/>
    </w:lvlOverride>
  </w:num>
  <w:num w:numId="38" w16cid:durableId="324170094">
    <w:abstractNumId w:val="12"/>
  </w:num>
  <w:num w:numId="39" w16cid:durableId="1760982066">
    <w:abstractNumId w:val="9"/>
  </w:num>
  <w:num w:numId="40" w16cid:durableId="1400447237">
    <w:abstractNumId w:val="10"/>
    <w:lvlOverride w:ilvl="0">
      <w:startOverride w:val="1"/>
    </w:lvlOverride>
    <w:lvlOverride w:ilvl="1">
      <w:startOverride w:val="2"/>
    </w:lvlOverride>
  </w:num>
  <w:num w:numId="41" w16cid:durableId="1473017642">
    <w:abstractNumId w:val="22"/>
  </w:num>
  <w:num w:numId="42" w16cid:durableId="127351409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s-MX" w:vendorID="64" w:dllVersion="6" w:nlCheck="1" w:checkStyle="0"/>
  <w:activeWritingStyle w:appName="MSWord" w:lang="es-ES_tradnl" w:vendorID="64" w:dllVersion="6" w:nlCheck="1" w:checkStyle="0"/>
  <w:activeWritingStyle w:appName="MSWord" w:lang="es-ES" w:vendorID="64" w:dllVersion="6" w:nlCheck="1" w:checkStyle="0"/>
  <w:activeWritingStyle w:appName="MSWord" w:lang="es-CR" w:vendorID="64" w:dllVersion="6" w:nlCheck="1" w:checkStyle="0"/>
  <w:activeWritingStyle w:appName="MSWord" w:lang="pt-BR" w:vendorID="64" w:dllVersion="6" w:nlCheck="1" w:checkStyle="0"/>
  <w:activeWritingStyle w:appName="MSWord" w:lang="es-AR" w:vendorID="64" w:dllVersion="6" w:nlCheck="1" w:checkStyle="0"/>
  <w:activeWritingStyle w:appName="MSWord" w:lang="es-419" w:vendorID="64" w:dllVersion="6" w:nlCheck="1" w:checkStyle="0"/>
  <w:activeWritingStyle w:appName="MSWord" w:lang="es-ES" w:vendorID="64" w:dllVersion="0" w:nlCheck="1" w:checkStyle="0"/>
  <w:activeWritingStyle w:appName="MSWord" w:lang="es-ES_tradnl" w:vendorID="64" w:dllVersion="0" w:nlCheck="1" w:checkStyle="0"/>
  <w:activeWritingStyle w:appName="MSWord" w:lang="es-CR" w:vendorID="64" w:dllVersion="0" w:nlCheck="1" w:checkStyle="0"/>
  <w:activeWritingStyle w:appName="MSWord" w:lang="es-419" w:vendorID="64" w:dllVersion="0" w:nlCheck="1" w:checkStyle="0"/>
  <w:activeWritingStyle w:appName="MSWord" w:lang="es-CL" w:vendorID="64" w:dllVersion="0" w:nlCheck="1" w:checkStyle="0"/>
  <w:activeWritingStyle w:appName="MSWord" w:lang="es-MX" w:vendorID="64" w:dllVersion="0" w:nlCheck="1" w:checkStyle="0"/>
  <w:activeWritingStyle w:appName="MSWord" w:lang="es-VE" w:vendorID="64" w:dllVersion="0" w:nlCheck="1" w:checkStyle="0"/>
  <w:activeWritingStyle w:appName="MSWord" w:lang="es-CO" w:vendorID="64" w:dllVersion="0" w:nlCheck="1" w:checkStyle="0"/>
  <w:activeWritingStyle w:appName="MSWord" w:lang="es-PR" w:vendorID="64" w:dllVersion="0" w:nlCheck="1" w:checkStyle="0"/>
  <w:activeWritingStyle w:appName="MSWord" w:lang="pt-BR" w:vendorID="64" w:dllVersion="0" w:nlCheck="1" w:checkStyle="0"/>
  <w:activeWritingStyle w:appName="MSWord" w:lang="es-GT" w:vendorID="64" w:dllVersion="0" w:nlCheck="1" w:checkStyle="0"/>
  <w:documentProtection w:edit="readOnly"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723D"/>
    <w:rsid w:val="00001BD3"/>
    <w:rsid w:val="000038B3"/>
    <w:rsid w:val="00007370"/>
    <w:rsid w:val="00013F89"/>
    <w:rsid w:val="000147D0"/>
    <w:rsid w:val="00014D1B"/>
    <w:rsid w:val="000214D7"/>
    <w:rsid w:val="000241FB"/>
    <w:rsid w:val="00024C21"/>
    <w:rsid w:val="000251EB"/>
    <w:rsid w:val="00026BAD"/>
    <w:rsid w:val="0002759A"/>
    <w:rsid w:val="00030F1C"/>
    <w:rsid w:val="00031D6D"/>
    <w:rsid w:val="000327CC"/>
    <w:rsid w:val="00035507"/>
    <w:rsid w:val="00045B15"/>
    <w:rsid w:val="00046A3F"/>
    <w:rsid w:val="0005189C"/>
    <w:rsid w:val="0005208C"/>
    <w:rsid w:val="0005532C"/>
    <w:rsid w:val="00056727"/>
    <w:rsid w:val="00056C07"/>
    <w:rsid w:val="00056C4F"/>
    <w:rsid w:val="00060033"/>
    <w:rsid w:val="00061F29"/>
    <w:rsid w:val="00064D82"/>
    <w:rsid w:val="00065017"/>
    <w:rsid w:val="000668A9"/>
    <w:rsid w:val="00066C95"/>
    <w:rsid w:val="00067876"/>
    <w:rsid w:val="00067A39"/>
    <w:rsid w:val="00067D58"/>
    <w:rsid w:val="00075C4B"/>
    <w:rsid w:val="000774A1"/>
    <w:rsid w:val="0007779B"/>
    <w:rsid w:val="000801E8"/>
    <w:rsid w:val="00080AD4"/>
    <w:rsid w:val="000848CE"/>
    <w:rsid w:val="00084F28"/>
    <w:rsid w:val="0009050F"/>
    <w:rsid w:val="00092405"/>
    <w:rsid w:val="00094749"/>
    <w:rsid w:val="00095275"/>
    <w:rsid w:val="00095BA5"/>
    <w:rsid w:val="000A23E4"/>
    <w:rsid w:val="000A303B"/>
    <w:rsid w:val="000A41AC"/>
    <w:rsid w:val="000A4DCF"/>
    <w:rsid w:val="000A6702"/>
    <w:rsid w:val="000B1E76"/>
    <w:rsid w:val="000B6357"/>
    <w:rsid w:val="000C2874"/>
    <w:rsid w:val="000C309A"/>
    <w:rsid w:val="000C38C9"/>
    <w:rsid w:val="000D083B"/>
    <w:rsid w:val="000D4D92"/>
    <w:rsid w:val="000D51D9"/>
    <w:rsid w:val="000E2A81"/>
    <w:rsid w:val="000E2C5D"/>
    <w:rsid w:val="000E40BB"/>
    <w:rsid w:val="000E5285"/>
    <w:rsid w:val="000F1A33"/>
    <w:rsid w:val="000F1E25"/>
    <w:rsid w:val="000F33C7"/>
    <w:rsid w:val="000F609E"/>
    <w:rsid w:val="000F7D10"/>
    <w:rsid w:val="00110136"/>
    <w:rsid w:val="00112300"/>
    <w:rsid w:val="0011233A"/>
    <w:rsid w:val="001137D4"/>
    <w:rsid w:val="00113FDA"/>
    <w:rsid w:val="00114235"/>
    <w:rsid w:val="00116D16"/>
    <w:rsid w:val="00116F48"/>
    <w:rsid w:val="00121CAF"/>
    <w:rsid w:val="00123A73"/>
    <w:rsid w:val="00125549"/>
    <w:rsid w:val="00131A77"/>
    <w:rsid w:val="00142D75"/>
    <w:rsid w:val="00144C44"/>
    <w:rsid w:val="0015111D"/>
    <w:rsid w:val="00151639"/>
    <w:rsid w:val="00154CEF"/>
    <w:rsid w:val="00155024"/>
    <w:rsid w:val="00156943"/>
    <w:rsid w:val="001576B3"/>
    <w:rsid w:val="00157B8A"/>
    <w:rsid w:val="00160075"/>
    <w:rsid w:val="00161CBE"/>
    <w:rsid w:val="00162B90"/>
    <w:rsid w:val="00164D77"/>
    <w:rsid w:val="00171121"/>
    <w:rsid w:val="00171238"/>
    <w:rsid w:val="001717B3"/>
    <w:rsid w:val="00172DBB"/>
    <w:rsid w:val="001732A4"/>
    <w:rsid w:val="00174D58"/>
    <w:rsid w:val="0017617A"/>
    <w:rsid w:val="0017782E"/>
    <w:rsid w:val="001803B1"/>
    <w:rsid w:val="00183769"/>
    <w:rsid w:val="0018516A"/>
    <w:rsid w:val="00186D1E"/>
    <w:rsid w:val="00186EDC"/>
    <w:rsid w:val="0019001C"/>
    <w:rsid w:val="00193FDB"/>
    <w:rsid w:val="0019426F"/>
    <w:rsid w:val="001A04DB"/>
    <w:rsid w:val="001A09D5"/>
    <w:rsid w:val="001A12F0"/>
    <w:rsid w:val="001A2331"/>
    <w:rsid w:val="001A7E0E"/>
    <w:rsid w:val="001B505B"/>
    <w:rsid w:val="001B7705"/>
    <w:rsid w:val="001B77F5"/>
    <w:rsid w:val="001B7D51"/>
    <w:rsid w:val="001C4997"/>
    <w:rsid w:val="001C60DC"/>
    <w:rsid w:val="001C65FB"/>
    <w:rsid w:val="001C738D"/>
    <w:rsid w:val="001D1B3E"/>
    <w:rsid w:val="001D3445"/>
    <w:rsid w:val="001D3CC3"/>
    <w:rsid w:val="001D5C1A"/>
    <w:rsid w:val="001D64A4"/>
    <w:rsid w:val="001E3FB0"/>
    <w:rsid w:val="001E4F89"/>
    <w:rsid w:val="001E51B0"/>
    <w:rsid w:val="001E72D2"/>
    <w:rsid w:val="001F1A13"/>
    <w:rsid w:val="001F5AF9"/>
    <w:rsid w:val="00200FCC"/>
    <w:rsid w:val="0020298E"/>
    <w:rsid w:val="00202AFB"/>
    <w:rsid w:val="00203E18"/>
    <w:rsid w:val="00205D1D"/>
    <w:rsid w:val="00206708"/>
    <w:rsid w:val="00207383"/>
    <w:rsid w:val="00212B62"/>
    <w:rsid w:val="00217638"/>
    <w:rsid w:val="00222300"/>
    <w:rsid w:val="00222B31"/>
    <w:rsid w:val="00224977"/>
    <w:rsid w:val="00224B74"/>
    <w:rsid w:val="00225068"/>
    <w:rsid w:val="00225AEB"/>
    <w:rsid w:val="00225C99"/>
    <w:rsid w:val="00225CE2"/>
    <w:rsid w:val="00231B3E"/>
    <w:rsid w:val="00231F11"/>
    <w:rsid w:val="00232F26"/>
    <w:rsid w:val="0023461E"/>
    <w:rsid w:val="00234E3B"/>
    <w:rsid w:val="00236D82"/>
    <w:rsid w:val="00237D83"/>
    <w:rsid w:val="00242EE9"/>
    <w:rsid w:val="00243EEC"/>
    <w:rsid w:val="0024559C"/>
    <w:rsid w:val="00250537"/>
    <w:rsid w:val="002511AC"/>
    <w:rsid w:val="0025157D"/>
    <w:rsid w:val="00254AB7"/>
    <w:rsid w:val="00260FC4"/>
    <w:rsid w:val="00261539"/>
    <w:rsid w:val="00261AA0"/>
    <w:rsid w:val="00262B26"/>
    <w:rsid w:val="00264754"/>
    <w:rsid w:val="0026675E"/>
    <w:rsid w:val="00267033"/>
    <w:rsid w:val="0027075F"/>
    <w:rsid w:val="00270B60"/>
    <w:rsid w:val="00271D33"/>
    <w:rsid w:val="00272BB4"/>
    <w:rsid w:val="0027331B"/>
    <w:rsid w:val="00277049"/>
    <w:rsid w:val="00281C04"/>
    <w:rsid w:val="00282869"/>
    <w:rsid w:val="00286ABC"/>
    <w:rsid w:val="00286CC9"/>
    <w:rsid w:val="00292F99"/>
    <w:rsid w:val="00294C4E"/>
    <w:rsid w:val="0029538C"/>
    <w:rsid w:val="002A42CB"/>
    <w:rsid w:val="002A4410"/>
    <w:rsid w:val="002A5A9A"/>
    <w:rsid w:val="002A6164"/>
    <w:rsid w:val="002A63B2"/>
    <w:rsid w:val="002B3576"/>
    <w:rsid w:val="002B616C"/>
    <w:rsid w:val="002C09BC"/>
    <w:rsid w:val="002C305C"/>
    <w:rsid w:val="002C3505"/>
    <w:rsid w:val="002C373D"/>
    <w:rsid w:val="002C4A6C"/>
    <w:rsid w:val="002D42DD"/>
    <w:rsid w:val="002D5A9E"/>
    <w:rsid w:val="002D7252"/>
    <w:rsid w:val="002D7313"/>
    <w:rsid w:val="002E0737"/>
    <w:rsid w:val="002E176A"/>
    <w:rsid w:val="002E2A86"/>
    <w:rsid w:val="002E3736"/>
    <w:rsid w:val="002E37BB"/>
    <w:rsid w:val="002E452D"/>
    <w:rsid w:val="002E6534"/>
    <w:rsid w:val="002E7929"/>
    <w:rsid w:val="002E7EA6"/>
    <w:rsid w:val="002F1477"/>
    <w:rsid w:val="002F3E2B"/>
    <w:rsid w:val="003012E1"/>
    <w:rsid w:val="00302F03"/>
    <w:rsid w:val="00303F5E"/>
    <w:rsid w:val="003044C7"/>
    <w:rsid w:val="00304C62"/>
    <w:rsid w:val="003058F2"/>
    <w:rsid w:val="0030693B"/>
    <w:rsid w:val="00306FE9"/>
    <w:rsid w:val="003072E7"/>
    <w:rsid w:val="00310AC7"/>
    <w:rsid w:val="00314AC0"/>
    <w:rsid w:val="00317C90"/>
    <w:rsid w:val="00320191"/>
    <w:rsid w:val="00320E69"/>
    <w:rsid w:val="0032419F"/>
    <w:rsid w:val="00325630"/>
    <w:rsid w:val="00325F9D"/>
    <w:rsid w:val="00327AEA"/>
    <w:rsid w:val="0033022A"/>
    <w:rsid w:val="003307DD"/>
    <w:rsid w:val="00330C34"/>
    <w:rsid w:val="00331825"/>
    <w:rsid w:val="00333238"/>
    <w:rsid w:val="00336D1E"/>
    <w:rsid w:val="003376F0"/>
    <w:rsid w:val="0034107F"/>
    <w:rsid w:val="00341AE2"/>
    <w:rsid w:val="00341B0E"/>
    <w:rsid w:val="00341C65"/>
    <w:rsid w:val="0034201E"/>
    <w:rsid w:val="00342C18"/>
    <w:rsid w:val="003466BF"/>
    <w:rsid w:val="00346978"/>
    <w:rsid w:val="00347EEF"/>
    <w:rsid w:val="0035081B"/>
    <w:rsid w:val="003514A3"/>
    <w:rsid w:val="003528AE"/>
    <w:rsid w:val="00354236"/>
    <w:rsid w:val="003559B8"/>
    <w:rsid w:val="00356553"/>
    <w:rsid w:val="00356EA6"/>
    <w:rsid w:val="003603A5"/>
    <w:rsid w:val="00363422"/>
    <w:rsid w:val="00375C79"/>
    <w:rsid w:val="00380269"/>
    <w:rsid w:val="00380E37"/>
    <w:rsid w:val="0038117A"/>
    <w:rsid w:val="00382174"/>
    <w:rsid w:val="00382534"/>
    <w:rsid w:val="0038264E"/>
    <w:rsid w:val="00384152"/>
    <w:rsid w:val="0039259B"/>
    <w:rsid w:val="0039356F"/>
    <w:rsid w:val="00394374"/>
    <w:rsid w:val="00395755"/>
    <w:rsid w:val="00395D50"/>
    <w:rsid w:val="003A27A7"/>
    <w:rsid w:val="003A4305"/>
    <w:rsid w:val="003A4588"/>
    <w:rsid w:val="003A4F2E"/>
    <w:rsid w:val="003A70F4"/>
    <w:rsid w:val="003A7868"/>
    <w:rsid w:val="003B338A"/>
    <w:rsid w:val="003B5108"/>
    <w:rsid w:val="003B51D5"/>
    <w:rsid w:val="003B5620"/>
    <w:rsid w:val="003B666F"/>
    <w:rsid w:val="003B69CB"/>
    <w:rsid w:val="003B7C11"/>
    <w:rsid w:val="003C0848"/>
    <w:rsid w:val="003C13AD"/>
    <w:rsid w:val="003C24E1"/>
    <w:rsid w:val="003C5436"/>
    <w:rsid w:val="003D1927"/>
    <w:rsid w:val="003D368B"/>
    <w:rsid w:val="003E1931"/>
    <w:rsid w:val="003E1D77"/>
    <w:rsid w:val="003E3065"/>
    <w:rsid w:val="003E4D79"/>
    <w:rsid w:val="003F3FA6"/>
    <w:rsid w:val="003F5148"/>
    <w:rsid w:val="003F537B"/>
    <w:rsid w:val="00404AC8"/>
    <w:rsid w:val="004077A8"/>
    <w:rsid w:val="00407DF3"/>
    <w:rsid w:val="00412684"/>
    <w:rsid w:val="0041455D"/>
    <w:rsid w:val="00414746"/>
    <w:rsid w:val="0041560E"/>
    <w:rsid w:val="00416BF3"/>
    <w:rsid w:val="00416EFA"/>
    <w:rsid w:val="004175EC"/>
    <w:rsid w:val="00422A24"/>
    <w:rsid w:val="00424C78"/>
    <w:rsid w:val="00425C21"/>
    <w:rsid w:val="00427F30"/>
    <w:rsid w:val="00431BB4"/>
    <w:rsid w:val="00431DC4"/>
    <w:rsid w:val="00433965"/>
    <w:rsid w:val="0043794F"/>
    <w:rsid w:val="0044229E"/>
    <w:rsid w:val="00442CD2"/>
    <w:rsid w:val="00443E2E"/>
    <w:rsid w:val="00444926"/>
    <w:rsid w:val="00446958"/>
    <w:rsid w:val="00451255"/>
    <w:rsid w:val="0045162D"/>
    <w:rsid w:val="00451DB9"/>
    <w:rsid w:val="0045275F"/>
    <w:rsid w:val="00452E31"/>
    <w:rsid w:val="00457DCA"/>
    <w:rsid w:val="004602A7"/>
    <w:rsid w:val="0046170D"/>
    <w:rsid w:val="00463DA1"/>
    <w:rsid w:val="0046643B"/>
    <w:rsid w:val="004664B6"/>
    <w:rsid w:val="00470279"/>
    <w:rsid w:val="00474003"/>
    <w:rsid w:val="00477C00"/>
    <w:rsid w:val="00480671"/>
    <w:rsid w:val="004806B4"/>
    <w:rsid w:val="00482AA6"/>
    <w:rsid w:val="00482D5C"/>
    <w:rsid w:val="00482E5C"/>
    <w:rsid w:val="004841F0"/>
    <w:rsid w:val="00485790"/>
    <w:rsid w:val="004878FE"/>
    <w:rsid w:val="004906B7"/>
    <w:rsid w:val="00491B8E"/>
    <w:rsid w:val="004927A5"/>
    <w:rsid w:val="00492F23"/>
    <w:rsid w:val="004941FB"/>
    <w:rsid w:val="0049716D"/>
    <w:rsid w:val="00497337"/>
    <w:rsid w:val="00497E99"/>
    <w:rsid w:val="004A5E2B"/>
    <w:rsid w:val="004A68DF"/>
    <w:rsid w:val="004A73CD"/>
    <w:rsid w:val="004A773D"/>
    <w:rsid w:val="004A77A0"/>
    <w:rsid w:val="004A78AE"/>
    <w:rsid w:val="004A7F8F"/>
    <w:rsid w:val="004B4624"/>
    <w:rsid w:val="004B4F49"/>
    <w:rsid w:val="004B76AD"/>
    <w:rsid w:val="004C298F"/>
    <w:rsid w:val="004C379A"/>
    <w:rsid w:val="004C4954"/>
    <w:rsid w:val="004D032C"/>
    <w:rsid w:val="004D0D59"/>
    <w:rsid w:val="004D20DA"/>
    <w:rsid w:val="004D3C28"/>
    <w:rsid w:val="004D7792"/>
    <w:rsid w:val="004E2D81"/>
    <w:rsid w:val="004E3C3B"/>
    <w:rsid w:val="004E5F01"/>
    <w:rsid w:val="004E60F2"/>
    <w:rsid w:val="004E6BBE"/>
    <w:rsid w:val="004F0434"/>
    <w:rsid w:val="004F1A4C"/>
    <w:rsid w:val="004F3753"/>
    <w:rsid w:val="004F4ACA"/>
    <w:rsid w:val="004F5936"/>
    <w:rsid w:val="004F74F9"/>
    <w:rsid w:val="00502D27"/>
    <w:rsid w:val="00503DA8"/>
    <w:rsid w:val="00507FD9"/>
    <w:rsid w:val="005128C6"/>
    <w:rsid w:val="00517200"/>
    <w:rsid w:val="00517AF1"/>
    <w:rsid w:val="00521DB4"/>
    <w:rsid w:val="00523D9A"/>
    <w:rsid w:val="00524601"/>
    <w:rsid w:val="0052501E"/>
    <w:rsid w:val="005250DC"/>
    <w:rsid w:val="00525168"/>
    <w:rsid w:val="005317EC"/>
    <w:rsid w:val="00532626"/>
    <w:rsid w:val="005328AE"/>
    <w:rsid w:val="00534525"/>
    <w:rsid w:val="00536810"/>
    <w:rsid w:val="0054617D"/>
    <w:rsid w:val="00546B44"/>
    <w:rsid w:val="00546BA8"/>
    <w:rsid w:val="00550D0B"/>
    <w:rsid w:val="005523BB"/>
    <w:rsid w:val="0055258C"/>
    <w:rsid w:val="00554173"/>
    <w:rsid w:val="00556364"/>
    <w:rsid w:val="005611FC"/>
    <w:rsid w:val="00562B3C"/>
    <w:rsid w:val="00562CE4"/>
    <w:rsid w:val="00564E7A"/>
    <w:rsid w:val="00564F2E"/>
    <w:rsid w:val="00565241"/>
    <w:rsid w:val="00571671"/>
    <w:rsid w:val="00572803"/>
    <w:rsid w:val="005770BA"/>
    <w:rsid w:val="005776A0"/>
    <w:rsid w:val="00581F6E"/>
    <w:rsid w:val="00582241"/>
    <w:rsid w:val="0058359F"/>
    <w:rsid w:val="005836B4"/>
    <w:rsid w:val="00585878"/>
    <w:rsid w:val="00587300"/>
    <w:rsid w:val="0059042A"/>
    <w:rsid w:val="00592B17"/>
    <w:rsid w:val="005953DB"/>
    <w:rsid w:val="00597111"/>
    <w:rsid w:val="005A036A"/>
    <w:rsid w:val="005A1C5B"/>
    <w:rsid w:val="005A609C"/>
    <w:rsid w:val="005B08D4"/>
    <w:rsid w:val="005B0C00"/>
    <w:rsid w:val="005B1C51"/>
    <w:rsid w:val="005B2A2F"/>
    <w:rsid w:val="005B2F85"/>
    <w:rsid w:val="005B6E1B"/>
    <w:rsid w:val="005B741E"/>
    <w:rsid w:val="005C054A"/>
    <w:rsid w:val="005C0D30"/>
    <w:rsid w:val="005C10BA"/>
    <w:rsid w:val="005C1ADB"/>
    <w:rsid w:val="005C1B6C"/>
    <w:rsid w:val="005C31FD"/>
    <w:rsid w:val="005C467F"/>
    <w:rsid w:val="005C7C69"/>
    <w:rsid w:val="005C7F4B"/>
    <w:rsid w:val="005D0458"/>
    <w:rsid w:val="005D1B95"/>
    <w:rsid w:val="005D21F6"/>
    <w:rsid w:val="005D3598"/>
    <w:rsid w:val="005D6932"/>
    <w:rsid w:val="005D6F47"/>
    <w:rsid w:val="005E08E5"/>
    <w:rsid w:val="005E1D49"/>
    <w:rsid w:val="005E2F61"/>
    <w:rsid w:val="005E3B66"/>
    <w:rsid w:val="005E3CB6"/>
    <w:rsid w:val="005E58DF"/>
    <w:rsid w:val="005E5D37"/>
    <w:rsid w:val="005E5D87"/>
    <w:rsid w:val="005F089F"/>
    <w:rsid w:val="005F24D8"/>
    <w:rsid w:val="005F3398"/>
    <w:rsid w:val="005F409B"/>
    <w:rsid w:val="005F6243"/>
    <w:rsid w:val="005F7957"/>
    <w:rsid w:val="005F7A24"/>
    <w:rsid w:val="006020AB"/>
    <w:rsid w:val="0060254D"/>
    <w:rsid w:val="0060280B"/>
    <w:rsid w:val="00603205"/>
    <w:rsid w:val="006044D6"/>
    <w:rsid w:val="0060760F"/>
    <w:rsid w:val="0061001B"/>
    <w:rsid w:val="00615AED"/>
    <w:rsid w:val="00615F98"/>
    <w:rsid w:val="006207AD"/>
    <w:rsid w:val="00624C87"/>
    <w:rsid w:val="006268FA"/>
    <w:rsid w:val="00626D57"/>
    <w:rsid w:val="00630C59"/>
    <w:rsid w:val="00635691"/>
    <w:rsid w:val="006371B3"/>
    <w:rsid w:val="00637F54"/>
    <w:rsid w:val="00641CFE"/>
    <w:rsid w:val="006422A1"/>
    <w:rsid w:val="0064250D"/>
    <w:rsid w:val="006441FA"/>
    <w:rsid w:val="00647D77"/>
    <w:rsid w:val="00652024"/>
    <w:rsid w:val="006527FD"/>
    <w:rsid w:val="006531EB"/>
    <w:rsid w:val="00653D77"/>
    <w:rsid w:val="00656F82"/>
    <w:rsid w:val="006579AA"/>
    <w:rsid w:val="00663A9C"/>
    <w:rsid w:val="006656DA"/>
    <w:rsid w:val="006657D5"/>
    <w:rsid w:val="006677D4"/>
    <w:rsid w:val="00670120"/>
    <w:rsid w:val="0067197A"/>
    <w:rsid w:val="006719C7"/>
    <w:rsid w:val="006721AB"/>
    <w:rsid w:val="006730B0"/>
    <w:rsid w:val="00674D92"/>
    <w:rsid w:val="00675D92"/>
    <w:rsid w:val="00676F26"/>
    <w:rsid w:val="006775B0"/>
    <w:rsid w:val="00681206"/>
    <w:rsid w:val="0068309A"/>
    <w:rsid w:val="00683656"/>
    <w:rsid w:val="00684485"/>
    <w:rsid w:val="00684630"/>
    <w:rsid w:val="00685F46"/>
    <w:rsid w:val="0068633C"/>
    <w:rsid w:val="00690AC5"/>
    <w:rsid w:val="00691AE8"/>
    <w:rsid w:val="00692041"/>
    <w:rsid w:val="006924FE"/>
    <w:rsid w:val="00692951"/>
    <w:rsid w:val="00693ED0"/>
    <w:rsid w:val="00695B03"/>
    <w:rsid w:val="006A05BB"/>
    <w:rsid w:val="006A0AF6"/>
    <w:rsid w:val="006A55A4"/>
    <w:rsid w:val="006A65E3"/>
    <w:rsid w:val="006B03AC"/>
    <w:rsid w:val="006B0F04"/>
    <w:rsid w:val="006B1E37"/>
    <w:rsid w:val="006B29F5"/>
    <w:rsid w:val="006B3B50"/>
    <w:rsid w:val="006B4082"/>
    <w:rsid w:val="006B5D26"/>
    <w:rsid w:val="006B7050"/>
    <w:rsid w:val="006B70D5"/>
    <w:rsid w:val="006C1815"/>
    <w:rsid w:val="006C295F"/>
    <w:rsid w:val="006C46BF"/>
    <w:rsid w:val="006C53A4"/>
    <w:rsid w:val="006C64E2"/>
    <w:rsid w:val="006C6737"/>
    <w:rsid w:val="006C6741"/>
    <w:rsid w:val="006D65F9"/>
    <w:rsid w:val="006D7152"/>
    <w:rsid w:val="006E2E3B"/>
    <w:rsid w:val="006F19AA"/>
    <w:rsid w:val="006F6DE4"/>
    <w:rsid w:val="006F7C38"/>
    <w:rsid w:val="0070002E"/>
    <w:rsid w:val="00700BCD"/>
    <w:rsid w:val="00701422"/>
    <w:rsid w:val="00702EC6"/>
    <w:rsid w:val="00705825"/>
    <w:rsid w:val="00705E00"/>
    <w:rsid w:val="007075F2"/>
    <w:rsid w:val="007107B8"/>
    <w:rsid w:val="0071121E"/>
    <w:rsid w:val="00711C31"/>
    <w:rsid w:val="007121D6"/>
    <w:rsid w:val="00712244"/>
    <w:rsid w:val="007135EB"/>
    <w:rsid w:val="007152F2"/>
    <w:rsid w:val="00715DC8"/>
    <w:rsid w:val="00720ED7"/>
    <w:rsid w:val="007226FF"/>
    <w:rsid w:val="00723B5D"/>
    <w:rsid w:val="0072532E"/>
    <w:rsid w:val="00725EDA"/>
    <w:rsid w:val="00732A0A"/>
    <w:rsid w:val="00732A65"/>
    <w:rsid w:val="00737F06"/>
    <w:rsid w:val="00742AA7"/>
    <w:rsid w:val="007476D0"/>
    <w:rsid w:val="00753261"/>
    <w:rsid w:val="007541B2"/>
    <w:rsid w:val="00754AC3"/>
    <w:rsid w:val="00754B5C"/>
    <w:rsid w:val="007573D2"/>
    <w:rsid w:val="007602E4"/>
    <w:rsid w:val="007616E4"/>
    <w:rsid w:val="00762879"/>
    <w:rsid w:val="007642AF"/>
    <w:rsid w:val="00764B7E"/>
    <w:rsid w:val="00765366"/>
    <w:rsid w:val="00770CC4"/>
    <w:rsid w:val="00772731"/>
    <w:rsid w:val="00773140"/>
    <w:rsid w:val="007731D5"/>
    <w:rsid w:val="007734B3"/>
    <w:rsid w:val="00773DA3"/>
    <w:rsid w:val="00775428"/>
    <w:rsid w:val="00775D28"/>
    <w:rsid w:val="00775DF9"/>
    <w:rsid w:val="0078047A"/>
    <w:rsid w:val="00780D49"/>
    <w:rsid w:val="00780EF8"/>
    <w:rsid w:val="007824B7"/>
    <w:rsid w:val="00782CA3"/>
    <w:rsid w:val="0078565D"/>
    <w:rsid w:val="007918F7"/>
    <w:rsid w:val="00792DF0"/>
    <w:rsid w:val="007A1A77"/>
    <w:rsid w:val="007A1FA2"/>
    <w:rsid w:val="007A3005"/>
    <w:rsid w:val="007B0592"/>
    <w:rsid w:val="007B4696"/>
    <w:rsid w:val="007B6BB8"/>
    <w:rsid w:val="007B799B"/>
    <w:rsid w:val="007C28AE"/>
    <w:rsid w:val="007C2BF2"/>
    <w:rsid w:val="007C3311"/>
    <w:rsid w:val="007C42DB"/>
    <w:rsid w:val="007C4A19"/>
    <w:rsid w:val="007C5985"/>
    <w:rsid w:val="007C7378"/>
    <w:rsid w:val="007D0503"/>
    <w:rsid w:val="007E153E"/>
    <w:rsid w:val="007E1850"/>
    <w:rsid w:val="007E4C70"/>
    <w:rsid w:val="007E7032"/>
    <w:rsid w:val="007F0F14"/>
    <w:rsid w:val="007F36E1"/>
    <w:rsid w:val="007F4546"/>
    <w:rsid w:val="007F4E5D"/>
    <w:rsid w:val="007F4EF9"/>
    <w:rsid w:val="007F57A0"/>
    <w:rsid w:val="007F76D9"/>
    <w:rsid w:val="00801E03"/>
    <w:rsid w:val="00805675"/>
    <w:rsid w:val="00806A95"/>
    <w:rsid w:val="00811295"/>
    <w:rsid w:val="00811D56"/>
    <w:rsid w:val="00812796"/>
    <w:rsid w:val="00821984"/>
    <w:rsid w:val="00822F93"/>
    <w:rsid w:val="00825F75"/>
    <w:rsid w:val="00826B1F"/>
    <w:rsid w:val="00831CC3"/>
    <w:rsid w:val="00831FB0"/>
    <w:rsid w:val="00832E6A"/>
    <w:rsid w:val="00834289"/>
    <w:rsid w:val="008357EC"/>
    <w:rsid w:val="008379EE"/>
    <w:rsid w:val="008402C5"/>
    <w:rsid w:val="00841E86"/>
    <w:rsid w:val="00842765"/>
    <w:rsid w:val="008430A5"/>
    <w:rsid w:val="00845E50"/>
    <w:rsid w:val="00852759"/>
    <w:rsid w:val="00853D26"/>
    <w:rsid w:val="00856A2B"/>
    <w:rsid w:val="00860569"/>
    <w:rsid w:val="00862429"/>
    <w:rsid w:val="008631FA"/>
    <w:rsid w:val="00866C48"/>
    <w:rsid w:val="00867C80"/>
    <w:rsid w:val="008707AD"/>
    <w:rsid w:val="00870886"/>
    <w:rsid w:val="008713F2"/>
    <w:rsid w:val="0087188C"/>
    <w:rsid w:val="00872198"/>
    <w:rsid w:val="008738A3"/>
    <w:rsid w:val="008844EF"/>
    <w:rsid w:val="0088545D"/>
    <w:rsid w:val="00885AE8"/>
    <w:rsid w:val="0089246A"/>
    <w:rsid w:val="00892BE1"/>
    <w:rsid w:val="0089474D"/>
    <w:rsid w:val="008A23E7"/>
    <w:rsid w:val="008A2A96"/>
    <w:rsid w:val="008A3E9A"/>
    <w:rsid w:val="008A766C"/>
    <w:rsid w:val="008B0596"/>
    <w:rsid w:val="008B13F4"/>
    <w:rsid w:val="008B356F"/>
    <w:rsid w:val="008B36C5"/>
    <w:rsid w:val="008B4925"/>
    <w:rsid w:val="008B4A73"/>
    <w:rsid w:val="008B71EF"/>
    <w:rsid w:val="008C18F3"/>
    <w:rsid w:val="008C35C4"/>
    <w:rsid w:val="008C5428"/>
    <w:rsid w:val="008C6027"/>
    <w:rsid w:val="008D0456"/>
    <w:rsid w:val="008D14F1"/>
    <w:rsid w:val="008D2207"/>
    <w:rsid w:val="008D4D13"/>
    <w:rsid w:val="008D6459"/>
    <w:rsid w:val="008D67DE"/>
    <w:rsid w:val="008D6A21"/>
    <w:rsid w:val="008D6B0D"/>
    <w:rsid w:val="008E2244"/>
    <w:rsid w:val="008E244C"/>
    <w:rsid w:val="008E334B"/>
    <w:rsid w:val="008E38BA"/>
    <w:rsid w:val="008E3A10"/>
    <w:rsid w:val="008E3B51"/>
    <w:rsid w:val="008E5662"/>
    <w:rsid w:val="008F226A"/>
    <w:rsid w:val="008F26AE"/>
    <w:rsid w:val="008F4A9A"/>
    <w:rsid w:val="008F7335"/>
    <w:rsid w:val="009031A8"/>
    <w:rsid w:val="009033F1"/>
    <w:rsid w:val="00904CA9"/>
    <w:rsid w:val="00907423"/>
    <w:rsid w:val="00907794"/>
    <w:rsid w:val="00907B6E"/>
    <w:rsid w:val="0091088A"/>
    <w:rsid w:val="00911674"/>
    <w:rsid w:val="00913CED"/>
    <w:rsid w:val="00914254"/>
    <w:rsid w:val="00914C50"/>
    <w:rsid w:val="0091699A"/>
    <w:rsid w:val="009214AD"/>
    <w:rsid w:val="00921B6A"/>
    <w:rsid w:val="00922890"/>
    <w:rsid w:val="0092644F"/>
    <w:rsid w:val="00930DCA"/>
    <w:rsid w:val="00930E21"/>
    <w:rsid w:val="0093305E"/>
    <w:rsid w:val="009331FA"/>
    <w:rsid w:val="00933788"/>
    <w:rsid w:val="00934DE4"/>
    <w:rsid w:val="00935521"/>
    <w:rsid w:val="00941C70"/>
    <w:rsid w:val="0094444F"/>
    <w:rsid w:val="00946F37"/>
    <w:rsid w:val="00953FA6"/>
    <w:rsid w:val="009563E0"/>
    <w:rsid w:val="00957530"/>
    <w:rsid w:val="00963EB0"/>
    <w:rsid w:val="00965FCC"/>
    <w:rsid w:val="00970EE9"/>
    <w:rsid w:val="0097157E"/>
    <w:rsid w:val="00972D81"/>
    <w:rsid w:val="00973073"/>
    <w:rsid w:val="009751FA"/>
    <w:rsid w:val="00982B66"/>
    <w:rsid w:val="00986F4D"/>
    <w:rsid w:val="00990944"/>
    <w:rsid w:val="0099181F"/>
    <w:rsid w:val="0099233F"/>
    <w:rsid w:val="00992ACD"/>
    <w:rsid w:val="00992D5E"/>
    <w:rsid w:val="009959E7"/>
    <w:rsid w:val="009959EB"/>
    <w:rsid w:val="009960DE"/>
    <w:rsid w:val="009A1B7A"/>
    <w:rsid w:val="009A231C"/>
    <w:rsid w:val="009A41AE"/>
    <w:rsid w:val="009B4CCA"/>
    <w:rsid w:val="009B5325"/>
    <w:rsid w:val="009B7FC6"/>
    <w:rsid w:val="009D00D9"/>
    <w:rsid w:val="009D494B"/>
    <w:rsid w:val="009D4E11"/>
    <w:rsid w:val="009D61C6"/>
    <w:rsid w:val="009E0673"/>
    <w:rsid w:val="009E5F51"/>
    <w:rsid w:val="009E6C24"/>
    <w:rsid w:val="009F0160"/>
    <w:rsid w:val="009F3926"/>
    <w:rsid w:val="009F48C5"/>
    <w:rsid w:val="009F4FE2"/>
    <w:rsid w:val="009F5DFB"/>
    <w:rsid w:val="00A003D9"/>
    <w:rsid w:val="00A01569"/>
    <w:rsid w:val="00A01D5B"/>
    <w:rsid w:val="00A01E3C"/>
    <w:rsid w:val="00A03174"/>
    <w:rsid w:val="00A03BBB"/>
    <w:rsid w:val="00A03D3A"/>
    <w:rsid w:val="00A03D46"/>
    <w:rsid w:val="00A04278"/>
    <w:rsid w:val="00A0480A"/>
    <w:rsid w:val="00A1011F"/>
    <w:rsid w:val="00A106BF"/>
    <w:rsid w:val="00A123AC"/>
    <w:rsid w:val="00A12F7F"/>
    <w:rsid w:val="00A146BD"/>
    <w:rsid w:val="00A15CC9"/>
    <w:rsid w:val="00A24F4B"/>
    <w:rsid w:val="00A25E5E"/>
    <w:rsid w:val="00A266B8"/>
    <w:rsid w:val="00A33C7E"/>
    <w:rsid w:val="00A41EE3"/>
    <w:rsid w:val="00A42E5D"/>
    <w:rsid w:val="00A46CBB"/>
    <w:rsid w:val="00A51FB8"/>
    <w:rsid w:val="00A53951"/>
    <w:rsid w:val="00A53D5F"/>
    <w:rsid w:val="00A55A4B"/>
    <w:rsid w:val="00A567FF"/>
    <w:rsid w:val="00A56DF8"/>
    <w:rsid w:val="00A62704"/>
    <w:rsid w:val="00A62DCA"/>
    <w:rsid w:val="00A63644"/>
    <w:rsid w:val="00A63E00"/>
    <w:rsid w:val="00A641C1"/>
    <w:rsid w:val="00A658A5"/>
    <w:rsid w:val="00A702D2"/>
    <w:rsid w:val="00A71DF2"/>
    <w:rsid w:val="00A76721"/>
    <w:rsid w:val="00A76813"/>
    <w:rsid w:val="00A7751D"/>
    <w:rsid w:val="00A80983"/>
    <w:rsid w:val="00A80A92"/>
    <w:rsid w:val="00A84518"/>
    <w:rsid w:val="00A84A3E"/>
    <w:rsid w:val="00A8521A"/>
    <w:rsid w:val="00A86AE0"/>
    <w:rsid w:val="00A9455F"/>
    <w:rsid w:val="00A958AA"/>
    <w:rsid w:val="00A95B29"/>
    <w:rsid w:val="00A9623C"/>
    <w:rsid w:val="00AA1EAD"/>
    <w:rsid w:val="00AA2FEF"/>
    <w:rsid w:val="00AA40B7"/>
    <w:rsid w:val="00AA55AE"/>
    <w:rsid w:val="00AA7C71"/>
    <w:rsid w:val="00AB45A8"/>
    <w:rsid w:val="00AB7995"/>
    <w:rsid w:val="00AB7FBF"/>
    <w:rsid w:val="00AC3B71"/>
    <w:rsid w:val="00AD0F6D"/>
    <w:rsid w:val="00AD2818"/>
    <w:rsid w:val="00AD2C21"/>
    <w:rsid w:val="00AD36BC"/>
    <w:rsid w:val="00AE030F"/>
    <w:rsid w:val="00AE0709"/>
    <w:rsid w:val="00AE218D"/>
    <w:rsid w:val="00AE46D0"/>
    <w:rsid w:val="00AE558A"/>
    <w:rsid w:val="00AE56B2"/>
    <w:rsid w:val="00AF1265"/>
    <w:rsid w:val="00AF1D0C"/>
    <w:rsid w:val="00AF359D"/>
    <w:rsid w:val="00AF4476"/>
    <w:rsid w:val="00AF63D9"/>
    <w:rsid w:val="00AF712E"/>
    <w:rsid w:val="00B00983"/>
    <w:rsid w:val="00B02DEC"/>
    <w:rsid w:val="00B032AE"/>
    <w:rsid w:val="00B07D8C"/>
    <w:rsid w:val="00B10111"/>
    <w:rsid w:val="00B11AC1"/>
    <w:rsid w:val="00B12139"/>
    <w:rsid w:val="00B12CC5"/>
    <w:rsid w:val="00B13B8A"/>
    <w:rsid w:val="00B17733"/>
    <w:rsid w:val="00B215A1"/>
    <w:rsid w:val="00B23867"/>
    <w:rsid w:val="00B257BE"/>
    <w:rsid w:val="00B26557"/>
    <w:rsid w:val="00B275FE"/>
    <w:rsid w:val="00B27E17"/>
    <w:rsid w:val="00B3077C"/>
    <w:rsid w:val="00B31D94"/>
    <w:rsid w:val="00B3381D"/>
    <w:rsid w:val="00B404F8"/>
    <w:rsid w:val="00B451DD"/>
    <w:rsid w:val="00B46C60"/>
    <w:rsid w:val="00B52BA7"/>
    <w:rsid w:val="00B52D82"/>
    <w:rsid w:val="00B53EAB"/>
    <w:rsid w:val="00B54795"/>
    <w:rsid w:val="00B56F64"/>
    <w:rsid w:val="00B60787"/>
    <w:rsid w:val="00B6436C"/>
    <w:rsid w:val="00B64A1E"/>
    <w:rsid w:val="00B669C3"/>
    <w:rsid w:val="00B67AB4"/>
    <w:rsid w:val="00B70F86"/>
    <w:rsid w:val="00B827F1"/>
    <w:rsid w:val="00B83806"/>
    <w:rsid w:val="00B861D3"/>
    <w:rsid w:val="00B90ECA"/>
    <w:rsid w:val="00B92FB0"/>
    <w:rsid w:val="00B9349B"/>
    <w:rsid w:val="00B96F90"/>
    <w:rsid w:val="00BA2C9E"/>
    <w:rsid w:val="00BA2F78"/>
    <w:rsid w:val="00BA5AC1"/>
    <w:rsid w:val="00BA5BCE"/>
    <w:rsid w:val="00BA69F0"/>
    <w:rsid w:val="00BA723D"/>
    <w:rsid w:val="00BA7F2B"/>
    <w:rsid w:val="00BB20F3"/>
    <w:rsid w:val="00BB776B"/>
    <w:rsid w:val="00BC0F04"/>
    <w:rsid w:val="00BC69DA"/>
    <w:rsid w:val="00BD0067"/>
    <w:rsid w:val="00BD3121"/>
    <w:rsid w:val="00BD5540"/>
    <w:rsid w:val="00BD70EA"/>
    <w:rsid w:val="00BD7351"/>
    <w:rsid w:val="00BE2370"/>
    <w:rsid w:val="00BE29E7"/>
    <w:rsid w:val="00BE5BBF"/>
    <w:rsid w:val="00BE5F54"/>
    <w:rsid w:val="00BE63D6"/>
    <w:rsid w:val="00BF14E7"/>
    <w:rsid w:val="00BF241F"/>
    <w:rsid w:val="00BF3F25"/>
    <w:rsid w:val="00BF63E6"/>
    <w:rsid w:val="00BF7E8E"/>
    <w:rsid w:val="00C00D58"/>
    <w:rsid w:val="00C030EA"/>
    <w:rsid w:val="00C051DA"/>
    <w:rsid w:val="00C0622F"/>
    <w:rsid w:val="00C06F7C"/>
    <w:rsid w:val="00C0730B"/>
    <w:rsid w:val="00C123E0"/>
    <w:rsid w:val="00C138CC"/>
    <w:rsid w:val="00C1450C"/>
    <w:rsid w:val="00C17BB5"/>
    <w:rsid w:val="00C17E2B"/>
    <w:rsid w:val="00C23274"/>
    <w:rsid w:val="00C24BC2"/>
    <w:rsid w:val="00C261DD"/>
    <w:rsid w:val="00C26CD2"/>
    <w:rsid w:val="00C304ED"/>
    <w:rsid w:val="00C3358A"/>
    <w:rsid w:val="00C400EC"/>
    <w:rsid w:val="00C400FE"/>
    <w:rsid w:val="00C433A7"/>
    <w:rsid w:val="00C458A2"/>
    <w:rsid w:val="00C46C67"/>
    <w:rsid w:val="00C4768C"/>
    <w:rsid w:val="00C478C5"/>
    <w:rsid w:val="00C47D96"/>
    <w:rsid w:val="00C52C79"/>
    <w:rsid w:val="00C619D9"/>
    <w:rsid w:val="00C65FBC"/>
    <w:rsid w:val="00C67CE6"/>
    <w:rsid w:val="00C709A8"/>
    <w:rsid w:val="00C73973"/>
    <w:rsid w:val="00C80438"/>
    <w:rsid w:val="00C81105"/>
    <w:rsid w:val="00C83903"/>
    <w:rsid w:val="00C83BC2"/>
    <w:rsid w:val="00C86CDF"/>
    <w:rsid w:val="00C90977"/>
    <w:rsid w:val="00C912CD"/>
    <w:rsid w:val="00C913CD"/>
    <w:rsid w:val="00C93286"/>
    <w:rsid w:val="00C9378A"/>
    <w:rsid w:val="00C95097"/>
    <w:rsid w:val="00C9527E"/>
    <w:rsid w:val="00C95AC5"/>
    <w:rsid w:val="00C965DB"/>
    <w:rsid w:val="00CA137F"/>
    <w:rsid w:val="00CA1490"/>
    <w:rsid w:val="00CA2184"/>
    <w:rsid w:val="00CA5FD0"/>
    <w:rsid w:val="00CB0077"/>
    <w:rsid w:val="00CB3601"/>
    <w:rsid w:val="00CB61DD"/>
    <w:rsid w:val="00CB637E"/>
    <w:rsid w:val="00CB70B0"/>
    <w:rsid w:val="00CB74E5"/>
    <w:rsid w:val="00CB7DA6"/>
    <w:rsid w:val="00CC2F44"/>
    <w:rsid w:val="00CD1349"/>
    <w:rsid w:val="00CD3B03"/>
    <w:rsid w:val="00CD5971"/>
    <w:rsid w:val="00CD6593"/>
    <w:rsid w:val="00CD6A6A"/>
    <w:rsid w:val="00CD6F7A"/>
    <w:rsid w:val="00CE388B"/>
    <w:rsid w:val="00CE4481"/>
    <w:rsid w:val="00CE496A"/>
    <w:rsid w:val="00CE53DA"/>
    <w:rsid w:val="00CE5A0B"/>
    <w:rsid w:val="00CE6088"/>
    <w:rsid w:val="00CE608C"/>
    <w:rsid w:val="00CF2C4B"/>
    <w:rsid w:val="00CF5F74"/>
    <w:rsid w:val="00CF6F10"/>
    <w:rsid w:val="00D004EB"/>
    <w:rsid w:val="00D01E4A"/>
    <w:rsid w:val="00D059EB"/>
    <w:rsid w:val="00D06B90"/>
    <w:rsid w:val="00D06C88"/>
    <w:rsid w:val="00D10F02"/>
    <w:rsid w:val="00D208A4"/>
    <w:rsid w:val="00D20DC5"/>
    <w:rsid w:val="00D24F8F"/>
    <w:rsid w:val="00D2626E"/>
    <w:rsid w:val="00D26672"/>
    <w:rsid w:val="00D266EE"/>
    <w:rsid w:val="00D26E7B"/>
    <w:rsid w:val="00D32494"/>
    <w:rsid w:val="00D35854"/>
    <w:rsid w:val="00D40338"/>
    <w:rsid w:val="00D413DD"/>
    <w:rsid w:val="00D43BDD"/>
    <w:rsid w:val="00D44E88"/>
    <w:rsid w:val="00D46275"/>
    <w:rsid w:val="00D5044F"/>
    <w:rsid w:val="00D5188D"/>
    <w:rsid w:val="00D53085"/>
    <w:rsid w:val="00D5412F"/>
    <w:rsid w:val="00D54832"/>
    <w:rsid w:val="00D54DF3"/>
    <w:rsid w:val="00D56556"/>
    <w:rsid w:val="00D57B93"/>
    <w:rsid w:val="00D649C5"/>
    <w:rsid w:val="00D65208"/>
    <w:rsid w:val="00D66BC5"/>
    <w:rsid w:val="00D67FF1"/>
    <w:rsid w:val="00D75045"/>
    <w:rsid w:val="00D75716"/>
    <w:rsid w:val="00D75ED7"/>
    <w:rsid w:val="00D820F2"/>
    <w:rsid w:val="00D82EB3"/>
    <w:rsid w:val="00D83C3E"/>
    <w:rsid w:val="00D85A6C"/>
    <w:rsid w:val="00D85E8D"/>
    <w:rsid w:val="00D90CB8"/>
    <w:rsid w:val="00D914F7"/>
    <w:rsid w:val="00D928D6"/>
    <w:rsid w:val="00D9573A"/>
    <w:rsid w:val="00D96FE9"/>
    <w:rsid w:val="00DA041F"/>
    <w:rsid w:val="00DA2CEA"/>
    <w:rsid w:val="00DA3723"/>
    <w:rsid w:val="00DA5896"/>
    <w:rsid w:val="00DA5FFF"/>
    <w:rsid w:val="00DA7531"/>
    <w:rsid w:val="00DB4B42"/>
    <w:rsid w:val="00DB4B69"/>
    <w:rsid w:val="00DB4EAC"/>
    <w:rsid w:val="00DB6208"/>
    <w:rsid w:val="00DB7763"/>
    <w:rsid w:val="00DC1829"/>
    <w:rsid w:val="00DC25E9"/>
    <w:rsid w:val="00DC2758"/>
    <w:rsid w:val="00DC276C"/>
    <w:rsid w:val="00DC42D8"/>
    <w:rsid w:val="00DC4C76"/>
    <w:rsid w:val="00DC538C"/>
    <w:rsid w:val="00DC6C73"/>
    <w:rsid w:val="00DD0DD5"/>
    <w:rsid w:val="00DD3CE2"/>
    <w:rsid w:val="00DD4B41"/>
    <w:rsid w:val="00DE3A79"/>
    <w:rsid w:val="00DE78A2"/>
    <w:rsid w:val="00DF230F"/>
    <w:rsid w:val="00DF28A4"/>
    <w:rsid w:val="00DF50C8"/>
    <w:rsid w:val="00E02F16"/>
    <w:rsid w:val="00E031C2"/>
    <w:rsid w:val="00E06E35"/>
    <w:rsid w:val="00E112C4"/>
    <w:rsid w:val="00E13898"/>
    <w:rsid w:val="00E157BF"/>
    <w:rsid w:val="00E16F5A"/>
    <w:rsid w:val="00E23EA3"/>
    <w:rsid w:val="00E25CDB"/>
    <w:rsid w:val="00E30D34"/>
    <w:rsid w:val="00E318CA"/>
    <w:rsid w:val="00E31978"/>
    <w:rsid w:val="00E32EF5"/>
    <w:rsid w:val="00E349FC"/>
    <w:rsid w:val="00E356A2"/>
    <w:rsid w:val="00E460EF"/>
    <w:rsid w:val="00E47174"/>
    <w:rsid w:val="00E517F8"/>
    <w:rsid w:val="00E51AD5"/>
    <w:rsid w:val="00E618A6"/>
    <w:rsid w:val="00E621E5"/>
    <w:rsid w:val="00E629C0"/>
    <w:rsid w:val="00E62BFA"/>
    <w:rsid w:val="00E634BE"/>
    <w:rsid w:val="00E673E3"/>
    <w:rsid w:val="00E67632"/>
    <w:rsid w:val="00E71092"/>
    <w:rsid w:val="00E725DF"/>
    <w:rsid w:val="00E7319D"/>
    <w:rsid w:val="00E73841"/>
    <w:rsid w:val="00E77A47"/>
    <w:rsid w:val="00E77E00"/>
    <w:rsid w:val="00E81C53"/>
    <w:rsid w:val="00E85642"/>
    <w:rsid w:val="00E87A11"/>
    <w:rsid w:val="00E913ED"/>
    <w:rsid w:val="00E91419"/>
    <w:rsid w:val="00E923F1"/>
    <w:rsid w:val="00E9315C"/>
    <w:rsid w:val="00E94704"/>
    <w:rsid w:val="00E95282"/>
    <w:rsid w:val="00E961D2"/>
    <w:rsid w:val="00E97E5F"/>
    <w:rsid w:val="00EA03C1"/>
    <w:rsid w:val="00EA03C5"/>
    <w:rsid w:val="00EA03D2"/>
    <w:rsid w:val="00EA05AE"/>
    <w:rsid w:val="00EA154E"/>
    <w:rsid w:val="00EA249D"/>
    <w:rsid w:val="00EA3FAB"/>
    <w:rsid w:val="00EA400F"/>
    <w:rsid w:val="00EA46F5"/>
    <w:rsid w:val="00EA4F18"/>
    <w:rsid w:val="00EB00DD"/>
    <w:rsid w:val="00EB01FE"/>
    <w:rsid w:val="00EB1BB7"/>
    <w:rsid w:val="00EB22B8"/>
    <w:rsid w:val="00EB2D6B"/>
    <w:rsid w:val="00EB34CE"/>
    <w:rsid w:val="00EB52C2"/>
    <w:rsid w:val="00EC1EC7"/>
    <w:rsid w:val="00EC28A6"/>
    <w:rsid w:val="00EC4A28"/>
    <w:rsid w:val="00EC55D2"/>
    <w:rsid w:val="00EC5D5E"/>
    <w:rsid w:val="00ED0A59"/>
    <w:rsid w:val="00ED78DB"/>
    <w:rsid w:val="00EE5D0B"/>
    <w:rsid w:val="00EE68A1"/>
    <w:rsid w:val="00EE7B5B"/>
    <w:rsid w:val="00EE7DA6"/>
    <w:rsid w:val="00EF0FF5"/>
    <w:rsid w:val="00EF64C5"/>
    <w:rsid w:val="00EF7DBA"/>
    <w:rsid w:val="00F00FB7"/>
    <w:rsid w:val="00F010D5"/>
    <w:rsid w:val="00F02ED8"/>
    <w:rsid w:val="00F0410E"/>
    <w:rsid w:val="00F05B78"/>
    <w:rsid w:val="00F0737F"/>
    <w:rsid w:val="00F1065C"/>
    <w:rsid w:val="00F11502"/>
    <w:rsid w:val="00F11E5F"/>
    <w:rsid w:val="00F1387C"/>
    <w:rsid w:val="00F1721F"/>
    <w:rsid w:val="00F17E79"/>
    <w:rsid w:val="00F20A87"/>
    <w:rsid w:val="00F214AD"/>
    <w:rsid w:val="00F22BED"/>
    <w:rsid w:val="00F25E9E"/>
    <w:rsid w:val="00F270CE"/>
    <w:rsid w:val="00F31662"/>
    <w:rsid w:val="00F3166A"/>
    <w:rsid w:val="00F32932"/>
    <w:rsid w:val="00F341C3"/>
    <w:rsid w:val="00F37CD8"/>
    <w:rsid w:val="00F37FC8"/>
    <w:rsid w:val="00F40296"/>
    <w:rsid w:val="00F40C84"/>
    <w:rsid w:val="00F47C52"/>
    <w:rsid w:val="00F510EB"/>
    <w:rsid w:val="00F5311B"/>
    <w:rsid w:val="00F53767"/>
    <w:rsid w:val="00F5464F"/>
    <w:rsid w:val="00F55BE2"/>
    <w:rsid w:val="00F56AD7"/>
    <w:rsid w:val="00F60EDE"/>
    <w:rsid w:val="00F65FA7"/>
    <w:rsid w:val="00F662DC"/>
    <w:rsid w:val="00F66B6B"/>
    <w:rsid w:val="00F66BEA"/>
    <w:rsid w:val="00F672E4"/>
    <w:rsid w:val="00F67BB1"/>
    <w:rsid w:val="00F7131A"/>
    <w:rsid w:val="00F71BC1"/>
    <w:rsid w:val="00F734DC"/>
    <w:rsid w:val="00F744E6"/>
    <w:rsid w:val="00F74E7E"/>
    <w:rsid w:val="00F76601"/>
    <w:rsid w:val="00F778A8"/>
    <w:rsid w:val="00F84FB0"/>
    <w:rsid w:val="00F862A3"/>
    <w:rsid w:val="00F916F2"/>
    <w:rsid w:val="00F92256"/>
    <w:rsid w:val="00F927AD"/>
    <w:rsid w:val="00F940A8"/>
    <w:rsid w:val="00FA021F"/>
    <w:rsid w:val="00FA1F56"/>
    <w:rsid w:val="00FA564D"/>
    <w:rsid w:val="00FB04CE"/>
    <w:rsid w:val="00FB0DD0"/>
    <w:rsid w:val="00FB5288"/>
    <w:rsid w:val="00FB5B49"/>
    <w:rsid w:val="00FB6C1B"/>
    <w:rsid w:val="00FC0B9F"/>
    <w:rsid w:val="00FC1C9B"/>
    <w:rsid w:val="00FC3471"/>
    <w:rsid w:val="00FC631E"/>
    <w:rsid w:val="00FD0077"/>
    <w:rsid w:val="00FD040E"/>
    <w:rsid w:val="00FD1236"/>
    <w:rsid w:val="00FD2545"/>
    <w:rsid w:val="00FD37C0"/>
    <w:rsid w:val="00FD52A6"/>
    <w:rsid w:val="00FD578B"/>
    <w:rsid w:val="00FD64D2"/>
    <w:rsid w:val="00FD6743"/>
    <w:rsid w:val="00FD74DF"/>
    <w:rsid w:val="00FE5129"/>
    <w:rsid w:val="00FE547C"/>
    <w:rsid w:val="00FE661A"/>
    <w:rsid w:val="00FE695E"/>
    <w:rsid w:val="00FE6FB5"/>
    <w:rsid w:val="00FF02FF"/>
    <w:rsid w:val="00FF1C66"/>
    <w:rsid w:val="00FF3CF6"/>
    <w:rsid w:val="00FF4B12"/>
    <w:rsid w:val="00FF6201"/>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FF2E7C"/>
  <w15:chartTrackingRefBased/>
  <w15:docId w15:val="{A7C2EDD7-770A-41DA-AD12-E7DF91512A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723D"/>
    <w:pPr>
      <w:spacing w:after="0" w:line="240" w:lineRule="auto"/>
    </w:pPr>
    <w:rPr>
      <w:rFonts w:ascii="Times New Roman" w:eastAsia="MS Mincho" w:hAnsi="Times New Roman" w:cs="Times New Roman"/>
      <w:sz w:val="24"/>
      <w:szCs w:val="24"/>
      <w:lang w:val="es-ES_tradnl"/>
    </w:rPr>
  </w:style>
  <w:style w:type="paragraph" w:styleId="Ttulo1">
    <w:name w:val="heading 1"/>
    <w:basedOn w:val="Normal"/>
    <w:next w:val="Normal"/>
    <w:link w:val="Ttulo1Car"/>
    <w:uiPriority w:val="9"/>
    <w:qFormat/>
    <w:rsid w:val="00260FC4"/>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FB6C1B"/>
    <w:pPr>
      <w:keepNext/>
      <w:keepLines/>
      <w:widowControl w:val="0"/>
      <w:tabs>
        <w:tab w:val="left" w:pos="1134"/>
      </w:tabs>
      <w:adjustRightInd w:val="0"/>
      <w:spacing w:before="240" w:after="240"/>
      <w:ind w:left="562"/>
      <w:jc w:val="both"/>
      <w:textAlignment w:val="baseline"/>
      <w:outlineLvl w:val="1"/>
    </w:pPr>
    <w:rPr>
      <w:rFonts w:ascii="Verdana" w:hAnsi="Verdana"/>
      <w:b/>
      <w:bCs/>
      <w:i/>
      <w:sz w:val="20"/>
      <w:szCs w:val="20"/>
      <w:lang w:val="es-CR" w:eastAsia="es-CR"/>
    </w:rPr>
  </w:style>
  <w:style w:type="paragraph" w:styleId="Ttulo3">
    <w:name w:val="heading 3"/>
    <w:basedOn w:val="Normal"/>
    <w:next w:val="Normal"/>
    <w:link w:val="Ttulo3Car"/>
    <w:uiPriority w:val="9"/>
    <w:unhideWhenUsed/>
    <w:qFormat/>
    <w:rsid w:val="00457DCA"/>
    <w:pPr>
      <w:keepNext/>
      <w:keepLines/>
      <w:spacing w:before="40"/>
      <w:outlineLvl w:val="2"/>
    </w:pPr>
    <w:rPr>
      <w:rFonts w:asciiTheme="majorHAnsi" w:eastAsiaTheme="majorEastAsia" w:hAnsiTheme="majorHAnsi" w:cstheme="majorBidi"/>
      <w:color w:val="1F4D78" w:themeColor="accent1" w:themeShade="7F"/>
    </w:rPr>
  </w:style>
  <w:style w:type="paragraph" w:styleId="Ttulo4">
    <w:name w:val="heading 4"/>
    <w:basedOn w:val="Ttulo3"/>
    <w:next w:val="Normal"/>
    <w:link w:val="Ttulo4Car"/>
    <w:uiPriority w:val="9"/>
    <w:unhideWhenUsed/>
    <w:qFormat/>
    <w:rsid w:val="00424C78"/>
    <w:pPr>
      <w:keepNext w:val="0"/>
      <w:keepLines w:val="0"/>
      <w:spacing w:before="0"/>
      <w:ind w:left="1440" w:hanging="360"/>
      <w:contextualSpacing/>
      <w:jc w:val="both"/>
      <w:outlineLvl w:val="3"/>
    </w:pPr>
    <w:rPr>
      <w:rFonts w:ascii="Verdana" w:eastAsia="Batang" w:hAnsi="Verdana" w:cs="Times New Roman"/>
      <w:b/>
      <w:i/>
      <w:color w:val="auto"/>
      <w:sz w:val="20"/>
      <w:szCs w:val="22"/>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A723D"/>
    <w:pPr>
      <w:tabs>
        <w:tab w:val="center" w:pos="4419"/>
        <w:tab w:val="right" w:pos="8838"/>
      </w:tabs>
    </w:pPr>
  </w:style>
  <w:style w:type="character" w:customStyle="1" w:styleId="EncabezadoCar">
    <w:name w:val="Encabezado Car"/>
    <w:basedOn w:val="Fuentedeprrafopredeter"/>
    <w:link w:val="Encabezado"/>
    <w:uiPriority w:val="99"/>
    <w:rsid w:val="00BA723D"/>
  </w:style>
  <w:style w:type="paragraph" w:styleId="Piedepgina">
    <w:name w:val="footer"/>
    <w:basedOn w:val="Normal"/>
    <w:link w:val="PiedepginaCar"/>
    <w:unhideWhenUsed/>
    <w:rsid w:val="00BA723D"/>
    <w:pPr>
      <w:tabs>
        <w:tab w:val="center" w:pos="4419"/>
        <w:tab w:val="right" w:pos="8838"/>
      </w:tabs>
    </w:pPr>
  </w:style>
  <w:style w:type="character" w:customStyle="1" w:styleId="PiedepginaCar">
    <w:name w:val="Pie de página Car"/>
    <w:basedOn w:val="Fuentedeprrafopredeter"/>
    <w:link w:val="Piedepgina"/>
    <w:rsid w:val="00BA723D"/>
  </w:style>
  <w:style w:type="paragraph" w:styleId="Textoindependiente3">
    <w:name w:val="Body Text 3"/>
    <w:basedOn w:val="Normal"/>
    <w:link w:val="Textoindependiente3Car"/>
    <w:semiHidden/>
    <w:rsid w:val="00BA723D"/>
    <w:pPr>
      <w:ind w:right="-72"/>
      <w:jc w:val="both"/>
    </w:pPr>
    <w:rPr>
      <w:rFonts w:ascii="Garamond" w:eastAsia="Times" w:hAnsi="Garamond"/>
      <w:szCs w:val="20"/>
      <w:lang w:eastAsia="es-ES"/>
    </w:rPr>
  </w:style>
  <w:style w:type="character" w:customStyle="1" w:styleId="Textoindependiente3Car">
    <w:name w:val="Texto independiente 3 Car"/>
    <w:basedOn w:val="Fuentedeprrafopredeter"/>
    <w:link w:val="Textoindependiente3"/>
    <w:semiHidden/>
    <w:rsid w:val="00BA723D"/>
    <w:rPr>
      <w:rFonts w:ascii="Garamond" w:eastAsia="Times" w:hAnsi="Garamond" w:cs="Times New Roman"/>
      <w:sz w:val="24"/>
      <w:szCs w:val="20"/>
      <w:lang w:val="es-ES_tradnl" w:eastAsia="es-ES"/>
    </w:rPr>
  </w:style>
  <w:style w:type="paragraph" w:styleId="Textoindependiente2">
    <w:name w:val="Body Text 2"/>
    <w:basedOn w:val="Normal"/>
    <w:link w:val="Textoindependiente2Car"/>
    <w:semiHidden/>
    <w:rsid w:val="00BA723D"/>
    <w:pPr>
      <w:jc w:val="both"/>
    </w:pPr>
    <w:rPr>
      <w:rFonts w:ascii="Avant Garde" w:eastAsia="Times" w:hAnsi="Avant Garde"/>
      <w:szCs w:val="20"/>
      <w:lang w:eastAsia="es-ES"/>
    </w:rPr>
  </w:style>
  <w:style w:type="character" w:customStyle="1" w:styleId="Textoindependiente2Car">
    <w:name w:val="Texto independiente 2 Car"/>
    <w:basedOn w:val="Fuentedeprrafopredeter"/>
    <w:link w:val="Textoindependiente2"/>
    <w:semiHidden/>
    <w:rsid w:val="00BA723D"/>
    <w:rPr>
      <w:rFonts w:ascii="Avant Garde" w:eastAsia="Times" w:hAnsi="Avant Garde" w:cs="Times New Roman"/>
      <w:sz w:val="24"/>
      <w:szCs w:val="20"/>
      <w:lang w:val="es-ES_tradnl" w:eastAsia="es-ES"/>
    </w:rPr>
  </w:style>
  <w:style w:type="paragraph" w:styleId="Textoindependiente">
    <w:name w:val="Body Text"/>
    <w:basedOn w:val="Normal"/>
    <w:link w:val="TextoindependienteCar"/>
    <w:semiHidden/>
    <w:rsid w:val="00BA723D"/>
    <w:pPr>
      <w:ind w:right="22"/>
      <w:jc w:val="both"/>
    </w:pPr>
    <w:rPr>
      <w:rFonts w:ascii="Garamond" w:eastAsia="Times" w:hAnsi="Garamond"/>
      <w:szCs w:val="20"/>
      <w:lang w:eastAsia="es-ES"/>
    </w:rPr>
  </w:style>
  <w:style w:type="character" w:customStyle="1" w:styleId="TextoindependienteCar">
    <w:name w:val="Texto independiente Car"/>
    <w:basedOn w:val="Fuentedeprrafopredeter"/>
    <w:link w:val="Textoindependiente"/>
    <w:semiHidden/>
    <w:rsid w:val="00BA723D"/>
    <w:rPr>
      <w:rFonts w:ascii="Garamond" w:eastAsia="Times" w:hAnsi="Garamond" w:cs="Times New Roman"/>
      <w:sz w:val="24"/>
      <w:szCs w:val="20"/>
      <w:lang w:val="es-ES_tradnl" w:eastAsia="es-ES"/>
    </w:rPr>
  </w:style>
  <w:style w:type="character" w:styleId="Refdenotaalpie">
    <w:name w:val="footnote reference"/>
    <w:aliases w:val="Texto de nota al pie,Appel note de bas de page,Footnotes refss,Footnote number,referencia nota al pie,BVI fnr,f,4_G,16 Point,Superscript 6 Point,Texto nota al pie,Footnote Reference Char3,Footnote Reference Char1 Char,Ref. de nota al"/>
    <w:basedOn w:val="Fuentedeprrafopredeter"/>
    <w:link w:val="4GChar"/>
    <w:uiPriority w:val="99"/>
    <w:qFormat/>
    <w:rsid w:val="00BA723D"/>
    <w:rPr>
      <w:vertAlign w:val="superscript"/>
    </w:rPr>
  </w:style>
  <w:style w:type="paragraph" w:styleId="Textonotapie">
    <w:name w:val="footnote text"/>
    <w:aliases w:val="Footnote Text Char Char Char Char Char,Footnote Text Char Char Char Char,Footnote reference,FA Fu,Footnote Text Char Char Char,FA Fu Car,FA Fu Car Car,Footnote Text Cha,FA Fußnotentext,FA Fuﬂnotentext,Ca,footnote text,C,Texto nota pie Car"/>
    <w:basedOn w:val="Normal"/>
    <w:link w:val="TextonotapieCar2"/>
    <w:qFormat/>
    <w:rsid w:val="00BA723D"/>
    <w:pPr>
      <w:jc w:val="both"/>
    </w:pPr>
    <w:rPr>
      <w:rFonts w:ascii="Verdana" w:eastAsia="Times" w:hAnsi="Verdana"/>
      <w:sz w:val="16"/>
      <w:szCs w:val="20"/>
      <w:lang w:eastAsia="es-ES"/>
    </w:rPr>
  </w:style>
  <w:style w:type="character" w:customStyle="1" w:styleId="TextonotapieCar2">
    <w:name w:val="Texto nota pie Car2"/>
    <w:aliases w:val="Footnote Text Char Char Char Char Char Car,Footnote Text Char Char Char Char Car,Footnote reference Car,FA Fu Car2,Footnote Text Char Char Char Car,FA Fu Car Car2,FA Fu Car Car Car1,Footnote Text Cha Car,FA Fußnotentext Car,Ca Car"/>
    <w:basedOn w:val="Fuentedeprrafopredeter"/>
    <w:link w:val="Textonotapie"/>
    <w:qFormat/>
    <w:rsid w:val="00BA723D"/>
    <w:rPr>
      <w:rFonts w:ascii="Verdana" w:eastAsia="Times" w:hAnsi="Verdana" w:cs="Times New Roman"/>
      <w:sz w:val="16"/>
      <w:szCs w:val="20"/>
      <w:lang w:val="es-ES_tradnl" w:eastAsia="es-ES"/>
    </w:rPr>
  </w:style>
  <w:style w:type="paragraph" w:styleId="Prrafodelista">
    <w:name w:val="List Paragraph"/>
    <w:aliases w:val="Cuadrícula clara - Énfasis 31,Footnote,List Paragraph2,List Paragraph1,Lista vistosa - Énfasis 11,Colorful List - Accent 11,Subtle Emphasis1,Footnote1,List Paragraph11,Parrafos"/>
    <w:basedOn w:val="Normal"/>
    <w:link w:val="PrrafodelistaCar"/>
    <w:uiPriority w:val="34"/>
    <w:qFormat/>
    <w:rsid w:val="00BA723D"/>
    <w:pPr>
      <w:ind w:left="708"/>
    </w:pPr>
  </w:style>
  <w:style w:type="character" w:customStyle="1" w:styleId="PrrafodelistaCar">
    <w:name w:val="Párrafo de lista Car"/>
    <w:aliases w:val="Cuadrícula clara - Énfasis 31 Car,Footnote Car,List Paragraph2 Car,List Paragraph1 Car,Lista vistosa - Énfasis 11 Car,Colorful List - Accent 11 Car,Subtle Emphasis1 Car,Footnote1 Car,List Paragraph11 Car,Parrafos Car"/>
    <w:link w:val="Prrafodelista"/>
    <w:uiPriority w:val="34"/>
    <w:locked/>
    <w:rsid w:val="00BA723D"/>
    <w:rPr>
      <w:rFonts w:ascii="Times New Roman" w:eastAsia="MS Mincho" w:hAnsi="Times New Roman" w:cs="Times New Roman"/>
      <w:sz w:val="24"/>
      <w:szCs w:val="24"/>
      <w:lang w:val="es-ES_tradnl"/>
    </w:rPr>
  </w:style>
  <w:style w:type="character" w:styleId="Textoennegrita">
    <w:name w:val="Strong"/>
    <w:aliases w:val="Heading 2.1"/>
    <w:uiPriority w:val="22"/>
    <w:qFormat/>
    <w:rsid w:val="007121D6"/>
    <w:rPr>
      <w:b/>
      <w:bCs/>
    </w:rPr>
  </w:style>
  <w:style w:type="paragraph" w:customStyle="1" w:styleId="Prrafodelista1">
    <w:name w:val="Párrafo de lista1"/>
    <w:basedOn w:val="Normal"/>
    <w:qFormat/>
    <w:rsid w:val="007121D6"/>
    <w:pPr>
      <w:contextualSpacing/>
    </w:pPr>
    <w:rPr>
      <w:rFonts w:ascii="Verdana" w:eastAsia="Batang" w:hAnsi="Verdana"/>
      <w:sz w:val="16"/>
      <w:szCs w:val="22"/>
      <w:lang w:val="es-ES"/>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qFormat/>
    <w:rsid w:val="007121D6"/>
    <w:pPr>
      <w:jc w:val="both"/>
    </w:pPr>
    <w:rPr>
      <w:rFonts w:asciiTheme="minorHAnsi" w:eastAsiaTheme="minorHAnsi" w:hAnsiTheme="minorHAnsi" w:cstheme="minorBidi"/>
      <w:sz w:val="22"/>
      <w:szCs w:val="22"/>
      <w:vertAlign w:val="superscript"/>
      <w:lang w:val="es-CR"/>
    </w:rPr>
  </w:style>
  <w:style w:type="character" w:customStyle="1" w:styleId="TextonotapieCar1">
    <w:name w:val="Texto nota pie Car1"/>
    <w:aliases w:val="Footnote Text Char Char Char Char Char Car1,Footnote Text Char Char Char Char Car1,Footnote reference Car1,FA Fu Car1,Footnote Text Char Char Char Car1,Texto nota pie Car Car,FA Fu Car Car1,FA Fu Car Car Car,Footnote Text Cha Car1"/>
    <w:qFormat/>
    <w:rsid w:val="007121D6"/>
    <w:rPr>
      <w:rFonts w:eastAsia="MS Mincho"/>
      <w:lang w:val="es-ES_tradnl" w:eastAsia="en-US"/>
    </w:rPr>
  </w:style>
  <w:style w:type="character" w:styleId="Nmerodepgina">
    <w:name w:val="page number"/>
    <w:basedOn w:val="Fuentedeprrafopredeter"/>
    <w:semiHidden/>
    <w:rsid w:val="007121D6"/>
  </w:style>
  <w:style w:type="character" w:styleId="Refdecomentario">
    <w:name w:val="annotation reference"/>
    <w:basedOn w:val="Fuentedeprrafopredeter"/>
    <w:uiPriority w:val="99"/>
    <w:semiHidden/>
    <w:unhideWhenUsed/>
    <w:rsid w:val="00492F23"/>
    <w:rPr>
      <w:sz w:val="16"/>
      <w:szCs w:val="16"/>
    </w:rPr>
  </w:style>
  <w:style w:type="paragraph" w:styleId="Textocomentario">
    <w:name w:val="annotation text"/>
    <w:basedOn w:val="Normal"/>
    <w:link w:val="TextocomentarioCar"/>
    <w:uiPriority w:val="99"/>
    <w:unhideWhenUsed/>
    <w:rsid w:val="00492F23"/>
    <w:rPr>
      <w:sz w:val="20"/>
      <w:szCs w:val="20"/>
    </w:rPr>
  </w:style>
  <w:style w:type="character" w:customStyle="1" w:styleId="TextocomentarioCar">
    <w:name w:val="Texto comentario Car"/>
    <w:basedOn w:val="Fuentedeprrafopredeter"/>
    <w:link w:val="Textocomentario"/>
    <w:uiPriority w:val="99"/>
    <w:rsid w:val="00492F23"/>
    <w:rPr>
      <w:rFonts w:ascii="Times New Roman" w:eastAsia="MS Mincho" w:hAnsi="Times New Roman" w:cs="Times New Roman"/>
      <w:sz w:val="20"/>
      <w:szCs w:val="20"/>
      <w:lang w:val="es-ES_tradnl"/>
    </w:rPr>
  </w:style>
  <w:style w:type="paragraph" w:styleId="Asuntodelcomentario">
    <w:name w:val="annotation subject"/>
    <w:basedOn w:val="Textocomentario"/>
    <w:next w:val="Textocomentario"/>
    <w:link w:val="AsuntodelcomentarioCar"/>
    <w:uiPriority w:val="99"/>
    <w:semiHidden/>
    <w:unhideWhenUsed/>
    <w:rsid w:val="00492F23"/>
    <w:rPr>
      <w:b/>
      <w:bCs/>
    </w:rPr>
  </w:style>
  <w:style w:type="character" w:customStyle="1" w:styleId="AsuntodelcomentarioCar">
    <w:name w:val="Asunto del comentario Car"/>
    <w:basedOn w:val="TextocomentarioCar"/>
    <w:link w:val="Asuntodelcomentario"/>
    <w:uiPriority w:val="99"/>
    <w:semiHidden/>
    <w:rsid w:val="00492F23"/>
    <w:rPr>
      <w:rFonts w:ascii="Times New Roman" w:eastAsia="MS Mincho" w:hAnsi="Times New Roman" w:cs="Times New Roman"/>
      <w:b/>
      <w:bCs/>
      <w:sz w:val="20"/>
      <w:szCs w:val="20"/>
      <w:lang w:val="es-ES_tradnl"/>
    </w:rPr>
  </w:style>
  <w:style w:type="paragraph" w:styleId="Textodeglobo">
    <w:name w:val="Balloon Text"/>
    <w:basedOn w:val="Normal"/>
    <w:link w:val="TextodegloboCar"/>
    <w:uiPriority w:val="99"/>
    <w:semiHidden/>
    <w:unhideWhenUsed/>
    <w:rsid w:val="00492F23"/>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92F23"/>
    <w:rPr>
      <w:rFonts w:ascii="Segoe UI" w:eastAsia="MS Mincho" w:hAnsi="Segoe UI" w:cs="Segoe UI"/>
      <w:sz w:val="18"/>
      <w:szCs w:val="18"/>
      <w:lang w:val="es-ES_tradnl"/>
    </w:rPr>
  </w:style>
  <w:style w:type="character" w:styleId="Nmerodelnea">
    <w:name w:val="line number"/>
    <w:basedOn w:val="Fuentedeprrafopredeter"/>
    <w:uiPriority w:val="99"/>
    <w:semiHidden/>
    <w:unhideWhenUsed/>
    <w:rsid w:val="00B3077C"/>
  </w:style>
  <w:style w:type="character" w:customStyle="1" w:styleId="FootnoteTextChar1">
    <w:name w:val="Footnote Text Char1"/>
    <w:aliases w:val="Footnote Text Char Char Char Char Char Char1,Footnote Text Char Char Char Char Char2,Footnote reference Char1,FA Fu Char1,Footnote Text Char Char Char Char2,Texto nota pie Car Char1,FA Fu Car Char1,FA Fu Car Car Char1,Ca Char,C Char"/>
    <w:uiPriority w:val="99"/>
    <w:rsid w:val="00AF1D0C"/>
    <w:rPr>
      <w:rFonts w:eastAsia="MS Mincho"/>
      <w:lang w:val="es-ES_tradnl" w:eastAsia="en-US"/>
    </w:rPr>
  </w:style>
  <w:style w:type="character" w:customStyle="1" w:styleId="highlight">
    <w:name w:val="highlight"/>
    <w:rsid w:val="00AF1D0C"/>
  </w:style>
  <w:style w:type="paragraph" w:styleId="Sinespaciado">
    <w:name w:val="No Spacing"/>
    <w:basedOn w:val="Prrafodelista"/>
    <w:uiPriority w:val="1"/>
    <w:qFormat/>
    <w:rsid w:val="006657D5"/>
    <w:pPr>
      <w:widowControl w:val="0"/>
      <w:numPr>
        <w:numId w:val="18"/>
      </w:numPr>
      <w:tabs>
        <w:tab w:val="left" w:pos="0"/>
        <w:tab w:val="left" w:pos="567"/>
      </w:tabs>
      <w:autoSpaceDE w:val="0"/>
      <w:autoSpaceDN w:val="0"/>
      <w:adjustRightInd w:val="0"/>
      <w:ind w:right="22"/>
      <w:contextualSpacing/>
      <w:jc w:val="both"/>
    </w:pPr>
    <w:rPr>
      <w:rFonts w:ascii="Verdana" w:eastAsiaTheme="minorHAnsi" w:hAnsi="Verdana" w:cstheme="minorBidi"/>
      <w:bCs/>
      <w:iCs/>
      <w:sz w:val="20"/>
      <w:szCs w:val="20"/>
      <w:lang w:val="es-CR"/>
    </w:rPr>
  </w:style>
  <w:style w:type="paragraph" w:customStyle="1" w:styleId="Default">
    <w:name w:val="Default"/>
    <w:rsid w:val="008B71EF"/>
    <w:pPr>
      <w:autoSpaceDE w:val="0"/>
      <w:autoSpaceDN w:val="0"/>
      <w:adjustRightInd w:val="0"/>
      <w:spacing w:after="0" w:line="240" w:lineRule="auto"/>
    </w:pPr>
    <w:rPr>
      <w:rFonts w:ascii="Verdana" w:hAnsi="Verdana" w:cs="Verdana"/>
      <w:color w:val="000000"/>
      <w:sz w:val="24"/>
      <w:szCs w:val="24"/>
    </w:rPr>
  </w:style>
  <w:style w:type="character" w:customStyle="1" w:styleId="Ttulo2Car">
    <w:name w:val="Título 2 Car"/>
    <w:basedOn w:val="Fuentedeprrafopredeter"/>
    <w:link w:val="Ttulo2"/>
    <w:uiPriority w:val="9"/>
    <w:rsid w:val="00FB6C1B"/>
    <w:rPr>
      <w:rFonts w:ascii="Verdana" w:eastAsia="MS Mincho" w:hAnsi="Verdana" w:cs="Times New Roman"/>
      <w:b/>
      <w:bCs/>
      <w:i/>
      <w:sz w:val="20"/>
      <w:szCs w:val="20"/>
      <w:lang w:eastAsia="es-CR"/>
    </w:rPr>
  </w:style>
  <w:style w:type="character" w:customStyle="1" w:styleId="ColorfulList-Accent1Char">
    <w:name w:val="Colorful List - Accent 1 Char"/>
    <w:aliases w:val="Footnote Char,Párrafo de lista1 Char"/>
    <w:uiPriority w:val="34"/>
    <w:locked/>
    <w:rsid w:val="00FD64D2"/>
    <w:rPr>
      <w:rFonts w:ascii="Times" w:eastAsia="Times" w:hAnsi="Times" w:cs="Times"/>
      <w:lang w:val="es-ES_tradnl"/>
    </w:rPr>
  </w:style>
  <w:style w:type="character" w:customStyle="1" w:styleId="Ttulo1Car">
    <w:name w:val="Título 1 Car"/>
    <w:basedOn w:val="Fuentedeprrafopredeter"/>
    <w:link w:val="Ttulo1"/>
    <w:uiPriority w:val="9"/>
    <w:rsid w:val="00260FC4"/>
    <w:rPr>
      <w:rFonts w:asciiTheme="majorHAnsi" w:eastAsiaTheme="majorEastAsia" w:hAnsiTheme="majorHAnsi" w:cstheme="majorBidi"/>
      <w:color w:val="2E74B5" w:themeColor="accent1" w:themeShade="BF"/>
      <w:sz w:val="32"/>
      <w:szCs w:val="32"/>
      <w:lang w:val="es-ES_tradnl"/>
    </w:rPr>
  </w:style>
  <w:style w:type="character" w:styleId="Hipervnculo">
    <w:name w:val="Hyperlink"/>
    <w:basedOn w:val="Fuentedeprrafopredeter"/>
    <w:uiPriority w:val="99"/>
    <w:unhideWhenUsed/>
    <w:rsid w:val="00260FC4"/>
    <w:rPr>
      <w:color w:val="0563C1" w:themeColor="hyperlink"/>
      <w:u w:val="single"/>
    </w:rPr>
  </w:style>
  <w:style w:type="character" w:styleId="Hipervnculovisitado">
    <w:name w:val="FollowedHyperlink"/>
    <w:basedOn w:val="Fuentedeprrafopredeter"/>
    <w:uiPriority w:val="99"/>
    <w:semiHidden/>
    <w:unhideWhenUsed/>
    <w:rsid w:val="000A41AC"/>
    <w:rPr>
      <w:color w:val="954F72" w:themeColor="followedHyperlink"/>
      <w:u w:val="single"/>
    </w:rPr>
  </w:style>
  <w:style w:type="character" w:customStyle="1" w:styleId="markedcontent">
    <w:name w:val="markedcontent"/>
    <w:basedOn w:val="Fuentedeprrafopredeter"/>
    <w:rsid w:val="00F7131A"/>
  </w:style>
  <w:style w:type="paragraph" w:styleId="NormalWeb">
    <w:name w:val="Normal (Web)"/>
    <w:basedOn w:val="Normal"/>
    <w:uiPriority w:val="99"/>
    <w:semiHidden/>
    <w:unhideWhenUsed/>
    <w:rsid w:val="00E356A2"/>
    <w:pPr>
      <w:spacing w:before="100" w:beforeAutospacing="1" w:after="100" w:afterAutospacing="1"/>
    </w:pPr>
    <w:rPr>
      <w:rFonts w:eastAsia="Times New Roman"/>
    </w:rPr>
  </w:style>
  <w:style w:type="character" w:styleId="Mencinsinresolver">
    <w:name w:val="Unresolved Mention"/>
    <w:basedOn w:val="Fuentedeprrafopredeter"/>
    <w:uiPriority w:val="99"/>
    <w:semiHidden/>
    <w:unhideWhenUsed/>
    <w:rsid w:val="00306FE9"/>
    <w:rPr>
      <w:color w:val="605E5C"/>
      <w:shd w:val="clear" w:color="auto" w:fill="E1DFDD"/>
    </w:rPr>
  </w:style>
  <w:style w:type="character" w:customStyle="1" w:styleId="Ttulo3Car">
    <w:name w:val="Título 3 Car"/>
    <w:basedOn w:val="Fuentedeprrafopredeter"/>
    <w:link w:val="Ttulo3"/>
    <w:uiPriority w:val="9"/>
    <w:rsid w:val="00457DCA"/>
    <w:rPr>
      <w:rFonts w:asciiTheme="majorHAnsi" w:eastAsiaTheme="majorEastAsia" w:hAnsiTheme="majorHAnsi" w:cstheme="majorBidi"/>
      <w:color w:val="1F4D78" w:themeColor="accent1" w:themeShade="7F"/>
      <w:sz w:val="24"/>
      <w:szCs w:val="24"/>
      <w:lang w:val="es-ES_tradnl"/>
    </w:rPr>
  </w:style>
  <w:style w:type="character" w:customStyle="1" w:styleId="Ttulo4Car">
    <w:name w:val="Título 4 Car"/>
    <w:basedOn w:val="Fuentedeprrafopredeter"/>
    <w:link w:val="Ttulo4"/>
    <w:uiPriority w:val="9"/>
    <w:rsid w:val="00424C78"/>
    <w:rPr>
      <w:rFonts w:ascii="Verdana" w:eastAsia="Batang" w:hAnsi="Verdana" w:cs="Times New Roman"/>
      <w:b/>
      <w:i/>
      <w:sz w:val="20"/>
      <w:lang w:val="es-ES"/>
    </w:rPr>
  </w:style>
  <w:style w:type="paragraph" w:customStyle="1" w:styleId="Numberedparagraphs">
    <w:name w:val="Numbered paragraphs"/>
    <w:basedOn w:val="Normal"/>
    <w:link w:val="NumberedparagraphsCar"/>
    <w:qFormat/>
    <w:rsid w:val="00424C78"/>
    <w:pPr>
      <w:jc w:val="both"/>
    </w:pPr>
    <w:rPr>
      <w:rFonts w:ascii="Verdana" w:eastAsia="Times New Roman" w:hAnsi="Verdana"/>
      <w:sz w:val="20"/>
      <w:szCs w:val="20"/>
      <w:lang w:val="es-ES" w:eastAsia="es-ES"/>
    </w:rPr>
  </w:style>
  <w:style w:type="character" w:customStyle="1" w:styleId="NumberedparagraphsCar">
    <w:name w:val="Numbered paragraphs Car"/>
    <w:basedOn w:val="Fuentedeprrafopredeter"/>
    <w:link w:val="Numberedparagraphs"/>
    <w:rsid w:val="00424C78"/>
    <w:rPr>
      <w:rFonts w:ascii="Verdana" w:eastAsia="Times New Roman" w:hAnsi="Verdana" w:cs="Times New Roman"/>
      <w:sz w:val="20"/>
      <w:szCs w:val="20"/>
      <w:lang w:val="es-ES" w:eastAsia="es-ES"/>
    </w:rPr>
  </w:style>
  <w:style w:type="paragraph" w:customStyle="1" w:styleId="PrrafodeSentencia">
    <w:name w:val="*. Párrafo de Sentencia"/>
    <w:basedOn w:val="Textonotapie"/>
    <w:link w:val="PrrafodeSentenciaChar"/>
    <w:autoRedefine/>
    <w:qFormat/>
    <w:rsid w:val="003559B8"/>
    <w:pPr>
      <w:numPr>
        <w:numId w:val="35"/>
      </w:numPr>
      <w:tabs>
        <w:tab w:val="left" w:pos="0"/>
      </w:tabs>
      <w:autoSpaceDE w:val="0"/>
      <w:autoSpaceDN w:val="0"/>
      <w:adjustRightInd w:val="0"/>
      <w:ind w:left="0" w:right="45" w:firstLine="0"/>
    </w:pPr>
    <w:rPr>
      <w:rFonts w:cs="Calibri"/>
      <w:bCs/>
      <w:iCs/>
      <w:noProof/>
      <w:kern w:val="2"/>
      <w:sz w:val="20"/>
      <w:shd w:val="clear" w:color="auto" w:fill="FFFFFF"/>
      <w:lang w:val="es-CL" w:eastAsia="es-MX"/>
    </w:rPr>
  </w:style>
  <w:style w:type="character" w:customStyle="1" w:styleId="PrrafodeSentenciaChar">
    <w:name w:val="*. Párrafo de Sentencia Char"/>
    <w:link w:val="PrrafodeSentencia"/>
    <w:locked/>
    <w:rsid w:val="003559B8"/>
    <w:rPr>
      <w:rFonts w:ascii="Verdana" w:eastAsia="Times" w:hAnsi="Verdana" w:cs="Calibri"/>
      <w:bCs/>
      <w:iCs/>
      <w:noProof/>
      <w:kern w:val="2"/>
      <w:sz w:val="20"/>
      <w:szCs w:val="20"/>
      <w:lang w:val="es-CL" w:eastAsia="es-MX"/>
    </w:rPr>
  </w:style>
  <w:style w:type="paragraph" w:styleId="Textonotaalfinal">
    <w:name w:val="endnote text"/>
    <w:basedOn w:val="Normal"/>
    <w:link w:val="TextonotaalfinalCar"/>
    <w:uiPriority w:val="99"/>
    <w:semiHidden/>
    <w:unhideWhenUsed/>
    <w:rsid w:val="005A036A"/>
    <w:rPr>
      <w:sz w:val="20"/>
      <w:szCs w:val="20"/>
    </w:rPr>
  </w:style>
  <w:style w:type="character" w:customStyle="1" w:styleId="TextonotaalfinalCar">
    <w:name w:val="Texto nota al final Car"/>
    <w:basedOn w:val="Fuentedeprrafopredeter"/>
    <w:link w:val="Textonotaalfinal"/>
    <w:uiPriority w:val="99"/>
    <w:semiHidden/>
    <w:rsid w:val="005A036A"/>
    <w:rPr>
      <w:rFonts w:ascii="Times New Roman" w:eastAsia="MS Mincho" w:hAnsi="Times New Roman" w:cs="Times New Roman"/>
      <w:sz w:val="20"/>
      <w:szCs w:val="20"/>
      <w:lang w:val="es-ES_tradnl"/>
    </w:rPr>
  </w:style>
  <w:style w:type="character" w:styleId="Refdenotaalfinal">
    <w:name w:val="endnote reference"/>
    <w:basedOn w:val="Fuentedeprrafopredeter"/>
    <w:uiPriority w:val="99"/>
    <w:semiHidden/>
    <w:unhideWhenUsed/>
    <w:rsid w:val="005A036A"/>
    <w:rPr>
      <w:vertAlign w:val="superscript"/>
    </w:rPr>
  </w:style>
  <w:style w:type="character" w:customStyle="1" w:styleId="cf01">
    <w:name w:val="cf01"/>
    <w:basedOn w:val="Fuentedeprrafopredeter"/>
    <w:rsid w:val="00A9623C"/>
    <w:rPr>
      <w:rFonts w:ascii="Segoe UI" w:hAnsi="Segoe UI" w:cs="Segoe UI" w:hint="default"/>
      <w:sz w:val="18"/>
      <w:szCs w:val="18"/>
    </w:rPr>
  </w:style>
  <w:style w:type="paragraph" w:styleId="Revisin">
    <w:name w:val="Revision"/>
    <w:hidden/>
    <w:uiPriority w:val="99"/>
    <w:semiHidden/>
    <w:rsid w:val="00A53D5F"/>
    <w:pPr>
      <w:spacing w:after="0" w:line="240" w:lineRule="auto"/>
    </w:pPr>
    <w:rPr>
      <w:rFonts w:ascii="Times New Roman" w:eastAsia="MS Mincho" w:hAnsi="Times New Roman" w:cs="Times New Roman"/>
      <w:sz w:val="24"/>
      <w:szCs w:val="24"/>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31029">
      <w:bodyDiv w:val="1"/>
      <w:marLeft w:val="0"/>
      <w:marRight w:val="0"/>
      <w:marTop w:val="0"/>
      <w:marBottom w:val="0"/>
      <w:divBdr>
        <w:top w:val="none" w:sz="0" w:space="0" w:color="auto"/>
        <w:left w:val="none" w:sz="0" w:space="0" w:color="auto"/>
        <w:bottom w:val="none" w:sz="0" w:space="0" w:color="auto"/>
        <w:right w:val="none" w:sz="0" w:space="0" w:color="auto"/>
      </w:divBdr>
    </w:div>
    <w:div w:id="26953689">
      <w:bodyDiv w:val="1"/>
      <w:marLeft w:val="0"/>
      <w:marRight w:val="0"/>
      <w:marTop w:val="0"/>
      <w:marBottom w:val="0"/>
      <w:divBdr>
        <w:top w:val="none" w:sz="0" w:space="0" w:color="auto"/>
        <w:left w:val="none" w:sz="0" w:space="0" w:color="auto"/>
        <w:bottom w:val="none" w:sz="0" w:space="0" w:color="auto"/>
        <w:right w:val="none" w:sz="0" w:space="0" w:color="auto"/>
      </w:divBdr>
    </w:div>
    <w:div w:id="129058617">
      <w:bodyDiv w:val="1"/>
      <w:marLeft w:val="0"/>
      <w:marRight w:val="0"/>
      <w:marTop w:val="0"/>
      <w:marBottom w:val="0"/>
      <w:divBdr>
        <w:top w:val="none" w:sz="0" w:space="0" w:color="auto"/>
        <w:left w:val="none" w:sz="0" w:space="0" w:color="auto"/>
        <w:bottom w:val="none" w:sz="0" w:space="0" w:color="auto"/>
        <w:right w:val="none" w:sz="0" w:space="0" w:color="auto"/>
      </w:divBdr>
    </w:div>
    <w:div w:id="250428022">
      <w:bodyDiv w:val="1"/>
      <w:marLeft w:val="0"/>
      <w:marRight w:val="0"/>
      <w:marTop w:val="0"/>
      <w:marBottom w:val="0"/>
      <w:divBdr>
        <w:top w:val="none" w:sz="0" w:space="0" w:color="auto"/>
        <w:left w:val="none" w:sz="0" w:space="0" w:color="auto"/>
        <w:bottom w:val="none" w:sz="0" w:space="0" w:color="auto"/>
        <w:right w:val="none" w:sz="0" w:space="0" w:color="auto"/>
      </w:divBdr>
    </w:div>
    <w:div w:id="281151353">
      <w:bodyDiv w:val="1"/>
      <w:marLeft w:val="0"/>
      <w:marRight w:val="0"/>
      <w:marTop w:val="0"/>
      <w:marBottom w:val="0"/>
      <w:divBdr>
        <w:top w:val="none" w:sz="0" w:space="0" w:color="auto"/>
        <w:left w:val="none" w:sz="0" w:space="0" w:color="auto"/>
        <w:bottom w:val="none" w:sz="0" w:space="0" w:color="auto"/>
        <w:right w:val="none" w:sz="0" w:space="0" w:color="auto"/>
      </w:divBdr>
    </w:div>
    <w:div w:id="348485886">
      <w:bodyDiv w:val="1"/>
      <w:marLeft w:val="0"/>
      <w:marRight w:val="0"/>
      <w:marTop w:val="0"/>
      <w:marBottom w:val="0"/>
      <w:divBdr>
        <w:top w:val="none" w:sz="0" w:space="0" w:color="auto"/>
        <w:left w:val="none" w:sz="0" w:space="0" w:color="auto"/>
        <w:bottom w:val="none" w:sz="0" w:space="0" w:color="auto"/>
        <w:right w:val="none" w:sz="0" w:space="0" w:color="auto"/>
      </w:divBdr>
    </w:div>
    <w:div w:id="405880554">
      <w:bodyDiv w:val="1"/>
      <w:marLeft w:val="0"/>
      <w:marRight w:val="0"/>
      <w:marTop w:val="0"/>
      <w:marBottom w:val="0"/>
      <w:divBdr>
        <w:top w:val="none" w:sz="0" w:space="0" w:color="auto"/>
        <w:left w:val="none" w:sz="0" w:space="0" w:color="auto"/>
        <w:bottom w:val="none" w:sz="0" w:space="0" w:color="auto"/>
        <w:right w:val="none" w:sz="0" w:space="0" w:color="auto"/>
      </w:divBdr>
    </w:div>
    <w:div w:id="413356488">
      <w:bodyDiv w:val="1"/>
      <w:marLeft w:val="0"/>
      <w:marRight w:val="0"/>
      <w:marTop w:val="0"/>
      <w:marBottom w:val="0"/>
      <w:divBdr>
        <w:top w:val="none" w:sz="0" w:space="0" w:color="auto"/>
        <w:left w:val="none" w:sz="0" w:space="0" w:color="auto"/>
        <w:bottom w:val="none" w:sz="0" w:space="0" w:color="auto"/>
        <w:right w:val="none" w:sz="0" w:space="0" w:color="auto"/>
      </w:divBdr>
    </w:div>
    <w:div w:id="418522971">
      <w:bodyDiv w:val="1"/>
      <w:marLeft w:val="0"/>
      <w:marRight w:val="0"/>
      <w:marTop w:val="0"/>
      <w:marBottom w:val="0"/>
      <w:divBdr>
        <w:top w:val="none" w:sz="0" w:space="0" w:color="auto"/>
        <w:left w:val="none" w:sz="0" w:space="0" w:color="auto"/>
        <w:bottom w:val="none" w:sz="0" w:space="0" w:color="auto"/>
        <w:right w:val="none" w:sz="0" w:space="0" w:color="auto"/>
      </w:divBdr>
    </w:div>
    <w:div w:id="460080265">
      <w:bodyDiv w:val="1"/>
      <w:marLeft w:val="0"/>
      <w:marRight w:val="0"/>
      <w:marTop w:val="0"/>
      <w:marBottom w:val="0"/>
      <w:divBdr>
        <w:top w:val="none" w:sz="0" w:space="0" w:color="auto"/>
        <w:left w:val="none" w:sz="0" w:space="0" w:color="auto"/>
        <w:bottom w:val="none" w:sz="0" w:space="0" w:color="auto"/>
        <w:right w:val="none" w:sz="0" w:space="0" w:color="auto"/>
      </w:divBdr>
    </w:div>
    <w:div w:id="583027758">
      <w:bodyDiv w:val="1"/>
      <w:marLeft w:val="0"/>
      <w:marRight w:val="0"/>
      <w:marTop w:val="0"/>
      <w:marBottom w:val="0"/>
      <w:divBdr>
        <w:top w:val="none" w:sz="0" w:space="0" w:color="auto"/>
        <w:left w:val="none" w:sz="0" w:space="0" w:color="auto"/>
        <w:bottom w:val="none" w:sz="0" w:space="0" w:color="auto"/>
        <w:right w:val="none" w:sz="0" w:space="0" w:color="auto"/>
      </w:divBdr>
    </w:div>
    <w:div w:id="589387343">
      <w:bodyDiv w:val="1"/>
      <w:marLeft w:val="0"/>
      <w:marRight w:val="0"/>
      <w:marTop w:val="0"/>
      <w:marBottom w:val="0"/>
      <w:divBdr>
        <w:top w:val="none" w:sz="0" w:space="0" w:color="auto"/>
        <w:left w:val="none" w:sz="0" w:space="0" w:color="auto"/>
        <w:bottom w:val="none" w:sz="0" w:space="0" w:color="auto"/>
        <w:right w:val="none" w:sz="0" w:space="0" w:color="auto"/>
      </w:divBdr>
    </w:div>
    <w:div w:id="624191003">
      <w:bodyDiv w:val="1"/>
      <w:marLeft w:val="0"/>
      <w:marRight w:val="0"/>
      <w:marTop w:val="0"/>
      <w:marBottom w:val="0"/>
      <w:divBdr>
        <w:top w:val="none" w:sz="0" w:space="0" w:color="auto"/>
        <w:left w:val="none" w:sz="0" w:space="0" w:color="auto"/>
        <w:bottom w:val="none" w:sz="0" w:space="0" w:color="auto"/>
        <w:right w:val="none" w:sz="0" w:space="0" w:color="auto"/>
      </w:divBdr>
    </w:div>
    <w:div w:id="632755729">
      <w:bodyDiv w:val="1"/>
      <w:marLeft w:val="0"/>
      <w:marRight w:val="0"/>
      <w:marTop w:val="0"/>
      <w:marBottom w:val="0"/>
      <w:divBdr>
        <w:top w:val="none" w:sz="0" w:space="0" w:color="auto"/>
        <w:left w:val="none" w:sz="0" w:space="0" w:color="auto"/>
        <w:bottom w:val="none" w:sz="0" w:space="0" w:color="auto"/>
        <w:right w:val="none" w:sz="0" w:space="0" w:color="auto"/>
      </w:divBdr>
    </w:div>
    <w:div w:id="718359009">
      <w:bodyDiv w:val="1"/>
      <w:marLeft w:val="0"/>
      <w:marRight w:val="0"/>
      <w:marTop w:val="0"/>
      <w:marBottom w:val="0"/>
      <w:divBdr>
        <w:top w:val="none" w:sz="0" w:space="0" w:color="auto"/>
        <w:left w:val="none" w:sz="0" w:space="0" w:color="auto"/>
        <w:bottom w:val="none" w:sz="0" w:space="0" w:color="auto"/>
        <w:right w:val="none" w:sz="0" w:space="0" w:color="auto"/>
      </w:divBdr>
    </w:div>
    <w:div w:id="792404796">
      <w:bodyDiv w:val="1"/>
      <w:marLeft w:val="0"/>
      <w:marRight w:val="0"/>
      <w:marTop w:val="0"/>
      <w:marBottom w:val="0"/>
      <w:divBdr>
        <w:top w:val="none" w:sz="0" w:space="0" w:color="auto"/>
        <w:left w:val="none" w:sz="0" w:space="0" w:color="auto"/>
        <w:bottom w:val="none" w:sz="0" w:space="0" w:color="auto"/>
        <w:right w:val="none" w:sz="0" w:space="0" w:color="auto"/>
      </w:divBdr>
    </w:div>
    <w:div w:id="797801347">
      <w:bodyDiv w:val="1"/>
      <w:marLeft w:val="0"/>
      <w:marRight w:val="0"/>
      <w:marTop w:val="0"/>
      <w:marBottom w:val="0"/>
      <w:divBdr>
        <w:top w:val="none" w:sz="0" w:space="0" w:color="auto"/>
        <w:left w:val="none" w:sz="0" w:space="0" w:color="auto"/>
        <w:bottom w:val="none" w:sz="0" w:space="0" w:color="auto"/>
        <w:right w:val="none" w:sz="0" w:space="0" w:color="auto"/>
      </w:divBdr>
    </w:div>
    <w:div w:id="894119397">
      <w:bodyDiv w:val="1"/>
      <w:marLeft w:val="0"/>
      <w:marRight w:val="0"/>
      <w:marTop w:val="0"/>
      <w:marBottom w:val="0"/>
      <w:divBdr>
        <w:top w:val="none" w:sz="0" w:space="0" w:color="auto"/>
        <w:left w:val="none" w:sz="0" w:space="0" w:color="auto"/>
        <w:bottom w:val="none" w:sz="0" w:space="0" w:color="auto"/>
        <w:right w:val="none" w:sz="0" w:space="0" w:color="auto"/>
      </w:divBdr>
    </w:div>
    <w:div w:id="988482128">
      <w:bodyDiv w:val="1"/>
      <w:marLeft w:val="0"/>
      <w:marRight w:val="0"/>
      <w:marTop w:val="0"/>
      <w:marBottom w:val="0"/>
      <w:divBdr>
        <w:top w:val="none" w:sz="0" w:space="0" w:color="auto"/>
        <w:left w:val="none" w:sz="0" w:space="0" w:color="auto"/>
        <w:bottom w:val="none" w:sz="0" w:space="0" w:color="auto"/>
        <w:right w:val="none" w:sz="0" w:space="0" w:color="auto"/>
      </w:divBdr>
    </w:div>
    <w:div w:id="1172570363">
      <w:bodyDiv w:val="1"/>
      <w:marLeft w:val="0"/>
      <w:marRight w:val="0"/>
      <w:marTop w:val="0"/>
      <w:marBottom w:val="0"/>
      <w:divBdr>
        <w:top w:val="none" w:sz="0" w:space="0" w:color="auto"/>
        <w:left w:val="none" w:sz="0" w:space="0" w:color="auto"/>
        <w:bottom w:val="none" w:sz="0" w:space="0" w:color="auto"/>
        <w:right w:val="none" w:sz="0" w:space="0" w:color="auto"/>
      </w:divBdr>
    </w:div>
    <w:div w:id="1424497559">
      <w:bodyDiv w:val="1"/>
      <w:marLeft w:val="0"/>
      <w:marRight w:val="0"/>
      <w:marTop w:val="0"/>
      <w:marBottom w:val="0"/>
      <w:divBdr>
        <w:top w:val="none" w:sz="0" w:space="0" w:color="auto"/>
        <w:left w:val="none" w:sz="0" w:space="0" w:color="auto"/>
        <w:bottom w:val="none" w:sz="0" w:space="0" w:color="auto"/>
        <w:right w:val="none" w:sz="0" w:space="0" w:color="auto"/>
      </w:divBdr>
    </w:div>
    <w:div w:id="1445150378">
      <w:bodyDiv w:val="1"/>
      <w:marLeft w:val="0"/>
      <w:marRight w:val="0"/>
      <w:marTop w:val="0"/>
      <w:marBottom w:val="0"/>
      <w:divBdr>
        <w:top w:val="none" w:sz="0" w:space="0" w:color="auto"/>
        <w:left w:val="none" w:sz="0" w:space="0" w:color="auto"/>
        <w:bottom w:val="none" w:sz="0" w:space="0" w:color="auto"/>
        <w:right w:val="none" w:sz="0" w:space="0" w:color="auto"/>
      </w:divBdr>
    </w:div>
    <w:div w:id="1466896413">
      <w:bodyDiv w:val="1"/>
      <w:marLeft w:val="0"/>
      <w:marRight w:val="0"/>
      <w:marTop w:val="0"/>
      <w:marBottom w:val="0"/>
      <w:divBdr>
        <w:top w:val="none" w:sz="0" w:space="0" w:color="auto"/>
        <w:left w:val="none" w:sz="0" w:space="0" w:color="auto"/>
        <w:bottom w:val="none" w:sz="0" w:space="0" w:color="auto"/>
        <w:right w:val="none" w:sz="0" w:space="0" w:color="auto"/>
      </w:divBdr>
    </w:div>
    <w:div w:id="1678072756">
      <w:bodyDiv w:val="1"/>
      <w:marLeft w:val="0"/>
      <w:marRight w:val="0"/>
      <w:marTop w:val="0"/>
      <w:marBottom w:val="0"/>
      <w:divBdr>
        <w:top w:val="none" w:sz="0" w:space="0" w:color="auto"/>
        <w:left w:val="none" w:sz="0" w:space="0" w:color="auto"/>
        <w:bottom w:val="none" w:sz="0" w:space="0" w:color="auto"/>
        <w:right w:val="none" w:sz="0" w:space="0" w:color="auto"/>
      </w:divBdr>
    </w:div>
    <w:div w:id="1794783540">
      <w:bodyDiv w:val="1"/>
      <w:marLeft w:val="0"/>
      <w:marRight w:val="0"/>
      <w:marTop w:val="0"/>
      <w:marBottom w:val="0"/>
      <w:divBdr>
        <w:top w:val="none" w:sz="0" w:space="0" w:color="auto"/>
        <w:left w:val="none" w:sz="0" w:space="0" w:color="auto"/>
        <w:bottom w:val="none" w:sz="0" w:space="0" w:color="auto"/>
        <w:right w:val="none" w:sz="0" w:space="0" w:color="auto"/>
      </w:divBdr>
    </w:div>
    <w:div w:id="1837501994">
      <w:bodyDiv w:val="1"/>
      <w:marLeft w:val="0"/>
      <w:marRight w:val="0"/>
      <w:marTop w:val="0"/>
      <w:marBottom w:val="0"/>
      <w:divBdr>
        <w:top w:val="none" w:sz="0" w:space="0" w:color="auto"/>
        <w:left w:val="none" w:sz="0" w:space="0" w:color="auto"/>
        <w:bottom w:val="none" w:sz="0" w:space="0" w:color="auto"/>
        <w:right w:val="none" w:sz="0" w:space="0" w:color="auto"/>
      </w:divBdr>
    </w:div>
    <w:div w:id="1909682209">
      <w:bodyDiv w:val="1"/>
      <w:marLeft w:val="0"/>
      <w:marRight w:val="0"/>
      <w:marTop w:val="0"/>
      <w:marBottom w:val="0"/>
      <w:divBdr>
        <w:top w:val="none" w:sz="0" w:space="0" w:color="auto"/>
        <w:left w:val="none" w:sz="0" w:space="0" w:color="auto"/>
        <w:bottom w:val="none" w:sz="0" w:space="0" w:color="auto"/>
        <w:right w:val="none" w:sz="0" w:space="0" w:color="auto"/>
      </w:divBdr>
      <w:divsChild>
        <w:div w:id="732042448">
          <w:marLeft w:val="0"/>
          <w:marRight w:val="0"/>
          <w:marTop w:val="0"/>
          <w:marBottom w:val="0"/>
          <w:divBdr>
            <w:top w:val="none" w:sz="0" w:space="0" w:color="auto"/>
            <w:left w:val="none" w:sz="0" w:space="0" w:color="auto"/>
            <w:bottom w:val="none" w:sz="0" w:space="0" w:color="auto"/>
            <w:right w:val="none" w:sz="0" w:space="0" w:color="auto"/>
          </w:divBdr>
          <w:divsChild>
            <w:div w:id="180096729">
              <w:marLeft w:val="0"/>
              <w:marRight w:val="0"/>
              <w:marTop w:val="0"/>
              <w:marBottom w:val="0"/>
              <w:divBdr>
                <w:top w:val="none" w:sz="0" w:space="0" w:color="auto"/>
                <w:left w:val="none" w:sz="0" w:space="0" w:color="auto"/>
                <w:bottom w:val="none" w:sz="0" w:space="0" w:color="auto"/>
                <w:right w:val="none" w:sz="0" w:space="0" w:color="auto"/>
              </w:divBdr>
              <w:divsChild>
                <w:div w:id="1866167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8443606">
      <w:bodyDiv w:val="1"/>
      <w:marLeft w:val="0"/>
      <w:marRight w:val="0"/>
      <w:marTop w:val="0"/>
      <w:marBottom w:val="0"/>
      <w:divBdr>
        <w:top w:val="none" w:sz="0" w:space="0" w:color="auto"/>
        <w:left w:val="none" w:sz="0" w:space="0" w:color="auto"/>
        <w:bottom w:val="none" w:sz="0" w:space="0" w:color="auto"/>
        <w:right w:val="none" w:sz="0" w:space="0" w:color="auto"/>
      </w:divBdr>
    </w:div>
    <w:div w:id="2070182056">
      <w:bodyDiv w:val="1"/>
      <w:marLeft w:val="0"/>
      <w:marRight w:val="0"/>
      <w:marTop w:val="0"/>
      <w:marBottom w:val="0"/>
      <w:divBdr>
        <w:top w:val="none" w:sz="0" w:space="0" w:color="auto"/>
        <w:left w:val="none" w:sz="0" w:space="0" w:color="auto"/>
        <w:bottom w:val="none" w:sz="0" w:space="0" w:color="auto"/>
        <w:right w:val="none" w:sz="0" w:space="0" w:color="auto"/>
      </w:divBdr>
    </w:div>
    <w:div w:id="2072803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8" Type="http://schemas.openxmlformats.org/officeDocument/2006/relationships/hyperlink" Target="https://scm.oas.org/doc_public/SPANISH/HIST_23/CP47422S03.docx" TargetMode="External"/><Relationship Id="rId3" Type="http://schemas.openxmlformats.org/officeDocument/2006/relationships/hyperlink" Target="https://www.corteidh.or.cr/docs/medidas/integrantes_centro_ni_se_03.pdf" TargetMode="External"/><Relationship Id="rId7" Type="http://schemas.openxmlformats.org/officeDocument/2006/relationships/hyperlink" Target="https://scm.oas.org/doc_public/SPANISH/HIST_23/CP47406S07.docx" TargetMode="External"/><Relationship Id="rId2" Type="http://schemas.openxmlformats.org/officeDocument/2006/relationships/hyperlink" Target="http://www.corteidh.or.cr/docs/medidas/integrantes_centro_ni_se_02.pdf" TargetMode="External"/><Relationship Id="rId1" Type="http://schemas.openxmlformats.org/officeDocument/2006/relationships/hyperlink" Target="http://www.corteidh.or.cr/docs/medidas/integrantes_centro_ni_se_01.pdf" TargetMode="External"/><Relationship Id="rId6" Type="http://schemas.openxmlformats.org/officeDocument/2006/relationships/hyperlink" Target="https://scm.oas.org/doc_public/spanish/hist_22/ag08611s04.docx" TargetMode="External"/><Relationship Id="rId5" Type="http://schemas.openxmlformats.org/officeDocument/2006/relationships/hyperlink" Target="https://www.oas.org/es/52ag/docs/AG08568S03-SPANISH.pdf" TargetMode="External"/><Relationship Id="rId4" Type="http://schemas.openxmlformats.org/officeDocument/2006/relationships/hyperlink" Target="https://www.corteidh.or.cr/docs/medidas/integrantes_centro_ni_se_04.pdf" TargetMode="External"/><Relationship Id="rId9" Type="http://schemas.openxmlformats.org/officeDocument/2006/relationships/hyperlink" Target="https://www.youtube.com/watch?v=w242B9yJfdg&amp;list=PLkh9EPEuEx2upRhlyXqhf2aldLHNFRGkW&amp;index=4"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7553AB-8211-4482-A49D-F8E88912DC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5907</Words>
  <Characters>32493</Characters>
  <Application>Microsoft Office Word</Application>
  <DocSecurity>0</DocSecurity>
  <Lines>270</Lines>
  <Paragraphs>76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38324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Corte IDH</dc:creator>
  <cp:keywords/>
  <dc:description/>
  <cp:lastModifiedBy>Liliana Tojo</cp:lastModifiedBy>
  <cp:revision>2</cp:revision>
  <cp:lastPrinted>2021-10-18T20:07:00Z</cp:lastPrinted>
  <dcterms:created xsi:type="dcterms:W3CDTF">2024-01-17T15:55:00Z</dcterms:created>
  <dcterms:modified xsi:type="dcterms:W3CDTF">2024-01-17T15:55:00Z</dcterms:modified>
  <cp:contentStatus/>
</cp:coreProperties>
</file>