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F0D9A" w14:textId="068748B9" w:rsidR="007D396F" w:rsidRPr="000E1BC3" w:rsidRDefault="007D396F" w:rsidP="00650DF4">
      <w:pPr>
        <w:spacing w:after="0" w:line="240" w:lineRule="auto"/>
        <w:jc w:val="center"/>
        <w:rPr>
          <w:rFonts w:ascii="Verdana" w:hAnsi="Verdana"/>
          <w:b/>
          <w:color w:val="000000" w:themeColor="text1"/>
          <w:sz w:val="20"/>
          <w:szCs w:val="20"/>
        </w:rPr>
      </w:pPr>
      <w:r w:rsidRPr="000E1BC3">
        <w:rPr>
          <w:rFonts w:ascii="Verdana" w:hAnsi="Verdana"/>
          <w:b/>
          <w:color w:val="000000" w:themeColor="text1"/>
          <w:sz w:val="20"/>
          <w:szCs w:val="20"/>
        </w:rPr>
        <w:t>RESOLUCIÓN DE LA</w:t>
      </w:r>
    </w:p>
    <w:p w14:paraId="29D97E79" w14:textId="77777777" w:rsidR="007D396F" w:rsidRPr="000E1BC3" w:rsidRDefault="007D396F" w:rsidP="00650DF4">
      <w:pPr>
        <w:spacing w:after="0" w:line="240" w:lineRule="auto"/>
        <w:jc w:val="center"/>
        <w:rPr>
          <w:rFonts w:ascii="Verdana" w:hAnsi="Verdana"/>
          <w:b/>
          <w:color w:val="000000" w:themeColor="text1"/>
          <w:sz w:val="20"/>
          <w:szCs w:val="20"/>
        </w:rPr>
      </w:pPr>
      <w:r w:rsidRPr="000E1BC3">
        <w:rPr>
          <w:rFonts w:ascii="Verdana" w:hAnsi="Verdana"/>
          <w:b/>
          <w:color w:val="000000" w:themeColor="text1"/>
          <w:sz w:val="20"/>
          <w:szCs w:val="20"/>
        </w:rPr>
        <w:t>CORTE INTERAMERICANA DE DERECHOS HUMANOS</w:t>
      </w:r>
    </w:p>
    <w:p w14:paraId="17D5C445" w14:textId="77777777" w:rsidR="007D396F" w:rsidRPr="000E1BC3" w:rsidRDefault="007D396F" w:rsidP="00650DF4">
      <w:pPr>
        <w:spacing w:after="0" w:line="240" w:lineRule="auto"/>
        <w:jc w:val="center"/>
        <w:rPr>
          <w:rFonts w:ascii="Verdana" w:hAnsi="Verdana"/>
          <w:b/>
          <w:color w:val="000000" w:themeColor="text1"/>
          <w:sz w:val="20"/>
          <w:szCs w:val="20"/>
        </w:rPr>
      </w:pPr>
    </w:p>
    <w:p w14:paraId="7ED75C83" w14:textId="504F16F9" w:rsidR="007D396F" w:rsidRPr="000E1BC3" w:rsidRDefault="007D396F" w:rsidP="00650DF4">
      <w:pPr>
        <w:spacing w:after="0" w:line="240" w:lineRule="auto"/>
        <w:jc w:val="center"/>
        <w:rPr>
          <w:rFonts w:ascii="Verdana" w:hAnsi="Verdana"/>
          <w:b/>
          <w:color w:val="000000" w:themeColor="text1"/>
          <w:sz w:val="20"/>
          <w:szCs w:val="20"/>
        </w:rPr>
      </w:pPr>
      <w:r w:rsidRPr="000E1BC3">
        <w:rPr>
          <w:rFonts w:ascii="Verdana" w:hAnsi="Verdana"/>
          <w:b/>
          <w:color w:val="000000" w:themeColor="text1"/>
          <w:sz w:val="20"/>
          <w:szCs w:val="20"/>
        </w:rPr>
        <w:t xml:space="preserve">DE </w:t>
      </w:r>
      <w:r w:rsidR="003E7CD1" w:rsidRPr="000E1BC3">
        <w:rPr>
          <w:rFonts w:ascii="Verdana" w:hAnsi="Verdana"/>
          <w:b/>
          <w:color w:val="000000" w:themeColor="text1"/>
          <w:sz w:val="20"/>
          <w:szCs w:val="20"/>
        </w:rPr>
        <w:t>1</w:t>
      </w:r>
      <w:r w:rsidRPr="000E1BC3">
        <w:rPr>
          <w:rFonts w:ascii="Verdana" w:hAnsi="Verdana"/>
          <w:b/>
          <w:color w:val="000000" w:themeColor="text1"/>
          <w:sz w:val="20"/>
          <w:szCs w:val="20"/>
        </w:rPr>
        <w:t xml:space="preserve"> DE </w:t>
      </w:r>
      <w:r w:rsidR="00450449" w:rsidRPr="000E1BC3">
        <w:rPr>
          <w:rFonts w:ascii="Verdana" w:hAnsi="Verdana"/>
          <w:b/>
          <w:color w:val="000000" w:themeColor="text1"/>
          <w:sz w:val="20"/>
          <w:szCs w:val="20"/>
        </w:rPr>
        <w:t>FEBRERO</w:t>
      </w:r>
      <w:r w:rsidRPr="000E1BC3">
        <w:rPr>
          <w:rFonts w:ascii="Verdana" w:hAnsi="Verdana"/>
          <w:b/>
          <w:color w:val="000000" w:themeColor="text1"/>
          <w:sz w:val="20"/>
          <w:szCs w:val="20"/>
        </w:rPr>
        <w:t xml:space="preserve"> DE 202</w:t>
      </w:r>
      <w:r w:rsidR="00650DF4" w:rsidRPr="000E1BC3">
        <w:rPr>
          <w:rFonts w:ascii="Verdana" w:hAnsi="Verdana"/>
          <w:b/>
          <w:color w:val="000000" w:themeColor="text1"/>
          <w:sz w:val="20"/>
          <w:szCs w:val="20"/>
        </w:rPr>
        <w:t>4</w:t>
      </w:r>
    </w:p>
    <w:p w14:paraId="2704F870" w14:textId="77777777" w:rsidR="007D396F" w:rsidRPr="000E1BC3" w:rsidRDefault="007D396F" w:rsidP="00650DF4">
      <w:pPr>
        <w:spacing w:after="0" w:line="240" w:lineRule="auto"/>
        <w:jc w:val="center"/>
        <w:rPr>
          <w:rFonts w:ascii="Verdana" w:hAnsi="Verdana"/>
          <w:b/>
          <w:color w:val="000000" w:themeColor="text1"/>
          <w:sz w:val="20"/>
          <w:szCs w:val="20"/>
        </w:rPr>
      </w:pPr>
    </w:p>
    <w:p w14:paraId="04BBBB6E" w14:textId="77777777" w:rsidR="007D396F" w:rsidRPr="000E1BC3" w:rsidRDefault="007D396F" w:rsidP="00650DF4">
      <w:pPr>
        <w:spacing w:after="0" w:line="240" w:lineRule="auto"/>
        <w:jc w:val="center"/>
        <w:rPr>
          <w:rFonts w:ascii="Verdana" w:hAnsi="Verdana"/>
          <w:b/>
          <w:i/>
          <w:color w:val="000000" w:themeColor="text1"/>
          <w:sz w:val="20"/>
          <w:szCs w:val="20"/>
        </w:rPr>
      </w:pPr>
      <w:r w:rsidRPr="000E1BC3">
        <w:rPr>
          <w:rFonts w:ascii="Verdana" w:hAnsi="Verdana"/>
          <w:b/>
          <w:i/>
          <w:color w:val="000000" w:themeColor="text1"/>
          <w:sz w:val="20"/>
          <w:szCs w:val="20"/>
        </w:rPr>
        <w:t>CASO GARCÍA Y FAMILIARES VS GUATEMALA</w:t>
      </w:r>
    </w:p>
    <w:p w14:paraId="31121D2A" w14:textId="77777777" w:rsidR="007D396F" w:rsidRPr="000E1BC3" w:rsidRDefault="007D396F" w:rsidP="00650DF4">
      <w:pPr>
        <w:spacing w:after="0" w:line="240" w:lineRule="auto"/>
        <w:jc w:val="center"/>
        <w:rPr>
          <w:rFonts w:ascii="Verdana" w:hAnsi="Verdana"/>
          <w:b/>
          <w:i/>
          <w:color w:val="000000" w:themeColor="text1"/>
          <w:sz w:val="20"/>
          <w:szCs w:val="20"/>
        </w:rPr>
      </w:pPr>
    </w:p>
    <w:p w14:paraId="1EF5A28F" w14:textId="77777777" w:rsidR="007D396F" w:rsidRPr="000E1BC3" w:rsidRDefault="007D396F" w:rsidP="00650DF4">
      <w:pPr>
        <w:spacing w:after="0" w:line="240" w:lineRule="auto"/>
        <w:jc w:val="center"/>
        <w:rPr>
          <w:rFonts w:ascii="Verdana" w:hAnsi="Verdana"/>
          <w:b/>
          <w:color w:val="000000" w:themeColor="text1"/>
          <w:sz w:val="20"/>
          <w:szCs w:val="20"/>
        </w:rPr>
      </w:pPr>
      <w:r w:rsidRPr="000E1BC3">
        <w:rPr>
          <w:rFonts w:ascii="Verdana" w:hAnsi="Verdana"/>
          <w:b/>
          <w:color w:val="000000" w:themeColor="text1"/>
          <w:sz w:val="20"/>
          <w:szCs w:val="20"/>
        </w:rPr>
        <w:t>SUPERVISIÓN DE CUMPLIMIENTO DE SENTENCIA</w:t>
      </w:r>
      <w:r w:rsidRPr="000E1BC3">
        <w:rPr>
          <w:rFonts w:ascii="Verdana" w:hAnsi="Verdana"/>
          <w:b/>
          <w:color w:val="000000" w:themeColor="text1"/>
          <w:sz w:val="20"/>
          <w:szCs w:val="20"/>
        </w:rPr>
        <w:cr/>
      </w:r>
    </w:p>
    <w:p w14:paraId="118E0058" w14:textId="1623EF6B" w:rsidR="007D396F" w:rsidRPr="000E1BC3" w:rsidRDefault="007D396F" w:rsidP="000D1217">
      <w:pPr>
        <w:spacing w:before="120" w:after="120" w:line="240" w:lineRule="auto"/>
        <w:jc w:val="both"/>
        <w:rPr>
          <w:rFonts w:ascii="Verdana" w:hAnsi="Verdana"/>
          <w:b/>
          <w:bCs/>
          <w:sz w:val="20"/>
          <w:szCs w:val="20"/>
        </w:rPr>
      </w:pPr>
      <w:r w:rsidRPr="000E1BC3">
        <w:rPr>
          <w:rFonts w:ascii="Verdana" w:hAnsi="Verdana"/>
          <w:b/>
          <w:bCs/>
          <w:sz w:val="20"/>
          <w:szCs w:val="20"/>
        </w:rPr>
        <w:t>VISTO:</w:t>
      </w:r>
    </w:p>
    <w:p w14:paraId="0FAFEADE" w14:textId="77777777" w:rsidR="007D396F" w:rsidRPr="000E1BC3" w:rsidRDefault="007D396F" w:rsidP="000D1217">
      <w:pPr>
        <w:pStyle w:val="Prrafodelista"/>
        <w:numPr>
          <w:ilvl w:val="0"/>
          <w:numId w:val="1"/>
        </w:numPr>
        <w:spacing w:before="120" w:after="120" w:line="240" w:lineRule="auto"/>
        <w:ind w:left="0" w:firstLine="0"/>
        <w:contextualSpacing w:val="0"/>
        <w:jc w:val="both"/>
        <w:rPr>
          <w:rFonts w:ascii="Verdana" w:hAnsi="Verdana" w:cs="Arial"/>
          <w:color w:val="000000" w:themeColor="text1"/>
          <w:sz w:val="20"/>
          <w:szCs w:val="20"/>
        </w:rPr>
      </w:pPr>
      <w:r w:rsidRPr="000E1BC3">
        <w:rPr>
          <w:rFonts w:ascii="Verdana" w:hAnsi="Verdana"/>
          <w:color w:val="000000" w:themeColor="text1"/>
          <w:sz w:val="20"/>
          <w:szCs w:val="20"/>
        </w:rPr>
        <w:t xml:space="preserve">La Sentencia de </w:t>
      </w:r>
      <w:r w:rsidR="00143DC2" w:rsidRPr="000E1BC3">
        <w:rPr>
          <w:rFonts w:ascii="Verdana" w:hAnsi="Verdana"/>
          <w:color w:val="000000" w:themeColor="text1"/>
          <w:sz w:val="20"/>
          <w:szCs w:val="20"/>
        </w:rPr>
        <w:t>fondo, reparaciones y costas</w:t>
      </w:r>
      <w:r w:rsidRPr="000E1BC3">
        <w:rPr>
          <w:rFonts w:ascii="Verdana" w:hAnsi="Verdana"/>
          <w:color w:val="000000" w:themeColor="text1"/>
          <w:sz w:val="20"/>
          <w:szCs w:val="20"/>
        </w:rPr>
        <w:t xml:space="preserve"> (en adelante “la Sentencia” o “el Fallo”) dictada por la Corte Interamericana de Derechos Humanos (en adelante “la Corte Interamericana”, “la Corte” o “el Tribunal”) el 29 de noviembre de 2012</w:t>
      </w:r>
      <w:r w:rsidRPr="000E1BC3">
        <w:rPr>
          <w:rStyle w:val="Refdenotaalpie"/>
          <w:rFonts w:ascii="Verdana" w:hAnsi="Verdana"/>
          <w:color w:val="000000" w:themeColor="text1"/>
          <w:sz w:val="20"/>
          <w:szCs w:val="20"/>
        </w:rPr>
        <w:footnoteReference w:id="1"/>
      </w:r>
      <w:r w:rsidRPr="000E1BC3">
        <w:rPr>
          <w:rFonts w:ascii="Verdana" w:hAnsi="Verdana"/>
          <w:color w:val="000000" w:themeColor="text1"/>
          <w:sz w:val="20"/>
          <w:szCs w:val="20"/>
        </w:rPr>
        <w:t>.</w:t>
      </w:r>
    </w:p>
    <w:p w14:paraId="6AD1F148" w14:textId="3A87342A" w:rsidR="007D396F" w:rsidRPr="000E1BC3" w:rsidRDefault="007D396F" w:rsidP="000D1217">
      <w:pPr>
        <w:pStyle w:val="Prrafodelista"/>
        <w:numPr>
          <w:ilvl w:val="0"/>
          <w:numId w:val="1"/>
        </w:numPr>
        <w:spacing w:before="120" w:after="120" w:line="240" w:lineRule="auto"/>
        <w:ind w:left="0" w:firstLine="0"/>
        <w:contextualSpacing w:val="0"/>
        <w:jc w:val="both"/>
        <w:rPr>
          <w:rFonts w:ascii="Verdana" w:hAnsi="Verdana" w:cs="Arial"/>
          <w:color w:val="000000" w:themeColor="text1"/>
          <w:sz w:val="20"/>
          <w:szCs w:val="20"/>
        </w:rPr>
      </w:pPr>
      <w:r w:rsidRPr="000E1BC3">
        <w:rPr>
          <w:rFonts w:ascii="Verdana" w:hAnsi="Verdana"/>
          <w:color w:val="000000" w:themeColor="text1"/>
          <w:sz w:val="20"/>
          <w:szCs w:val="20"/>
        </w:rPr>
        <w:t xml:space="preserve">Las Resoluciones de supervisión de cumplimiento de </w:t>
      </w:r>
      <w:r w:rsidR="00BF4307" w:rsidRPr="000E1BC3">
        <w:rPr>
          <w:rFonts w:ascii="Verdana" w:hAnsi="Verdana"/>
          <w:color w:val="000000" w:themeColor="text1"/>
          <w:sz w:val="20"/>
          <w:szCs w:val="20"/>
        </w:rPr>
        <w:t>S</w:t>
      </w:r>
      <w:r w:rsidRPr="000E1BC3">
        <w:rPr>
          <w:rFonts w:ascii="Verdana" w:hAnsi="Verdana"/>
          <w:color w:val="000000" w:themeColor="text1"/>
          <w:sz w:val="20"/>
          <w:szCs w:val="20"/>
        </w:rPr>
        <w:t xml:space="preserve">entencia emitidas por el Tribunal </w:t>
      </w:r>
      <w:r w:rsidR="00650DF4" w:rsidRPr="000E1BC3">
        <w:rPr>
          <w:rFonts w:ascii="Verdana" w:hAnsi="Verdana"/>
          <w:color w:val="000000" w:themeColor="text1"/>
          <w:sz w:val="20"/>
          <w:szCs w:val="20"/>
        </w:rPr>
        <w:t>el</w:t>
      </w:r>
      <w:r w:rsidRPr="000E1BC3">
        <w:rPr>
          <w:rFonts w:ascii="Verdana" w:hAnsi="Verdana"/>
          <w:color w:val="000000" w:themeColor="text1"/>
          <w:sz w:val="20"/>
          <w:szCs w:val="20"/>
        </w:rPr>
        <w:t xml:space="preserve"> </w:t>
      </w:r>
      <w:r w:rsidR="00143DC2" w:rsidRPr="000E1BC3">
        <w:rPr>
          <w:rFonts w:ascii="Verdana" w:hAnsi="Verdana"/>
          <w:color w:val="000000" w:themeColor="text1"/>
          <w:sz w:val="20"/>
          <w:szCs w:val="20"/>
        </w:rPr>
        <w:t>22 de noviembre de 2016</w:t>
      </w:r>
      <w:r w:rsidR="00650DF4" w:rsidRPr="000E1BC3">
        <w:rPr>
          <w:rFonts w:ascii="Verdana" w:hAnsi="Verdana"/>
          <w:color w:val="000000" w:themeColor="text1"/>
          <w:sz w:val="20"/>
          <w:szCs w:val="20"/>
        </w:rPr>
        <w:t xml:space="preserve"> y</w:t>
      </w:r>
      <w:r w:rsidR="00143DC2" w:rsidRPr="000E1BC3">
        <w:rPr>
          <w:rFonts w:ascii="Verdana" w:hAnsi="Verdana"/>
          <w:color w:val="000000" w:themeColor="text1"/>
          <w:sz w:val="20"/>
          <w:szCs w:val="20"/>
        </w:rPr>
        <w:t xml:space="preserve"> 7 de febre</w:t>
      </w:r>
      <w:r w:rsidR="00CD20F9" w:rsidRPr="000E1BC3">
        <w:rPr>
          <w:rFonts w:ascii="Verdana" w:hAnsi="Verdana"/>
          <w:color w:val="000000" w:themeColor="text1"/>
          <w:sz w:val="20"/>
          <w:szCs w:val="20"/>
        </w:rPr>
        <w:t>r</w:t>
      </w:r>
      <w:r w:rsidR="00143DC2" w:rsidRPr="000E1BC3">
        <w:rPr>
          <w:rFonts w:ascii="Verdana" w:hAnsi="Verdana"/>
          <w:color w:val="000000" w:themeColor="text1"/>
          <w:sz w:val="20"/>
          <w:szCs w:val="20"/>
        </w:rPr>
        <w:t>o de 2023</w:t>
      </w:r>
      <w:r w:rsidR="00650DF4" w:rsidRPr="000E1BC3">
        <w:rPr>
          <w:rFonts w:ascii="Verdana" w:hAnsi="Verdana"/>
          <w:color w:val="000000" w:themeColor="text1"/>
          <w:sz w:val="20"/>
          <w:szCs w:val="20"/>
        </w:rPr>
        <w:t>, así como</w:t>
      </w:r>
      <w:r w:rsidR="00143DC2" w:rsidRPr="000E1BC3">
        <w:rPr>
          <w:rFonts w:ascii="Verdana" w:hAnsi="Verdana"/>
          <w:color w:val="000000" w:themeColor="text1"/>
          <w:sz w:val="20"/>
          <w:szCs w:val="20"/>
        </w:rPr>
        <w:t xml:space="preserve"> la Resolución de solicitud de medidas provisionales y supervisión de cumplimiento de </w:t>
      </w:r>
      <w:r w:rsidR="00BF4307" w:rsidRPr="000E1BC3">
        <w:rPr>
          <w:rFonts w:ascii="Verdana" w:hAnsi="Verdana"/>
          <w:color w:val="000000" w:themeColor="text1"/>
          <w:sz w:val="20"/>
          <w:szCs w:val="20"/>
        </w:rPr>
        <w:t>S</w:t>
      </w:r>
      <w:r w:rsidR="00143DC2" w:rsidRPr="000E1BC3">
        <w:rPr>
          <w:rFonts w:ascii="Verdana" w:hAnsi="Verdana"/>
          <w:color w:val="000000" w:themeColor="text1"/>
          <w:sz w:val="20"/>
          <w:szCs w:val="20"/>
        </w:rPr>
        <w:t>entencia emitida por la Corte el 22 de noviembre de 2022</w:t>
      </w:r>
      <w:r w:rsidRPr="000E1BC3">
        <w:rPr>
          <w:rStyle w:val="Refdenotaalpie"/>
          <w:rFonts w:ascii="Verdana" w:hAnsi="Verdana"/>
          <w:color w:val="000000" w:themeColor="text1"/>
          <w:sz w:val="20"/>
          <w:szCs w:val="20"/>
        </w:rPr>
        <w:footnoteReference w:id="2"/>
      </w:r>
      <w:r w:rsidRPr="000E1BC3">
        <w:rPr>
          <w:rFonts w:ascii="Verdana" w:hAnsi="Verdana"/>
          <w:color w:val="000000" w:themeColor="text1"/>
          <w:sz w:val="20"/>
          <w:szCs w:val="20"/>
        </w:rPr>
        <w:t>.</w:t>
      </w:r>
    </w:p>
    <w:p w14:paraId="3DF2C52C" w14:textId="1612523E" w:rsidR="00FD70CB" w:rsidRPr="000E1BC3" w:rsidRDefault="00FD70CB" w:rsidP="000D1217">
      <w:pPr>
        <w:pStyle w:val="Prrafodelista"/>
        <w:numPr>
          <w:ilvl w:val="0"/>
          <w:numId w:val="1"/>
        </w:numPr>
        <w:spacing w:before="120" w:after="120" w:line="240" w:lineRule="auto"/>
        <w:ind w:left="0" w:firstLine="0"/>
        <w:contextualSpacing w:val="0"/>
        <w:jc w:val="both"/>
        <w:rPr>
          <w:rFonts w:ascii="Verdana" w:hAnsi="Verdana"/>
          <w:color w:val="000000" w:themeColor="text1"/>
          <w:sz w:val="20"/>
          <w:szCs w:val="20"/>
        </w:rPr>
      </w:pPr>
      <w:r w:rsidRPr="000E1BC3">
        <w:rPr>
          <w:rFonts w:ascii="Verdana" w:hAnsi="Verdana"/>
          <w:color w:val="000000" w:themeColor="text1"/>
          <w:sz w:val="20"/>
          <w:szCs w:val="20"/>
        </w:rPr>
        <w:t>La audiencia pública de supervisión de cumplimiento de Sentencia celebrada de forma virtual el día 13 de marzo de 2023 durante el 156 Período Ordinario de Sesiones del Tribunal</w:t>
      </w:r>
      <w:r w:rsidRPr="000E1BC3">
        <w:rPr>
          <w:rStyle w:val="Refdenotaalpie"/>
          <w:rFonts w:ascii="Verdana" w:hAnsi="Verdana"/>
          <w:color w:val="000000" w:themeColor="text1"/>
          <w:sz w:val="20"/>
          <w:szCs w:val="20"/>
        </w:rPr>
        <w:footnoteReference w:id="3"/>
      </w:r>
      <w:r w:rsidRPr="000E1BC3">
        <w:rPr>
          <w:rFonts w:ascii="Verdana" w:hAnsi="Verdana"/>
          <w:color w:val="000000" w:themeColor="text1"/>
          <w:sz w:val="20"/>
          <w:szCs w:val="20"/>
        </w:rPr>
        <w:t>.</w:t>
      </w:r>
    </w:p>
    <w:p w14:paraId="13223E8F" w14:textId="7FF45C8E" w:rsidR="007D396F" w:rsidRPr="000E1BC3" w:rsidRDefault="00143DC2" w:rsidP="000D1217">
      <w:pPr>
        <w:pStyle w:val="Prrafodelista"/>
        <w:numPr>
          <w:ilvl w:val="0"/>
          <w:numId w:val="1"/>
        </w:numPr>
        <w:spacing w:before="120" w:after="120" w:line="240" w:lineRule="auto"/>
        <w:ind w:left="0" w:firstLine="0"/>
        <w:contextualSpacing w:val="0"/>
        <w:jc w:val="both"/>
        <w:rPr>
          <w:rFonts w:ascii="Verdana" w:hAnsi="Verdana"/>
          <w:b/>
          <w:color w:val="000000" w:themeColor="text1"/>
          <w:sz w:val="20"/>
          <w:szCs w:val="20"/>
        </w:rPr>
      </w:pPr>
      <w:r w:rsidRPr="000E1BC3">
        <w:rPr>
          <w:rFonts w:ascii="Verdana" w:hAnsi="Verdana"/>
          <w:color w:val="000000" w:themeColor="text1"/>
          <w:sz w:val="20"/>
          <w:szCs w:val="20"/>
        </w:rPr>
        <w:t>El informe presentado por la República de Guatemala</w:t>
      </w:r>
      <w:r w:rsidR="007D396F" w:rsidRPr="000E1BC3">
        <w:rPr>
          <w:rFonts w:ascii="Verdana" w:hAnsi="Verdana"/>
          <w:sz w:val="20"/>
          <w:szCs w:val="20"/>
        </w:rPr>
        <w:t xml:space="preserve"> (en adelante “el Estado” o “Guatemala”) </w:t>
      </w:r>
      <w:r w:rsidRPr="000E1BC3">
        <w:rPr>
          <w:rFonts w:ascii="Verdana" w:hAnsi="Verdana"/>
          <w:color w:val="000000" w:themeColor="text1"/>
          <w:sz w:val="20"/>
          <w:szCs w:val="20"/>
        </w:rPr>
        <w:t>e</w:t>
      </w:r>
      <w:r w:rsidR="00315720" w:rsidRPr="000E1BC3">
        <w:rPr>
          <w:rFonts w:ascii="Verdana" w:hAnsi="Verdana"/>
          <w:color w:val="000000" w:themeColor="text1"/>
          <w:sz w:val="20"/>
          <w:szCs w:val="20"/>
        </w:rPr>
        <w:t>l</w:t>
      </w:r>
      <w:r w:rsidR="004359BC" w:rsidRPr="000E1BC3">
        <w:rPr>
          <w:rFonts w:ascii="Verdana" w:hAnsi="Verdana"/>
          <w:color w:val="000000" w:themeColor="text1"/>
          <w:sz w:val="20"/>
          <w:szCs w:val="20"/>
        </w:rPr>
        <w:t xml:space="preserve"> 28 de </w:t>
      </w:r>
      <w:r w:rsidRPr="000E1BC3">
        <w:rPr>
          <w:rFonts w:ascii="Verdana" w:hAnsi="Verdana"/>
          <w:color w:val="000000" w:themeColor="text1"/>
          <w:sz w:val="20"/>
          <w:szCs w:val="20"/>
        </w:rPr>
        <w:t>agosto de 2023</w:t>
      </w:r>
      <w:r w:rsidR="007D396F" w:rsidRPr="000E1BC3">
        <w:rPr>
          <w:rFonts w:ascii="Verdana" w:hAnsi="Verdana"/>
          <w:color w:val="000000" w:themeColor="text1"/>
          <w:sz w:val="20"/>
          <w:szCs w:val="20"/>
        </w:rPr>
        <w:t xml:space="preserve">, así como </w:t>
      </w:r>
      <w:r w:rsidRPr="000E1BC3">
        <w:rPr>
          <w:rFonts w:ascii="Verdana" w:hAnsi="Verdana"/>
          <w:color w:val="000000" w:themeColor="text1"/>
          <w:sz w:val="20"/>
          <w:szCs w:val="20"/>
        </w:rPr>
        <w:t xml:space="preserve">el escrito </w:t>
      </w:r>
      <w:r w:rsidR="000E1BC3" w:rsidRPr="000E1BC3">
        <w:rPr>
          <w:rFonts w:ascii="Verdana" w:hAnsi="Verdana"/>
          <w:color w:val="000000" w:themeColor="text1"/>
          <w:sz w:val="20"/>
          <w:szCs w:val="20"/>
        </w:rPr>
        <w:t xml:space="preserve">de observaciones </w:t>
      </w:r>
      <w:r w:rsidRPr="000E1BC3">
        <w:rPr>
          <w:rFonts w:ascii="Verdana" w:hAnsi="Verdana"/>
          <w:color w:val="000000" w:themeColor="text1"/>
          <w:sz w:val="20"/>
          <w:szCs w:val="20"/>
        </w:rPr>
        <w:t>presentado</w:t>
      </w:r>
      <w:r w:rsidR="007D396F" w:rsidRPr="000E1BC3">
        <w:rPr>
          <w:rFonts w:ascii="Verdana" w:hAnsi="Verdana"/>
          <w:color w:val="000000" w:themeColor="text1"/>
          <w:sz w:val="20"/>
          <w:szCs w:val="20"/>
        </w:rPr>
        <w:t xml:space="preserve"> por los representantes de las víctimas (en adelante “los representantes”)</w:t>
      </w:r>
      <w:r w:rsidR="00866207" w:rsidRPr="000E1BC3">
        <w:rPr>
          <w:rStyle w:val="Refdenotaalpie"/>
          <w:rFonts w:ascii="Verdana" w:hAnsi="Verdana"/>
          <w:color w:val="000000" w:themeColor="text1"/>
          <w:sz w:val="20"/>
          <w:szCs w:val="20"/>
        </w:rPr>
        <w:footnoteReference w:id="4"/>
      </w:r>
      <w:r w:rsidR="007D396F" w:rsidRPr="000E1BC3">
        <w:rPr>
          <w:rFonts w:ascii="Verdana" w:hAnsi="Verdana"/>
          <w:color w:val="000000"/>
          <w:sz w:val="20"/>
          <w:szCs w:val="20"/>
        </w:rPr>
        <w:t xml:space="preserve"> </w:t>
      </w:r>
      <w:r w:rsidRPr="000E1BC3">
        <w:rPr>
          <w:rFonts w:ascii="Verdana" w:hAnsi="Verdana"/>
          <w:color w:val="000000"/>
          <w:sz w:val="20"/>
          <w:szCs w:val="20"/>
        </w:rPr>
        <w:t>e</w:t>
      </w:r>
      <w:r w:rsidR="004359BC" w:rsidRPr="000E1BC3">
        <w:rPr>
          <w:rFonts w:ascii="Verdana" w:hAnsi="Verdana"/>
          <w:color w:val="000000"/>
          <w:sz w:val="20"/>
          <w:szCs w:val="20"/>
        </w:rPr>
        <w:t>l 5 de octubre de 2023</w:t>
      </w:r>
      <w:r w:rsidR="007D396F" w:rsidRPr="000E1BC3">
        <w:rPr>
          <w:rFonts w:ascii="Verdana" w:hAnsi="Verdana"/>
          <w:color w:val="000000"/>
          <w:sz w:val="20"/>
          <w:szCs w:val="20"/>
        </w:rPr>
        <w:t>. La Comisión Interamericana de Derechos Humanos no presentó observaciones.</w:t>
      </w:r>
    </w:p>
    <w:p w14:paraId="23C6C0E7" w14:textId="77777777" w:rsidR="00C15E8F" w:rsidRPr="000E1BC3" w:rsidRDefault="00C15E8F" w:rsidP="000D1217">
      <w:pPr>
        <w:pStyle w:val="Prrafodelista"/>
        <w:spacing w:before="120" w:after="120" w:line="240" w:lineRule="auto"/>
        <w:ind w:left="0"/>
        <w:contextualSpacing w:val="0"/>
        <w:jc w:val="both"/>
        <w:rPr>
          <w:rFonts w:ascii="Verdana" w:hAnsi="Verdana"/>
          <w:b/>
          <w:color w:val="000000" w:themeColor="text1"/>
          <w:sz w:val="20"/>
          <w:szCs w:val="20"/>
        </w:rPr>
      </w:pPr>
    </w:p>
    <w:p w14:paraId="1AE3264D" w14:textId="77777777" w:rsidR="00143DC2" w:rsidRPr="000E1BC3" w:rsidRDefault="00143DC2" w:rsidP="000D1217">
      <w:pPr>
        <w:pStyle w:val="Prrafodelista"/>
        <w:spacing w:before="120" w:after="120" w:line="240" w:lineRule="auto"/>
        <w:ind w:left="0"/>
        <w:contextualSpacing w:val="0"/>
        <w:jc w:val="both"/>
        <w:rPr>
          <w:rFonts w:ascii="Verdana" w:hAnsi="Verdana"/>
          <w:b/>
          <w:color w:val="000000"/>
          <w:sz w:val="20"/>
          <w:szCs w:val="20"/>
        </w:rPr>
      </w:pPr>
      <w:r w:rsidRPr="000E1BC3">
        <w:rPr>
          <w:rFonts w:ascii="Verdana" w:hAnsi="Verdana"/>
          <w:b/>
          <w:color w:val="000000"/>
          <w:sz w:val="20"/>
          <w:szCs w:val="20"/>
        </w:rPr>
        <w:lastRenderedPageBreak/>
        <w:t>CONSIDERANDO QUE:</w:t>
      </w:r>
    </w:p>
    <w:p w14:paraId="32DEE5CC" w14:textId="503EA093" w:rsidR="0099167E" w:rsidRPr="000E1BC3" w:rsidRDefault="00650DF4" w:rsidP="0099167E">
      <w:pPr>
        <w:pStyle w:val="Prrafodelista"/>
        <w:numPr>
          <w:ilvl w:val="0"/>
          <w:numId w:val="12"/>
        </w:numPr>
        <w:spacing w:before="120" w:after="120" w:line="240" w:lineRule="auto"/>
        <w:ind w:left="0" w:firstLine="0"/>
        <w:contextualSpacing w:val="0"/>
        <w:jc w:val="both"/>
        <w:rPr>
          <w:rFonts w:ascii="Verdana" w:hAnsi="Verdana"/>
          <w:sz w:val="20"/>
          <w:szCs w:val="20"/>
        </w:rPr>
      </w:pPr>
      <w:r w:rsidRPr="000E1BC3">
        <w:rPr>
          <w:rFonts w:ascii="Verdana" w:hAnsi="Verdana"/>
          <w:sz w:val="20"/>
          <w:szCs w:val="20"/>
        </w:rPr>
        <w:t>La Corte ha venido supervisando la ejecución de la Sentencia</w:t>
      </w:r>
      <w:r w:rsidRPr="000E1BC3">
        <w:rPr>
          <w:rStyle w:val="Refdenotaalpie"/>
          <w:rFonts w:ascii="Verdana" w:hAnsi="Verdana"/>
          <w:sz w:val="20"/>
          <w:szCs w:val="20"/>
        </w:rPr>
        <w:footnoteReference w:id="5"/>
      </w:r>
      <w:r w:rsidRPr="000E1BC3">
        <w:rPr>
          <w:rFonts w:ascii="Verdana" w:hAnsi="Verdana"/>
          <w:sz w:val="20"/>
          <w:szCs w:val="20"/>
        </w:rPr>
        <w:t xml:space="preserve"> (</w:t>
      </w:r>
      <w:r w:rsidRPr="000E1BC3">
        <w:rPr>
          <w:rFonts w:ascii="Verdana" w:hAnsi="Verdana"/>
          <w:i/>
          <w:sz w:val="20"/>
          <w:szCs w:val="20"/>
        </w:rPr>
        <w:t>supra</w:t>
      </w:r>
      <w:r w:rsidRPr="000E1BC3">
        <w:rPr>
          <w:rFonts w:ascii="Verdana" w:hAnsi="Verdana"/>
          <w:sz w:val="20"/>
          <w:szCs w:val="20"/>
        </w:rPr>
        <w:t xml:space="preserve"> Visto 1)</w:t>
      </w:r>
      <w:r w:rsidR="00F93A1A" w:rsidRPr="000E1BC3">
        <w:rPr>
          <w:rFonts w:ascii="Verdana" w:hAnsi="Verdana"/>
          <w:color w:val="000000"/>
          <w:sz w:val="20"/>
          <w:szCs w:val="20"/>
        </w:rPr>
        <w:t>, en la cual</w:t>
      </w:r>
      <w:r w:rsidR="00F93A1A" w:rsidRPr="000E1BC3">
        <w:rPr>
          <w:rFonts w:ascii="Verdana" w:hAnsi="Verdana"/>
          <w:sz w:val="20"/>
          <w:szCs w:val="20"/>
        </w:rPr>
        <w:t xml:space="preserve"> homologó el acuerdo de reparaciones suscrito entre el Estado y las víctimas, con lo </w:t>
      </w:r>
      <w:r w:rsidR="00AD46ED">
        <w:rPr>
          <w:rFonts w:ascii="Verdana" w:hAnsi="Verdana"/>
          <w:sz w:val="20"/>
          <w:szCs w:val="20"/>
        </w:rPr>
        <w:t>que</w:t>
      </w:r>
      <w:r w:rsidR="00F93A1A" w:rsidRPr="000E1BC3">
        <w:rPr>
          <w:rFonts w:ascii="Verdana" w:hAnsi="Verdana"/>
          <w:sz w:val="20"/>
          <w:szCs w:val="20"/>
        </w:rPr>
        <w:t xml:space="preserve"> se dispuso que el Estado debía implementar once medidas de reparación. Este Tribunal emitió Resoluciones de supervisión de cumplimiento en el 2016 y 2023 (</w:t>
      </w:r>
      <w:r w:rsidR="00F93A1A" w:rsidRPr="000E1BC3">
        <w:rPr>
          <w:rFonts w:ascii="Verdana" w:hAnsi="Verdana"/>
          <w:i/>
          <w:sz w:val="20"/>
          <w:szCs w:val="20"/>
        </w:rPr>
        <w:t xml:space="preserve">supra </w:t>
      </w:r>
      <w:r w:rsidR="00F93A1A" w:rsidRPr="000E1BC3">
        <w:rPr>
          <w:rFonts w:ascii="Verdana" w:hAnsi="Verdana"/>
          <w:sz w:val="20"/>
          <w:szCs w:val="20"/>
        </w:rPr>
        <w:t>Visto 2)</w:t>
      </w:r>
      <w:r w:rsidR="00555EFF">
        <w:rPr>
          <w:rFonts w:ascii="Verdana" w:hAnsi="Verdana"/>
          <w:sz w:val="20"/>
          <w:szCs w:val="20"/>
        </w:rPr>
        <w:t>,</w:t>
      </w:r>
      <w:r w:rsidR="00F93A1A" w:rsidRPr="000E1BC3">
        <w:rPr>
          <w:rFonts w:ascii="Verdana" w:hAnsi="Verdana"/>
          <w:sz w:val="20"/>
          <w:szCs w:val="20"/>
        </w:rPr>
        <w:t xml:space="preserve"> en las que declaró que el Estado dio cumplimiento total a tres medidas de reparación</w:t>
      </w:r>
      <w:r w:rsidR="00F93A1A" w:rsidRPr="000E1BC3">
        <w:rPr>
          <w:rStyle w:val="Refdenotaalpie"/>
          <w:rFonts w:ascii="Verdana" w:hAnsi="Verdana"/>
          <w:sz w:val="20"/>
          <w:szCs w:val="20"/>
        </w:rPr>
        <w:footnoteReference w:id="6"/>
      </w:r>
      <w:r w:rsidR="00F93A1A" w:rsidRPr="000E1BC3">
        <w:rPr>
          <w:rFonts w:ascii="Verdana" w:hAnsi="Verdana"/>
          <w:sz w:val="20"/>
          <w:szCs w:val="20"/>
        </w:rPr>
        <w:t xml:space="preserve"> y cumplimiento parcial a una medida de reparación</w:t>
      </w:r>
      <w:r w:rsidR="00F93A1A" w:rsidRPr="000E1BC3">
        <w:rPr>
          <w:rStyle w:val="Refdenotaalpie"/>
          <w:rFonts w:ascii="Verdana" w:hAnsi="Verdana"/>
          <w:sz w:val="20"/>
          <w:szCs w:val="20"/>
        </w:rPr>
        <w:footnoteReference w:id="7"/>
      </w:r>
      <w:r w:rsidR="00A704E0" w:rsidRPr="000E1BC3">
        <w:rPr>
          <w:rFonts w:ascii="Verdana" w:hAnsi="Verdana"/>
          <w:sz w:val="20"/>
          <w:szCs w:val="20"/>
        </w:rPr>
        <w:t xml:space="preserve">, </w:t>
      </w:r>
      <w:r w:rsidR="00F93A1A" w:rsidRPr="000E1BC3">
        <w:rPr>
          <w:rFonts w:ascii="Verdana" w:hAnsi="Verdana"/>
          <w:sz w:val="20"/>
          <w:szCs w:val="20"/>
        </w:rPr>
        <w:t xml:space="preserve">manteniendo abierto el procedimiento de supervisión respecto de </w:t>
      </w:r>
      <w:r w:rsidR="00A704E0" w:rsidRPr="000E1BC3">
        <w:rPr>
          <w:rFonts w:ascii="Verdana" w:hAnsi="Verdana"/>
          <w:sz w:val="20"/>
          <w:szCs w:val="20"/>
        </w:rPr>
        <w:t>ocho</w:t>
      </w:r>
      <w:r w:rsidR="00F93A1A" w:rsidRPr="000E1BC3">
        <w:rPr>
          <w:rFonts w:ascii="Verdana" w:hAnsi="Verdana"/>
          <w:sz w:val="20"/>
          <w:szCs w:val="20"/>
        </w:rPr>
        <w:t xml:space="preserve"> medidas (</w:t>
      </w:r>
      <w:r w:rsidR="00F93A1A" w:rsidRPr="000E1BC3">
        <w:rPr>
          <w:rFonts w:ascii="Verdana" w:hAnsi="Verdana"/>
          <w:i/>
          <w:iCs/>
          <w:sz w:val="20"/>
          <w:szCs w:val="20"/>
        </w:rPr>
        <w:t>infra</w:t>
      </w:r>
      <w:r w:rsidR="00F93A1A" w:rsidRPr="000E1BC3">
        <w:rPr>
          <w:rFonts w:ascii="Verdana" w:hAnsi="Verdana"/>
          <w:sz w:val="20"/>
          <w:szCs w:val="20"/>
        </w:rPr>
        <w:t xml:space="preserve"> puntos resolutivos 1 y 2).</w:t>
      </w:r>
      <w:r w:rsidR="00A704E0" w:rsidRPr="000E1BC3">
        <w:rPr>
          <w:rFonts w:ascii="Verdana" w:hAnsi="Verdana"/>
          <w:color w:val="000000"/>
          <w:sz w:val="20"/>
          <w:szCs w:val="20"/>
        </w:rPr>
        <w:t xml:space="preserve"> </w:t>
      </w:r>
      <w:r w:rsidRPr="000E1BC3">
        <w:rPr>
          <w:rFonts w:ascii="Verdana" w:hAnsi="Verdana"/>
          <w:sz w:val="20"/>
          <w:szCs w:val="20"/>
        </w:rPr>
        <w:t>En la presente Resolución, la Corte valorará la información sobre la medida relativa a la publicación y difusión de la</w:t>
      </w:r>
      <w:r w:rsidR="007B359B" w:rsidRPr="000E1BC3">
        <w:rPr>
          <w:rFonts w:ascii="Verdana" w:hAnsi="Verdana"/>
          <w:sz w:val="20"/>
          <w:szCs w:val="20"/>
        </w:rPr>
        <w:t xml:space="preserve"> parte resolutiva de la Sentencia</w:t>
      </w:r>
      <w:r w:rsidRPr="000E1BC3">
        <w:rPr>
          <w:rFonts w:ascii="Verdana" w:hAnsi="Verdana"/>
          <w:sz w:val="20"/>
          <w:szCs w:val="20"/>
        </w:rPr>
        <w:t>, respecto de la cual hay suficiente información para valorar su cumplimiento (</w:t>
      </w:r>
      <w:r w:rsidRPr="000E1BC3">
        <w:rPr>
          <w:rFonts w:ascii="Verdana" w:hAnsi="Verdana"/>
          <w:i/>
          <w:sz w:val="20"/>
          <w:szCs w:val="20"/>
        </w:rPr>
        <w:t>infra</w:t>
      </w:r>
      <w:r w:rsidRPr="000E1BC3">
        <w:rPr>
          <w:rFonts w:ascii="Verdana" w:hAnsi="Verdana"/>
          <w:sz w:val="20"/>
          <w:szCs w:val="20"/>
        </w:rPr>
        <w:t xml:space="preserve"> Considerado 2). Las restantes medidas de reparación (</w:t>
      </w:r>
      <w:r w:rsidRPr="000E1BC3">
        <w:rPr>
          <w:rFonts w:ascii="Verdana" w:hAnsi="Verdana"/>
          <w:i/>
          <w:sz w:val="20"/>
          <w:szCs w:val="20"/>
        </w:rPr>
        <w:t>infra</w:t>
      </w:r>
      <w:r w:rsidRPr="000E1BC3">
        <w:rPr>
          <w:rFonts w:ascii="Verdana" w:hAnsi="Verdana"/>
          <w:sz w:val="20"/>
          <w:szCs w:val="20"/>
        </w:rPr>
        <w:t xml:space="preserve"> punto resolutivo 2), serán evaluadas en una resolución posterior, para lo cual se está solicitando al Estado que presente un nuevo informe (</w:t>
      </w:r>
      <w:r w:rsidRPr="000E1BC3">
        <w:rPr>
          <w:rFonts w:ascii="Verdana" w:hAnsi="Verdana"/>
          <w:i/>
          <w:sz w:val="20"/>
          <w:szCs w:val="20"/>
        </w:rPr>
        <w:t xml:space="preserve">infra </w:t>
      </w:r>
      <w:r w:rsidRPr="000E1BC3">
        <w:rPr>
          <w:rFonts w:ascii="Verdana" w:hAnsi="Verdana"/>
          <w:sz w:val="20"/>
          <w:szCs w:val="20"/>
        </w:rPr>
        <w:t>punto resolutivo 4)</w:t>
      </w:r>
      <w:r w:rsidR="00A704E0" w:rsidRPr="000E1BC3">
        <w:rPr>
          <w:rFonts w:ascii="Verdana" w:hAnsi="Verdana"/>
          <w:sz w:val="20"/>
          <w:szCs w:val="20"/>
        </w:rPr>
        <w:t>.</w:t>
      </w:r>
    </w:p>
    <w:p w14:paraId="1867B7D2" w14:textId="1EF9A95B" w:rsidR="00484DAC" w:rsidRPr="000E1BC3" w:rsidRDefault="00484DAC" w:rsidP="0099167E">
      <w:pPr>
        <w:pStyle w:val="Prrafodelista"/>
        <w:numPr>
          <w:ilvl w:val="0"/>
          <w:numId w:val="12"/>
        </w:numPr>
        <w:spacing w:before="120" w:after="120" w:line="240" w:lineRule="auto"/>
        <w:ind w:left="0" w:firstLine="0"/>
        <w:contextualSpacing w:val="0"/>
        <w:jc w:val="both"/>
        <w:rPr>
          <w:rFonts w:ascii="Verdana" w:hAnsi="Verdana"/>
          <w:sz w:val="20"/>
          <w:szCs w:val="20"/>
        </w:rPr>
      </w:pPr>
      <w:bookmarkStart w:id="0" w:name="_Hlk155792283"/>
      <w:r w:rsidRPr="000E1BC3">
        <w:rPr>
          <w:rFonts w:ascii="Verdana" w:hAnsi="Verdana"/>
          <w:sz w:val="20"/>
          <w:szCs w:val="20"/>
        </w:rPr>
        <w:t xml:space="preserve">En el punto dispositivo cuarto y párrafos 201 a 203 de la Sentencia, la Corte homologó la medida relativa a que, en el plazo de “dos meses”, el Estado publicara “la parte resolutiva” </w:t>
      </w:r>
      <w:r w:rsidR="001A2883">
        <w:rPr>
          <w:rFonts w:ascii="Verdana" w:hAnsi="Verdana"/>
          <w:sz w:val="20"/>
          <w:szCs w:val="20"/>
        </w:rPr>
        <w:t xml:space="preserve">de la misma, </w:t>
      </w:r>
      <w:r w:rsidRPr="000E1BC3">
        <w:rPr>
          <w:rFonts w:ascii="Verdana" w:hAnsi="Verdana"/>
          <w:sz w:val="20"/>
          <w:szCs w:val="20"/>
        </w:rPr>
        <w:t>“tanto en el Diario oficial, como en un diario particular de mayor circulación en el país”.</w:t>
      </w:r>
      <w:bookmarkEnd w:id="0"/>
    </w:p>
    <w:p w14:paraId="61A061D4" w14:textId="443167CD" w:rsidR="000D1210" w:rsidRPr="000E1BC3" w:rsidRDefault="00484DAC" w:rsidP="006E3AB5">
      <w:pPr>
        <w:spacing w:before="120" w:after="120" w:line="240" w:lineRule="auto"/>
        <w:jc w:val="both"/>
        <w:rPr>
          <w:rFonts w:ascii="Verdana" w:hAnsi="Verdana" w:cs="Verdana"/>
          <w:sz w:val="20"/>
          <w:szCs w:val="20"/>
        </w:rPr>
      </w:pPr>
      <w:r w:rsidRPr="000E1BC3">
        <w:rPr>
          <w:rFonts w:ascii="Verdana" w:hAnsi="Verdana" w:cs="Verdana"/>
          <w:sz w:val="20"/>
          <w:szCs w:val="20"/>
        </w:rPr>
        <w:t>3.</w:t>
      </w:r>
      <w:r w:rsidRPr="000E1BC3">
        <w:rPr>
          <w:rFonts w:ascii="Verdana" w:hAnsi="Verdana" w:cs="Verdana"/>
          <w:sz w:val="20"/>
          <w:szCs w:val="20"/>
        </w:rPr>
        <w:tab/>
      </w:r>
      <w:r w:rsidR="00A704E0" w:rsidRPr="000E1BC3">
        <w:rPr>
          <w:rFonts w:ascii="Verdana" w:hAnsi="Verdana" w:cs="Verdana"/>
          <w:sz w:val="20"/>
          <w:szCs w:val="20"/>
        </w:rPr>
        <w:t>Con base en la información y los comprobantes aportados por el Estado, así como lo observado por los representantes de las víctimas</w:t>
      </w:r>
      <w:r w:rsidR="00A704E0" w:rsidRPr="000E1BC3">
        <w:rPr>
          <w:rStyle w:val="Refdenotaalpie"/>
          <w:rFonts w:ascii="Verdana" w:hAnsi="Verdana"/>
          <w:sz w:val="20"/>
          <w:szCs w:val="20"/>
        </w:rPr>
        <w:footnoteReference w:id="8"/>
      </w:r>
      <w:r w:rsidR="00A704E0" w:rsidRPr="000E1BC3">
        <w:rPr>
          <w:rFonts w:ascii="Verdana" w:hAnsi="Verdana" w:cs="Verdana"/>
          <w:sz w:val="20"/>
          <w:szCs w:val="20"/>
        </w:rPr>
        <w:t xml:space="preserve">, la Corte considera que Guatemala ha dado cumplimiento total a las </w:t>
      </w:r>
      <w:r w:rsidR="006E3AB5" w:rsidRPr="000E1BC3">
        <w:rPr>
          <w:rFonts w:ascii="Verdana" w:hAnsi="Verdana" w:cs="Verdana"/>
          <w:sz w:val="20"/>
          <w:szCs w:val="20"/>
        </w:rPr>
        <w:t xml:space="preserve">referidas </w:t>
      </w:r>
      <w:r w:rsidR="00A704E0" w:rsidRPr="000E1BC3">
        <w:rPr>
          <w:rFonts w:ascii="Verdana" w:hAnsi="Verdana" w:cs="Verdana"/>
          <w:sz w:val="20"/>
          <w:szCs w:val="20"/>
        </w:rPr>
        <w:t xml:space="preserve">medidas </w:t>
      </w:r>
      <w:r w:rsidR="00A668DA" w:rsidRPr="000E1BC3">
        <w:rPr>
          <w:rFonts w:ascii="Verdana" w:hAnsi="Verdana" w:cs="Verdana"/>
          <w:sz w:val="20"/>
          <w:szCs w:val="20"/>
        </w:rPr>
        <w:t>de reparación</w:t>
      </w:r>
      <w:r w:rsidR="00A704E0" w:rsidRPr="000E1BC3">
        <w:rPr>
          <w:rFonts w:ascii="Verdana" w:hAnsi="Verdana" w:cs="Verdana"/>
          <w:sz w:val="20"/>
          <w:szCs w:val="20"/>
        </w:rPr>
        <w:t>, ya que publicó</w:t>
      </w:r>
      <w:r w:rsidR="00A668DA" w:rsidRPr="000E1BC3">
        <w:rPr>
          <w:rFonts w:ascii="Verdana" w:hAnsi="Verdana" w:cs="Verdana"/>
          <w:sz w:val="20"/>
          <w:szCs w:val="20"/>
        </w:rPr>
        <w:t xml:space="preserve"> la parte resolutiva de la Sentencia</w:t>
      </w:r>
      <w:r w:rsidR="006E3AB5" w:rsidRPr="000E1BC3">
        <w:rPr>
          <w:rFonts w:ascii="Verdana" w:hAnsi="Verdana" w:cs="Verdana"/>
          <w:sz w:val="20"/>
          <w:szCs w:val="20"/>
        </w:rPr>
        <w:t xml:space="preserve"> en</w:t>
      </w:r>
      <w:r w:rsidR="00A704E0" w:rsidRPr="000E1BC3">
        <w:rPr>
          <w:rFonts w:ascii="Verdana" w:hAnsi="Verdana" w:cs="Verdana"/>
          <w:sz w:val="20"/>
          <w:szCs w:val="20"/>
        </w:rPr>
        <w:t>: a) el “Diario de Centro América”</w:t>
      </w:r>
      <w:r w:rsidR="00A704E0" w:rsidRPr="000E1BC3">
        <w:rPr>
          <w:rStyle w:val="Refdenotaalpie"/>
          <w:rFonts w:ascii="Verdana" w:hAnsi="Verdana"/>
          <w:iCs/>
          <w:sz w:val="20"/>
          <w:szCs w:val="20"/>
        </w:rPr>
        <w:footnoteReference w:id="9"/>
      </w:r>
      <w:r w:rsidR="00A668DA" w:rsidRPr="000E1BC3">
        <w:rPr>
          <w:rFonts w:ascii="Verdana" w:hAnsi="Verdana" w:cs="Verdana"/>
          <w:sz w:val="20"/>
          <w:szCs w:val="20"/>
        </w:rPr>
        <w:t xml:space="preserve">, </w:t>
      </w:r>
      <w:r w:rsidR="00A704E0" w:rsidRPr="000E1BC3">
        <w:rPr>
          <w:rFonts w:ascii="Verdana" w:hAnsi="Verdana" w:cs="Verdana"/>
          <w:sz w:val="20"/>
          <w:szCs w:val="20"/>
        </w:rPr>
        <w:t xml:space="preserve">y </w:t>
      </w:r>
      <w:r w:rsidR="00A668DA" w:rsidRPr="000E1BC3">
        <w:rPr>
          <w:rFonts w:ascii="Verdana" w:hAnsi="Verdana" w:cs="Verdana"/>
          <w:sz w:val="20"/>
          <w:szCs w:val="20"/>
        </w:rPr>
        <w:t xml:space="preserve">b) </w:t>
      </w:r>
      <w:r w:rsidR="00A704E0" w:rsidRPr="000E1BC3">
        <w:rPr>
          <w:rFonts w:ascii="Verdana" w:hAnsi="Verdana"/>
          <w:sz w:val="20"/>
          <w:szCs w:val="20"/>
        </w:rPr>
        <w:t xml:space="preserve">el diario de amplia circulación nacional </w:t>
      </w:r>
      <w:r w:rsidR="00A704E0" w:rsidRPr="000E1BC3">
        <w:rPr>
          <w:rFonts w:ascii="Verdana" w:hAnsi="Verdana" w:cs="Verdana"/>
          <w:sz w:val="20"/>
          <w:szCs w:val="20"/>
        </w:rPr>
        <w:t>“Nuestro Diario”</w:t>
      </w:r>
      <w:r w:rsidR="00A704E0" w:rsidRPr="000E1BC3">
        <w:rPr>
          <w:rStyle w:val="Refdenotaalpie"/>
          <w:rFonts w:ascii="Verdana" w:hAnsi="Verdana"/>
          <w:iCs/>
          <w:sz w:val="20"/>
          <w:szCs w:val="20"/>
        </w:rPr>
        <w:footnoteReference w:id="10"/>
      </w:r>
      <w:r w:rsidR="00A704E0" w:rsidRPr="000E1BC3">
        <w:rPr>
          <w:rFonts w:ascii="Verdana" w:hAnsi="Verdana" w:cs="Verdana"/>
          <w:sz w:val="20"/>
          <w:szCs w:val="20"/>
        </w:rPr>
        <w:t>.</w:t>
      </w:r>
      <w:r w:rsidR="000D1210" w:rsidRPr="000E1BC3">
        <w:rPr>
          <w:rFonts w:ascii="Verdana" w:hAnsi="Verdana" w:cs="Verdana"/>
          <w:sz w:val="20"/>
          <w:szCs w:val="20"/>
        </w:rPr>
        <w:t xml:space="preserve"> </w:t>
      </w:r>
    </w:p>
    <w:p w14:paraId="733DF5F1" w14:textId="77777777" w:rsidR="00AB1FDE" w:rsidRPr="000E1BC3" w:rsidRDefault="00AB1FDE" w:rsidP="000D1217">
      <w:pPr>
        <w:spacing w:before="120" w:after="120" w:line="240" w:lineRule="auto"/>
        <w:jc w:val="both"/>
        <w:rPr>
          <w:rFonts w:ascii="Verdana" w:hAnsi="Verdana"/>
          <w:b/>
          <w:sz w:val="20"/>
          <w:szCs w:val="20"/>
        </w:rPr>
      </w:pPr>
    </w:p>
    <w:p w14:paraId="2B111D68" w14:textId="77777777" w:rsidR="00C17C84" w:rsidRPr="000E1BC3" w:rsidRDefault="00C17C84" w:rsidP="000D1217">
      <w:pPr>
        <w:spacing w:before="120" w:after="120" w:line="240" w:lineRule="auto"/>
        <w:jc w:val="both"/>
        <w:rPr>
          <w:rFonts w:ascii="Verdana" w:hAnsi="Verdana"/>
          <w:b/>
          <w:sz w:val="20"/>
          <w:szCs w:val="20"/>
        </w:rPr>
      </w:pPr>
      <w:r w:rsidRPr="000E1BC3">
        <w:rPr>
          <w:rFonts w:ascii="Verdana" w:hAnsi="Verdana"/>
          <w:b/>
          <w:sz w:val="20"/>
          <w:szCs w:val="20"/>
        </w:rPr>
        <w:t>POR TANTO</w:t>
      </w:r>
    </w:p>
    <w:p w14:paraId="4AA1E630" w14:textId="77777777" w:rsidR="00C17C84" w:rsidRPr="000E1BC3" w:rsidRDefault="00C17C84" w:rsidP="000D1217">
      <w:pPr>
        <w:pStyle w:val="Prrafodelista"/>
        <w:spacing w:before="120" w:after="120" w:line="240" w:lineRule="auto"/>
        <w:ind w:left="0"/>
        <w:contextualSpacing w:val="0"/>
        <w:jc w:val="both"/>
        <w:rPr>
          <w:rFonts w:ascii="Verdana" w:hAnsi="Verdana"/>
          <w:b/>
          <w:color w:val="000000" w:themeColor="text1"/>
          <w:sz w:val="20"/>
          <w:szCs w:val="20"/>
        </w:rPr>
      </w:pPr>
      <w:r w:rsidRPr="000E1BC3">
        <w:rPr>
          <w:rFonts w:ascii="Verdana" w:hAnsi="Verdana"/>
          <w:b/>
          <w:color w:val="000000" w:themeColor="text1"/>
          <w:sz w:val="20"/>
          <w:szCs w:val="20"/>
        </w:rPr>
        <w:t>LA CORTE INTERAMERICANA DE DERECHOS HUMANOS,</w:t>
      </w:r>
    </w:p>
    <w:p w14:paraId="40089D3F" w14:textId="77777777" w:rsidR="00C17C84" w:rsidRPr="000E1BC3" w:rsidRDefault="00C17C84" w:rsidP="000D1217">
      <w:pPr>
        <w:pStyle w:val="Prrafodelista"/>
        <w:spacing w:before="120" w:after="120" w:line="240" w:lineRule="auto"/>
        <w:ind w:left="0"/>
        <w:contextualSpacing w:val="0"/>
        <w:jc w:val="both"/>
        <w:rPr>
          <w:rFonts w:ascii="Verdana" w:hAnsi="Verdana"/>
          <w:color w:val="000000" w:themeColor="text1"/>
          <w:sz w:val="20"/>
          <w:szCs w:val="20"/>
        </w:rPr>
      </w:pPr>
      <w:r w:rsidRPr="000E1BC3">
        <w:rPr>
          <w:rFonts w:ascii="Verdana" w:hAnsi="Verdana"/>
          <w:color w:val="000000" w:themeColor="text1"/>
          <w:sz w:val="20"/>
          <w:szCs w:val="20"/>
        </w:rPr>
        <w:t xml:space="preserve">En el ejercicio de sus atribuciones de supervisión del cumplimiento de sus decisiones y de conformidad con los artículos 33, 62.1, 62.3, 65, 67 y 68.1 de la Convención </w:t>
      </w:r>
      <w:r w:rsidRPr="000E1BC3">
        <w:rPr>
          <w:rFonts w:ascii="Verdana" w:hAnsi="Verdana"/>
          <w:color w:val="000000" w:themeColor="text1"/>
          <w:sz w:val="20"/>
          <w:szCs w:val="20"/>
        </w:rPr>
        <w:lastRenderedPageBreak/>
        <w:t>Americana sobre Derechos Humanos, 24, 25 y 30 del Estatuto, y 31.2 y 69 de su Reglamento,</w:t>
      </w:r>
    </w:p>
    <w:p w14:paraId="2585639D" w14:textId="77777777" w:rsidR="00AB1FDE" w:rsidRPr="000E1BC3" w:rsidRDefault="00AB1FDE" w:rsidP="000D1217">
      <w:pPr>
        <w:pStyle w:val="Prrafodelista"/>
        <w:spacing w:before="120" w:after="120" w:line="240" w:lineRule="auto"/>
        <w:ind w:left="0"/>
        <w:contextualSpacing w:val="0"/>
        <w:jc w:val="both"/>
        <w:rPr>
          <w:rFonts w:ascii="Verdana" w:hAnsi="Verdana"/>
          <w:color w:val="000000" w:themeColor="text1"/>
          <w:sz w:val="20"/>
          <w:szCs w:val="20"/>
        </w:rPr>
      </w:pPr>
    </w:p>
    <w:p w14:paraId="094B3CD4" w14:textId="10CA4A88" w:rsidR="00C17C84" w:rsidRPr="000E1BC3" w:rsidRDefault="00C17C84" w:rsidP="000D1217">
      <w:pPr>
        <w:spacing w:before="120" w:after="120" w:line="240" w:lineRule="auto"/>
        <w:jc w:val="both"/>
        <w:rPr>
          <w:rFonts w:ascii="Verdana" w:hAnsi="Verdana"/>
          <w:b/>
          <w:sz w:val="20"/>
          <w:szCs w:val="20"/>
        </w:rPr>
      </w:pPr>
      <w:r w:rsidRPr="000E1BC3">
        <w:rPr>
          <w:rFonts w:ascii="Verdana" w:hAnsi="Verdana"/>
          <w:b/>
          <w:sz w:val="20"/>
          <w:szCs w:val="20"/>
        </w:rPr>
        <w:t>RESUELVE:</w:t>
      </w:r>
    </w:p>
    <w:p w14:paraId="00A67BEE" w14:textId="7D7A12A2" w:rsidR="00FD70CB" w:rsidRPr="000E1BC3" w:rsidRDefault="00FD70CB" w:rsidP="00A668DA">
      <w:pPr>
        <w:pStyle w:val="Prrafodelista"/>
        <w:numPr>
          <w:ilvl w:val="0"/>
          <w:numId w:val="9"/>
        </w:numPr>
        <w:spacing w:before="120" w:after="120" w:line="240" w:lineRule="auto"/>
        <w:ind w:left="0" w:firstLine="0"/>
        <w:contextualSpacing w:val="0"/>
        <w:jc w:val="both"/>
        <w:rPr>
          <w:rFonts w:ascii="Verdana" w:hAnsi="Verdana"/>
          <w:sz w:val="20"/>
          <w:szCs w:val="20"/>
        </w:rPr>
      </w:pPr>
      <w:r w:rsidRPr="000E1BC3">
        <w:rPr>
          <w:rFonts w:ascii="Verdana" w:hAnsi="Verdana"/>
          <w:sz w:val="20"/>
          <w:szCs w:val="20"/>
        </w:rPr>
        <w:t xml:space="preserve">Declarar, de conformidad con lo señalado en el Considerando </w:t>
      </w:r>
      <w:r w:rsidR="006E3AB5" w:rsidRPr="000E1BC3">
        <w:rPr>
          <w:rFonts w:ascii="Verdana" w:hAnsi="Verdana"/>
          <w:sz w:val="20"/>
          <w:szCs w:val="20"/>
        </w:rPr>
        <w:t>3</w:t>
      </w:r>
      <w:r w:rsidRPr="000E1BC3">
        <w:rPr>
          <w:rFonts w:ascii="Verdana" w:hAnsi="Verdana"/>
          <w:sz w:val="20"/>
          <w:szCs w:val="20"/>
        </w:rPr>
        <w:t>, que el Estado ha dado cumplimiento total a las medidas relativas a la publicación</w:t>
      </w:r>
      <w:r w:rsidR="00A668DA" w:rsidRPr="000E1BC3">
        <w:rPr>
          <w:rFonts w:ascii="Verdana" w:hAnsi="Verdana"/>
          <w:bCs/>
          <w:iCs/>
          <w:sz w:val="20"/>
          <w:szCs w:val="20"/>
        </w:rPr>
        <w:t xml:space="preserve"> de</w:t>
      </w:r>
      <w:r w:rsidR="00A668DA" w:rsidRPr="000E1BC3">
        <w:rPr>
          <w:rFonts w:ascii="Verdana" w:hAnsi="Verdana"/>
          <w:sz w:val="20"/>
          <w:szCs w:val="20"/>
        </w:rPr>
        <w:t xml:space="preserve"> la parte resolutiva de la Sentencia</w:t>
      </w:r>
      <w:r w:rsidRPr="000E1BC3">
        <w:rPr>
          <w:rFonts w:ascii="Verdana" w:hAnsi="Verdana"/>
          <w:sz w:val="20"/>
          <w:szCs w:val="20"/>
        </w:rPr>
        <w:t xml:space="preserve">, ordenadas en el </w:t>
      </w:r>
      <w:r w:rsidRPr="000E1BC3">
        <w:rPr>
          <w:rFonts w:ascii="Verdana" w:hAnsi="Verdana" w:cs="Verdana"/>
          <w:sz w:val="20"/>
          <w:szCs w:val="20"/>
        </w:rPr>
        <w:t xml:space="preserve">punto dispositivo cuarto y en los párrafos </w:t>
      </w:r>
      <w:r w:rsidRPr="000E1BC3">
        <w:rPr>
          <w:rFonts w:ascii="Verdana" w:hAnsi="Verdana"/>
          <w:sz w:val="20"/>
          <w:szCs w:val="20"/>
        </w:rPr>
        <w:t>201 a 203</w:t>
      </w:r>
      <w:r w:rsidRPr="000E1BC3">
        <w:rPr>
          <w:rFonts w:ascii="Verdana" w:hAnsi="Verdana" w:cs="Verdana"/>
          <w:sz w:val="20"/>
          <w:szCs w:val="20"/>
        </w:rPr>
        <w:t xml:space="preserve"> de la misma</w:t>
      </w:r>
      <w:r w:rsidRPr="000E1BC3">
        <w:rPr>
          <w:rFonts w:ascii="Verdana" w:hAnsi="Verdana"/>
          <w:sz w:val="20"/>
          <w:szCs w:val="20"/>
        </w:rPr>
        <w:t>.</w:t>
      </w:r>
    </w:p>
    <w:p w14:paraId="2B2755A2" w14:textId="350C49A2" w:rsidR="000D1217" w:rsidRPr="000E1BC3" w:rsidRDefault="00FD70CB" w:rsidP="000D1217">
      <w:pPr>
        <w:pStyle w:val="Prrafodelista"/>
        <w:numPr>
          <w:ilvl w:val="0"/>
          <w:numId w:val="9"/>
        </w:numPr>
        <w:spacing w:before="120" w:after="120" w:line="240" w:lineRule="auto"/>
        <w:ind w:left="0" w:firstLine="0"/>
        <w:contextualSpacing w:val="0"/>
        <w:jc w:val="both"/>
        <w:rPr>
          <w:rFonts w:ascii="Verdana" w:hAnsi="Verdana"/>
          <w:bCs/>
          <w:iCs/>
          <w:sz w:val="20"/>
          <w:szCs w:val="20"/>
        </w:rPr>
      </w:pPr>
      <w:r w:rsidRPr="000E1BC3">
        <w:rPr>
          <w:rFonts w:ascii="Verdana" w:hAnsi="Verdana"/>
          <w:sz w:val="20"/>
          <w:szCs w:val="20"/>
        </w:rPr>
        <w:t>Mantener abierto el procedimiento de supervisión de cumplimiento de las siguientes medidas que, conforme a lo indicado en el Considerando 1 de esta Resolución, serán valoradas en una posterior Resolución:</w:t>
      </w:r>
    </w:p>
    <w:p w14:paraId="1A62785E" w14:textId="607AA2CC" w:rsidR="00C17C84" w:rsidRPr="000E1BC3" w:rsidRDefault="00615789" w:rsidP="000D1217">
      <w:pPr>
        <w:pStyle w:val="Prrafodelista"/>
        <w:numPr>
          <w:ilvl w:val="0"/>
          <w:numId w:val="11"/>
        </w:numPr>
        <w:spacing w:before="120" w:after="120" w:line="240" w:lineRule="auto"/>
        <w:contextualSpacing w:val="0"/>
        <w:jc w:val="both"/>
        <w:rPr>
          <w:rFonts w:ascii="Verdana" w:hAnsi="Verdana"/>
          <w:sz w:val="20"/>
          <w:szCs w:val="20"/>
        </w:rPr>
      </w:pPr>
      <w:r w:rsidRPr="000E1BC3">
        <w:rPr>
          <w:rFonts w:ascii="Verdana" w:hAnsi="Verdana"/>
          <w:sz w:val="20"/>
          <w:szCs w:val="20"/>
        </w:rPr>
        <w:t>continuar y concluir las investigaciones y procesos necesarios, en un plazo razonable, con el fin de establecer la verdad de los hechos, así como de determinar y, en su caso, sancionar a los responsables de la desaparición forzada de Edgar Fernando García (</w:t>
      </w:r>
      <w:r w:rsidRPr="000E1BC3">
        <w:rPr>
          <w:rFonts w:ascii="Verdana" w:hAnsi="Verdana"/>
          <w:i/>
          <w:iCs/>
          <w:sz w:val="20"/>
          <w:szCs w:val="20"/>
        </w:rPr>
        <w:t>punto dispositivo segundo de la Sentencia</w:t>
      </w:r>
      <w:r w:rsidRPr="000E1BC3">
        <w:rPr>
          <w:rFonts w:ascii="Verdana" w:hAnsi="Verdana"/>
          <w:sz w:val="20"/>
          <w:szCs w:val="20"/>
        </w:rPr>
        <w:t>);</w:t>
      </w:r>
    </w:p>
    <w:p w14:paraId="606567BB" w14:textId="162804CD" w:rsidR="000D1217" w:rsidRPr="000E1BC3" w:rsidRDefault="00615789" w:rsidP="000D1217">
      <w:pPr>
        <w:pStyle w:val="Prrafodelista"/>
        <w:numPr>
          <w:ilvl w:val="0"/>
          <w:numId w:val="11"/>
        </w:numPr>
        <w:spacing w:before="120" w:after="120" w:line="240" w:lineRule="auto"/>
        <w:contextualSpacing w:val="0"/>
        <w:jc w:val="both"/>
        <w:rPr>
          <w:rFonts w:ascii="Verdana" w:hAnsi="Verdana"/>
          <w:sz w:val="20"/>
          <w:szCs w:val="20"/>
        </w:rPr>
      </w:pPr>
      <w:r w:rsidRPr="000E1BC3">
        <w:rPr>
          <w:rFonts w:ascii="Verdana" w:hAnsi="Verdana"/>
          <w:sz w:val="20"/>
          <w:szCs w:val="20"/>
        </w:rPr>
        <w:t>efectuar, a la mayor brevedad, una búsqueda seria, en la cual realice todos los esfuerzos para determinar el paradero de Edgar Fernando García (</w:t>
      </w:r>
      <w:r w:rsidRPr="000E1BC3">
        <w:rPr>
          <w:rFonts w:ascii="Verdana" w:hAnsi="Verdana"/>
          <w:i/>
          <w:iCs/>
          <w:sz w:val="20"/>
          <w:szCs w:val="20"/>
        </w:rPr>
        <w:t>punto dispositivo tercero de la Sentencia</w:t>
      </w:r>
      <w:r w:rsidRPr="000E1BC3">
        <w:rPr>
          <w:rFonts w:ascii="Verdana" w:hAnsi="Verdana"/>
          <w:sz w:val="20"/>
          <w:szCs w:val="20"/>
        </w:rPr>
        <w:t>);</w:t>
      </w:r>
    </w:p>
    <w:p w14:paraId="4C3750AF" w14:textId="77777777" w:rsidR="000D1217" w:rsidRPr="000E1BC3" w:rsidRDefault="00615789" w:rsidP="000D1217">
      <w:pPr>
        <w:pStyle w:val="Prrafodelista"/>
        <w:numPr>
          <w:ilvl w:val="0"/>
          <w:numId w:val="11"/>
        </w:numPr>
        <w:spacing w:before="120" w:after="120" w:line="240" w:lineRule="auto"/>
        <w:contextualSpacing w:val="0"/>
        <w:jc w:val="both"/>
        <w:rPr>
          <w:rFonts w:ascii="Verdana" w:hAnsi="Verdana"/>
          <w:sz w:val="20"/>
          <w:szCs w:val="20"/>
        </w:rPr>
      </w:pPr>
      <w:r w:rsidRPr="000E1BC3">
        <w:rPr>
          <w:rFonts w:ascii="Verdana" w:hAnsi="Verdana"/>
          <w:sz w:val="20"/>
          <w:szCs w:val="20"/>
        </w:rPr>
        <w:t>realizar un acto público de reconocimiento de responsabilidad internacional por los hechos del presente caso (</w:t>
      </w:r>
      <w:r w:rsidRPr="000E1BC3">
        <w:rPr>
          <w:rFonts w:ascii="Verdana" w:hAnsi="Verdana"/>
          <w:i/>
          <w:iCs/>
          <w:sz w:val="20"/>
          <w:szCs w:val="20"/>
        </w:rPr>
        <w:t>punto dispositivo quinto de la Sentencia</w:t>
      </w:r>
      <w:r w:rsidRPr="000E1BC3">
        <w:rPr>
          <w:rFonts w:ascii="Verdana" w:hAnsi="Verdana"/>
          <w:sz w:val="20"/>
          <w:szCs w:val="20"/>
        </w:rPr>
        <w:t>);</w:t>
      </w:r>
    </w:p>
    <w:p w14:paraId="5BE8FE0D" w14:textId="77777777" w:rsidR="000D1217" w:rsidRPr="000E1BC3" w:rsidRDefault="00615789" w:rsidP="000D1217">
      <w:pPr>
        <w:pStyle w:val="Prrafodelista"/>
        <w:numPr>
          <w:ilvl w:val="0"/>
          <w:numId w:val="11"/>
        </w:numPr>
        <w:spacing w:before="120" w:after="120" w:line="240" w:lineRule="auto"/>
        <w:contextualSpacing w:val="0"/>
        <w:jc w:val="both"/>
        <w:rPr>
          <w:rFonts w:ascii="Verdana" w:hAnsi="Verdana"/>
          <w:sz w:val="20"/>
          <w:szCs w:val="20"/>
        </w:rPr>
      </w:pPr>
      <w:r w:rsidRPr="000E1BC3">
        <w:rPr>
          <w:rFonts w:ascii="Verdana" w:hAnsi="Verdana"/>
          <w:sz w:val="20"/>
          <w:szCs w:val="20"/>
        </w:rPr>
        <w:t xml:space="preserve">impulsar la iniciativa denominada “Memorial para la Concordia”, a </w:t>
      </w:r>
      <w:r w:rsidR="000D1217" w:rsidRPr="000E1BC3">
        <w:rPr>
          <w:rFonts w:ascii="Verdana" w:hAnsi="Verdana"/>
          <w:sz w:val="20"/>
          <w:szCs w:val="20"/>
        </w:rPr>
        <w:t>través</w:t>
      </w:r>
      <w:r w:rsidRPr="000E1BC3">
        <w:rPr>
          <w:rFonts w:ascii="Verdana" w:hAnsi="Verdana"/>
          <w:sz w:val="20"/>
          <w:szCs w:val="20"/>
        </w:rPr>
        <w:t xml:space="preserve"> de la cual debe promover la construcción de espacios memorístico-culturales en los cuales se dignifique la memoria de las víctimas de violaciones de derechos humanos del conflicto armado interno (</w:t>
      </w:r>
      <w:r w:rsidRPr="000E1BC3">
        <w:rPr>
          <w:rFonts w:ascii="Verdana" w:hAnsi="Verdana"/>
          <w:i/>
          <w:iCs/>
          <w:sz w:val="20"/>
          <w:szCs w:val="20"/>
        </w:rPr>
        <w:t>punto dispositivo sexto de la Sentencia</w:t>
      </w:r>
      <w:r w:rsidRPr="000E1BC3">
        <w:rPr>
          <w:rFonts w:ascii="Verdana" w:hAnsi="Verdana"/>
          <w:sz w:val="20"/>
          <w:szCs w:val="20"/>
        </w:rPr>
        <w:t>);</w:t>
      </w:r>
    </w:p>
    <w:p w14:paraId="6656F7AE" w14:textId="77777777" w:rsidR="000D1217" w:rsidRPr="000E1BC3" w:rsidRDefault="005139E4" w:rsidP="000D1217">
      <w:pPr>
        <w:pStyle w:val="Prrafodelista"/>
        <w:numPr>
          <w:ilvl w:val="0"/>
          <w:numId w:val="11"/>
        </w:numPr>
        <w:spacing w:before="120" w:after="120" w:line="240" w:lineRule="auto"/>
        <w:contextualSpacing w:val="0"/>
        <w:jc w:val="both"/>
        <w:rPr>
          <w:rFonts w:ascii="Verdana" w:hAnsi="Verdana"/>
          <w:sz w:val="20"/>
          <w:szCs w:val="20"/>
        </w:rPr>
      </w:pPr>
      <w:r w:rsidRPr="000E1BC3">
        <w:rPr>
          <w:rFonts w:ascii="Verdana" w:hAnsi="Verdana"/>
          <w:sz w:val="20"/>
          <w:szCs w:val="20"/>
        </w:rPr>
        <w:t xml:space="preserve">incluir el nombre del señor Edgar Fernando García en la placa que se coloque en el parque o plaza que se construya en </w:t>
      </w:r>
      <w:r w:rsidR="000D1217" w:rsidRPr="000E1BC3">
        <w:rPr>
          <w:rFonts w:ascii="Verdana" w:hAnsi="Verdana"/>
          <w:sz w:val="20"/>
          <w:szCs w:val="20"/>
        </w:rPr>
        <w:t>cumplimiento</w:t>
      </w:r>
      <w:r w:rsidRPr="000E1BC3">
        <w:rPr>
          <w:rFonts w:ascii="Verdana" w:hAnsi="Verdana"/>
          <w:sz w:val="20"/>
          <w:szCs w:val="20"/>
        </w:rPr>
        <w:t xml:space="preserve"> de lo ordenado en punto resolutivo séptimo de </w:t>
      </w:r>
      <w:r w:rsidR="000D1217" w:rsidRPr="000E1BC3">
        <w:rPr>
          <w:rFonts w:ascii="Verdana" w:hAnsi="Verdana"/>
          <w:sz w:val="20"/>
          <w:szCs w:val="20"/>
        </w:rPr>
        <w:t>l</w:t>
      </w:r>
      <w:r w:rsidRPr="000E1BC3">
        <w:rPr>
          <w:rFonts w:ascii="Verdana" w:hAnsi="Verdana"/>
          <w:sz w:val="20"/>
          <w:szCs w:val="20"/>
        </w:rPr>
        <w:t xml:space="preserve">a Sentencia del caso </w:t>
      </w:r>
      <w:r w:rsidRPr="000E1BC3">
        <w:rPr>
          <w:rFonts w:ascii="Verdana" w:hAnsi="Verdana"/>
          <w:i/>
          <w:iCs/>
          <w:sz w:val="20"/>
          <w:szCs w:val="20"/>
        </w:rPr>
        <w:t>Gudiel Álvarez y otros (“Diario Militar”) vs Guatemala</w:t>
      </w:r>
      <w:r w:rsidRPr="000E1BC3">
        <w:rPr>
          <w:rFonts w:ascii="Verdana" w:hAnsi="Verdana"/>
          <w:sz w:val="20"/>
          <w:szCs w:val="20"/>
        </w:rPr>
        <w:t xml:space="preserve"> (</w:t>
      </w:r>
      <w:r w:rsidRPr="000E1BC3">
        <w:rPr>
          <w:rFonts w:ascii="Verdana" w:hAnsi="Verdana"/>
          <w:i/>
          <w:iCs/>
          <w:sz w:val="20"/>
          <w:szCs w:val="20"/>
        </w:rPr>
        <w:t xml:space="preserve">punto </w:t>
      </w:r>
      <w:r w:rsidR="000D1217" w:rsidRPr="000E1BC3">
        <w:rPr>
          <w:rFonts w:ascii="Verdana" w:hAnsi="Verdana"/>
          <w:i/>
          <w:iCs/>
          <w:sz w:val="20"/>
          <w:szCs w:val="20"/>
        </w:rPr>
        <w:t>dispositivo</w:t>
      </w:r>
      <w:r w:rsidRPr="000E1BC3">
        <w:rPr>
          <w:rFonts w:ascii="Verdana" w:hAnsi="Verdana"/>
          <w:i/>
          <w:iCs/>
          <w:sz w:val="20"/>
          <w:szCs w:val="20"/>
        </w:rPr>
        <w:t xml:space="preserve"> séptimo de la Sentencia</w:t>
      </w:r>
      <w:r w:rsidRPr="000E1BC3">
        <w:rPr>
          <w:rFonts w:ascii="Verdana" w:hAnsi="Verdana"/>
          <w:sz w:val="20"/>
          <w:szCs w:val="20"/>
        </w:rPr>
        <w:t>);</w:t>
      </w:r>
    </w:p>
    <w:p w14:paraId="51216AAD" w14:textId="35FA21D7" w:rsidR="000D1217" w:rsidRPr="000E1BC3" w:rsidRDefault="005139E4" w:rsidP="000D1217">
      <w:pPr>
        <w:pStyle w:val="Prrafodelista"/>
        <w:numPr>
          <w:ilvl w:val="0"/>
          <w:numId w:val="11"/>
        </w:numPr>
        <w:spacing w:before="120" w:after="120" w:line="240" w:lineRule="auto"/>
        <w:contextualSpacing w:val="0"/>
        <w:jc w:val="both"/>
        <w:rPr>
          <w:rFonts w:ascii="Verdana" w:hAnsi="Verdana"/>
          <w:sz w:val="20"/>
          <w:szCs w:val="20"/>
        </w:rPr>
      </w:pPr>
      <w:r w:rsidRPr="000E1BC3">
        <w:rPr>
          <w:rFonts w:ascii="Verdana" w:hAnsi="Verdana"/>
          <w:sz w:val="20"/>
          <w:szCs w:val="20"/>
        </w:rPr>
        <w:t>entregar diez “bolsas de estudio” para ser designados por los familiares de Edgar Fernando García a hijas o hijos, nietas o nietos de personas desaparecidas forzadamente (</w:t>
      </w:r>
      <w:r w:rsidRPr="000E1BC3">
        <w:rPr>
          <w:rFonts w:ascii="Verdana" w:hAnsi="Verdana"/>
          <w:i/>
          <w:iCs/>
          <w:sz w:val="20"/>
          <w:szCs w:val="20"/>
        </w:rPr>
        <w:t>punto dispositivo noveno de la Sentencia</w:t>
      </w:r>
      <w:r w:rsidRPr="000E1BC3">
        <w:rPr>
          <w:rFonts w:ascii="Verdana" w:hAnsi="Verdana"/>
          <w:sz w:val="20"/>
          <w:szCs w:val="20"/>
        </w:rPr>
        <w:t>), y</w:t>
      </w:r>
    </w:p>
    <w:p w14:paraId="3C1C62BF" w14:textId="2A0FF9EB" w:rsidR="000D1217" w:rsidRPr="000E1BC3" w:rsidRDefault="005139E4" w:rsidP="000D1217">
      <w:pPr>
        <w:pStyle w:val="Prrafodelista"/>
        <w:numPr>
          <w:ilvl w:val="0"/>
          <w:numId w:val="11"/>
        </w:numPr>
        <w:spacing w:before="120" w:after="120" w:line="240" w:lineRule="auto"/>
        <w:contextualSpacing w:val="0"/>
        <w:jc w:val="both"/>
        <w:rPr>
          <w:rFonts w:ascii="Verdana" w:hAnsi="Verdana"/>
          <w:sz w:val="20"/>
          <w:szCs w:val="20"/>
        </w:rPr>
      </w:pPr>
      <w:r w:rsidRPr="000E1BC3">
        <w:rPr>
          <w:rFonts w:ascii="Verdana" w:hAnsi="Verdana"/>
          <w:sz w:val="20"/>
          <w:szCs w:val="20"/>
        </w:rPr>
        <w:t>impulsar la aprobación del proyecto de ley para la creación de la Comisión Nacional de Búsqueda de Personas Víctimas de Desaparición Forzada y otras Formas de Desaparición (</w:t>
      </w:r>
      <w:r w:rsidRPr="000E1BC3">
        <w:rPr>
          <w:rFonts w:ascii="Verdana" w:hAnsi="Verdana"/>
          <w:i/>
          <w:iCs/>
          <w:sz w:val="20"/>
          <w:szCs w:val="20"/>
        </w:rPr>
        <w:t>punto dispositivo décimo de la Sentencia</w:t>
      </w:r>
      <w:r w:rsidRPr="000E1BC3">
        <w:rPr>
          <w:rFonts w:ascii="Verdana" w:hAnsi="Verdana"/>
          <w:sz w:val="20"/>
          <w:szCs w:val="20"/>
        </w:rPr>
        <w:t>).</w:t>
      </w:r>
    </w:p>
    <w:p w14:paraId="1FE9D7F7" w14:textId="77777777" w:rsidR="000D1217" w:rsidRPr="000E1BC3" w:rsidRDefault="000D1217" w:rsidP="000D1217">
      <w:pPr>
        <w:pStyle w:val="Prrafodelista"/>
        <w:numPr>
          <w:ilvl w:val="0"/>
          <w:numId w:val="9"/>
        </w:numPr>
        <w:spacing w:before="120" w:after="120" w:line="240" w:lineRule="auto"/>
        <w:ind w:left="0" w:firstLine="0"/>
        <w:contextualSpacing w:val="0"/>
        <w:jc w:val="both"/>
        <w:rPr>
          <w:rFonts w:ascii="Verdana" w:hAnsi="Verdana"/>
          <w:sz w:val="20"/>
          <w:szCs w:val="20"/>
        </w:rPr>
      </w:pPr>
      <w:r w:rsidRPr="000E1BC3">
        <w:rPr>
          <w:rFonts w:ascii="Verdana" w:hAnsi="Verdana"/>
          <w:sz w:val="20"/>
          <w:szCs w:val="20"/>
        </w:rPr>
        <w:t>Disponer que el Estado de Guatemala adopte, en definitiva y a la mayor brevedad, las medidas que sean necesarias para dar efectivo y pronto cumplimiento a las reparaciones indicadas en el punto resolutivo segundo, de acuerdo con lo estipulado en el artículo 68.1 de la Convención Americana sobre Derechos Humanos.</w:t>
      </w:r>
    </w:p>
    <w:p w14:paraId="17C3FD28" w14:textId="5AEA6DE9" w:rsidR="000D1217" w:rsidRPr="000E1BC3" w:rsidRDefault="000D1217" w:rsidP="000D1217">
      <w:pPr>
        <w:pStyle w:val="Prrafodelista"/>
        <w:numPr>
          <w:ilvl w:val="0"/>
          <w:numId w:val="9"/>
        </w:numPr>
        <w:spacing w:before="120" w:after="120" w:line="240" w:lineRule="auto"/>
        <w:ind w:left="0" w:firstLine="0"/>
        <w:contextualSpacing w:val="0"/>
        <w:jc w:val="both"/>
        <w:rPr>
          <w:rFonts w:ascii="Verdana" w:hAnsi="Verdana"/>
          <w:sz w:val="20"/>
          <w:szCs w:val="20"/>
        </w:rPr>
      </w:pPr>
      <w:r w:rsidRPr="000E1BC3">
        <w:rPr>
          <w:rFonts w:ascii="Verdana" w:hAnsi="Verdana"/>
          <w:sz w:val="20"/>
          <w:szCs w:val="20"/>
        </w:rPr>
        <w:t xml:space="preserve">Disponer que el Estado presente a la Corte Interamericana de Derechos Humanos, a más tardar el </w:t>
      </w:r>
      <w:r w:rsidR="00CE0B06">
        <w:rPr>
          <w:rFonts w:ascii="Verdana" w:hAnsi="Verdana"/>
          <w:sz w:val="20"/>
          <w:szCs w:val="20"/>
        </w:rPr>
        <w:t>17</w:t>
      </w:r>
      <w:r w:rsidRPr="000E1BC3">
        <w:rPr>
          <w:rFonts w:ascii="Verdana" w:hAnsi="Verdana"/>
          <w:sz w:val="20"/>
          <w:szCs w:val="20"/>
        </w:rPr>
        <w:t xml:space="preserve"> de junio de 2024, un informe sobre el cumplimiento de las medidas de reparación indicadas en el punto resolutivo segundo de la presente Resolución.</w:t>
      </w:r>
    </w:p>
    <w:p w14:paraId="47378D53" w14:textId="77777777" w:rsidR="000D1217" w:rsidRPr="000E1BC3" w:rsidRDefault="000D1217" w:rsidP="000D1217">
      <w:pPr>
        <w:pStyle w:val="Prrafodelista"/>
        <w:numPr>
          <w:ilvl w:val="0"/>
          <w:numId w:val="9"/>
        </w:numPr>
        <w:spacing w:before="120" w:after="120" w:line="240" w:lineRule="auto"/>
        <w:ind w:left="0" w:firstLine="0"/>
        <w:contextualSpacing w:val="0"/>
        <w:jc w:val="both"/>
        <w:rPr>
          <w:rFonts w:ascii="Verdana" w:hAnsi="Verdana"/>
          <w:sz w:val="20"/>
          <w:szCs w:val="20"/>
        </w:rPr>
      </w:pPr>
      <w:r w:rsidRPr="000E1BC3">
        <w:rPr>
          <w:rFonts w:ascii="Verdana" w:hAnsi="Verdana"/>
          <w:sz w:val="20"/>
          <w:szCs w:val="20"/>
        </w:rPr>
        <w:t>Disponer que los representantes de las víctimas y la Comisión Interamericana de Derechos Humanos presenten observaciones al informe del Estado mencionado en el punto resolutivo anterior, en los plazos de cuatro y seis semanas, respectivamente, contados a partir de la recepción del informe.</w:t>
      </w:r>
    </w:p>
    <w:p w14:paraId="27D319FC" w14:textId="3899FF22" w:rsidR="00C15E8F" w:rsidRDefault="000D1217" w:rsidP="000D1217">
      <w:pPr>
        <w:pStyle w:val="Prrafodelista"/>
        <w:numPr>
          <w:ilvl w:val="0"/>
          <w:numId w:val="9"/>
        </w:numPr>
        <w:spacing w:before="120" w:after="120" w:line="240" w:lineRule="auto"/>
        <w:ind w:left="0" w:firstLine="0"/>
        <w:contextualSpacing w:val="0"/>
        <w:jc w:val="both"/>
        <w:rPr>
          <w:rFonts w:ascii="Verdana" w:hAnsi="Verdana"/>
          <w:sz w:val="20"/>
          <w:szCs w:val="20"/>
        </w:rPr>
      </w:pPr>
      <w:r w:rsidRPr="000E1BC3">
        <w:rPr>
          <w:rFonts w:ascii="Verdana" w:hAnsi="Verdana"/>
          <w:sz w:val="20"/>
          <w:szCs w:val="20"/>
        </w:rPr>
        <w:lastRenderedPageBreak/>
        <w:t>Disponer que la Secretaría de la Corte notifique la presente Resolución al Estado de Guatemala, a los representantes de las víctimas y a la Comisión Interamericana de Derechos Humanos.</w:t>
      </w:r>
    </w:p>
    <w:p w14:paraId="0DF69B9F" w14:textId="231158AD" w:rsidR="00B3008B" w:rsidRDefault="00B3008B">
      <w:pPr>
        <w:rPr>
          <w:rFonts w:ascii="Verdana" w:hAnsi="Verdana"/>
          <w:sz w:val="20"/>
          <w:szCs w:val="20"/>
        </w:rPr>
      </w:pPr>
    </w:p>
    <w:p w14:paraId="7E5A2C58" w14:textId="66CA9C8A" w:rsidR="00B3008B" w:rsidRPr="00E262EB" w:rsidRDefault="00B3008B" w:rsidP="00B3008B">
      <w:pPr>
        <w:jc w:val="both"/>
        <w:rPr>
          <w:rFonts w:ascii="Verdana" w:hAnsi="Verdana"/>
          <w:sz w:val="20"/>
          <w:lang w:val="es-ES"/>
        </w:rPr>
      </w:pPr>
      <w:r w:rsidRPr="00E262EB">
        <w:rPr>
          <w:rFonts w:ascii="Verdana" w:hAnsi="Verdana"/>
          <w:sz w:val="20"/>
          <w:lang w:val="es-ES"/>
        </w:rPr>
        <w:t xml:space="preserve">Corte IDH. </w:t>
      </w:r>
      <w:r w:rsidRPr="00E262EB">
        <w:rPr>
          <w:rFonts w:ascii="Verdana" w:hAnsi="Verdana"/>
          <w:i/>
          <w:sz w:val="20"/>
          <w:lang w:val="es-ES"/>
        </w:rPr>
        <w:t>Caso</w:t>
      </w:r>
      <w:r>
        <w:rPr>
          <w:rFonts w:ascii="Verdana" w:hAnsi="Verdana"/>
          <w:i/>
          <w:sz w:val="20"/>
          <w:lang w:val="es-ES"/>
        </w:rPr>
        <w:t xml:space="preserve"> García y familiares </w:t>
      </w:r>
      <w:r w:rsidRPr="00E262EB">
        <w:rPr>
          <w:rFonts w:ascii="Verdana" w:hAnsi="Verdana"/>
          <w:i/>
          <w:iCs/>
          <w:sz w:val="20"/>
        </w:rPr>
        <w:t>Vs.</w:t>
      </w:r>
      <w:r>
        <w:rPr>
          <w:rFonts w:ascii="Verdana" w:hAnsi="Verdana"/>
          <w:i/>
          <w:iCs/>
          <w:sz w:val="20"/>
        </w:rPr>
        <w:t xml:space="preserve"> Guatemala</w:t>
      </w:r>
      <w:r w:rsidRPr="00E262EB">
        <w:rPr>
          <w:rFonts w:ascii="Verdana" w:hAnsi="Verdana"/>
          <w:i/>
          <w:iCs/>
          <w:sz w:val="20"/>
        </w:rPr>
        <w:t>.</w:t>
      </w:r>
      <w:r w:rsidRPr="00E262EB">
        <w:rPr>
          <w:rFonts w:ascii="Verdana" w:hAnsi="Verdana"/>
          <w:iCs/>
          <w:sz w:val="20"/>
        </w:rPr>
        <w:t xml:space="preserve"> </w:t>
      </w:r>
      <w:r w:rsidRPr="00E262EB">
        <w:rPr>
          <w:rFonts w:ascii="Verdana" w:hAnsi="Verdana" w:cs="Arial"/>
          <w:sz w:val="20"/>
        </w:rPr>
        <w:t>Supervisión de Cumplimiento de Sentencia</w:t>
      </w:r>
      <w:r w:rsidRPr="00E262EB">
        <w:rPr>
          <w:rFonts w:ascii="Verdana" w:hAnsi="Verdana"/>
          <w:iCs/>
          <w:sz w:val="20"/>
        </w:rPr>
        <w:t>. Resolución de la Corte Interamericana de Derechos Humanos de</w:t>
      </w:r>
      <w:r>
        <w:rPr>
          <w:rFonts w:ascii="Verdana" w:hAnsi="Verdana"/>
          <w:iCs/>
          <w:sz w:val="20"/>
        </w:rPr>
        <w:t xml:space="preserve"> 1 </w:t>
      </w:r>
      <w:r w:rsidRPr="00E262EB">
        <w:rPr>
          <w:rFonts w:ascii="Verdana" w:hAnsi="Verdana"/>
          <w:iCs/>
          <w:sz w:val="20"/>
        </w:rPr>
        <w:t>de</w:t>
      </w:r>
      <w:r>
        <w:rPr>
          <w:rFonts w:ascii="Verdana" w:hAnsi="Verdana"/>
          <w:iCs/>
          <w:sz w:val="20"/>
        </w:rPr>
        <w:t xml:space="preserve"> febrero </w:t>
      </w:r>
      <w:r w:rsidRPr="00E262EB">
        <w:rPr>
          <w:rFonts w:ascii="Verdana" w:hAnsi="Verdana"/>
          <w:iCs/>
          <w:sz w:val="20"/>
        </w:rPr>
        <w:t>de 202</w:t>
      </w:r>
      <w:r>
        <w:rPr>
          <w:rFonts w:ascii="Verdana" w:hAnsi="Verdana"/>
          <w:iCs/>
          <w:sz w:val="20"/>
        </w:rPr>
        <w:t>4</w:t>
      </w:r>
      <w:r w:rsidRPr="00E262EB">
        <w:rPr>
          <w:rFonts w:ascii="Verdana" w:hAnsi="Verdana"/>
          <w:iCs/>
          <w:sz w:val="20"/>
        </w:rPr>
        <w:t xml:space="preserve">.  </w:t>
      </w:r>
      <w:r w:rsidRPr="00B66E8A">
        <w:rPr>
          <w:rFonts w:ascii="Verdana" w:hAnsi="Verdana"/>
          <w:iCs/>
          <w:sz w:val="20"/>
        </w:rPr>
        <w:t xml:space="preserve">Resolución adoptada en </w:t>
      </w:r>
      <w:r>
        <w:rPr>
          <w:rFonts w:ascii="Verdana" w:hAnsi="Verdana"/>
          <w:iCs/>
          <w:sz w:val="20"/>
        </w:rPr>
        <w:t>San José, Costa Rica</w:t>
      </w:r>
      <w:r w:rsidRPr="00B66E8A">
        <w:rPr>
          <w:rFonts w:ascii="Verdana" w:hAnsi="Verdana"/>
          <w:iCs/>
          <w:sz w:val="20"/>
        </w:rPr>
        <w:t>.</w:t>
      </w:r>
    </w:p>
    <w:p w14:paraId="6464256D" w14:textId="77777777" w:rsidR="00B3008B" w:rsidRPr="00E262EB" w:rsidRDefault="00B3008B" w:rsidP="00B3008B">
      <w:pPr>
        <w:jc w:val="both"/>
        <w:rPr>
          <w:rFonts w:ascii="Verdana" w:hAnsi="Verdana"/>
          <w:strike/>
          <w:sz w:val="20"/>
          <w:lang w:val="es-ES"/>
        </w:rPr>
      </w:pPr>
    </w:p>
    <w:p w14:paraId="70FCB15E" w14:textId="05E43D0B" w:rsidR="00B3008B" w:rsidRPr="00E262EB" w:rsidRDefault="00B3008B" w:rsidP="00B3008B">
      <w:pPr>
        <w:jc w:val="center"/>
        <w:rPr>
          <w:rFonts w:ascii="Verdana" w:hAnsi="Verdana"/>
          <w:sz w:val="20"/>
        </w:rPr>
      </w:pPr>
    </w:p>
    <w:p w14:paraId="292D5D22" w14:textId="77777777" w:rsidR="00B3008B" w:rsidRPr="00130251" w:rsidRDefault="00B3008B" w:rsidP="00B3008B">
      <w:pPr>
        <w:spacing w:after="0" w:line="240" w:lineRule="auto"/>
        <w:jc w:val="center"/>
        <w:rPr>
          <w:rFonts w:ascii="Verdana" w:hAnsi="Verdana"/>
          <w:sz w:val="20"/>
        </w:rPr>
      </w:pPr>
      <w:r>
        <w:rPr>
          <w:rFonts w:ascii="Verdana" w:hAnsi="Verdana"/>
          <w:sz w:val="20"/>
        </w:rPr>
        <w:t>Nancy</w:t>
      </w:r>
      <w:r w:rsidRPr="00130251">
        <w:rPr>
          <w:rFonts w:ascii="Verdana" w:hAnsi="Verdana"/>
          <w:sz w:val="20"/>
        </w:rPr>
        <w:t xml:space="preserve"> </w:t>
      </w:r>
      <w:r>
        <w:rPr>
          <w:rFonts w:ascii="Verdana" w:hAnsi="Verdana"/>
          <w:sz w:val="20"/>
        </w:rPr>
        <w:t>Hernández López</w:t>
      </w:r>
    </w:p>
    <w:p w14:paraId="4C5AB01A" w14:textId="0DB15305" w:rsidR="00B3008B" w:rsidRPr="00130251" w:rsidRDefault="00B3008B" w:rsidP="00B3008B">
      <w:pPr>
        <w:spacing w:after="0" w:line="240" w:lineRule="auto"/>
        <w:jc w:val="center"/>
        <w:rPr>
          <w:rFonts w:ascii="Verdana" w:hAnsi="Verdana"/>
          <w:sz w:val="20"/>
        </w:rPr>
      </w:pPr>
      <w:r w:rsidRPr="00130251">
        <w:rPr>
          <w:rFonts w:ascii="Verdana" w:hAnsi="Verdana"/>
          <w:sz w:val="20"/>
        </w:rPr>
        <w:t>President</w:t>
      </w:r>
      <w:r>
        <w:rPr>
          <w:rFonts w:ascii="Verdana" w:hAnsi="Verdana"/>
          <w:sz w:val="20"/>
        </w:rPr>
        <w:t>a</w:t>
      </w:r>
    </w:p>
    <w:p w14:paraId="4E22AB9D" w14:textId="77777777" w:rsidR="00B3008B" w:rsidRPr="00130251" w:rsidRDefault="00B3008B" w:rsidP="00B3008B">
      <w:pPr>
        <w:jc w:val="both"/>
        <w:rPr>
          <w:rFonts w:ascii="Verdana" w:hAnsi="Verdana"/>
          <w:sz w:val="20"/>
        </w:rPr>
      </w:pPr>
    </w:p>
    <w:p w14:paraId="231E7B88" w14:textId="77777777" w:rsidR="00B3008B" w:rsidRPr="00130251" w:rsidRDefault="00B3008B" w:rsidP="00B3008B">
      <w:pPr>
        <w:jc w:val="center"/>
        <w:rPr>
          <w:rFonts w:ascii="Verdana" w:hAnsi="Verdana"/>
          <w:sz w:val="20"/>
        </w:rPr>
      </w:pPr>
    </w:p>
    <w:p w14:paraId="6375CD8C" w14:textId="6356A2D3" w:rsidR="00B3008B" w:rsidRPr="00130251" w:rsidRDefault="00B3008B" w:rsidP="00B3008B">
      <w:pPr>
        <w:rPr>
          <w:rFonts w:ascii="Verdana" w:hAnsi="Verdana"/>
          <w:sz w:val="20"/>
        </w:rPr>
      </w:pPr>
      <w:r w:rsidRPr="00C20C6B">
        <w:rPr>
          <w:rFonts w:ascii="Verdana" w:eastAsia="Calibri" w:hAnsi="Verdana" w:cs="Times New Roman"/>
          <w:noProof/>
          <w:sz w:val="20"/>
          <w:szCs w:val="20"/>
          <w:lang w:val="es-419"/>
        </w:rPr>
        <w:t>Rodrigo Mudrovitsch</w:t>
      </w:r>
      <w:r>
        <w:rPr>
          <w:rFonts w:ascii="Verdana" w:hAnsi="Verdana"/>
          <w:sz w:val="20"/>
        </w:rPr>
        <w:t xml:space="preserve"> </w:t>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Humberto A. Sierra Porto</w:t>
      </w:r>
      <w:r w:rsidRPr="00130251">
        <w:rPr>
          <w:rFonts w:ascii="Verdana" w:hAnsi="Verdana"/>
          <w:sz w:val="20"/>
        </w:rPr>
        <w:tab/>
      </w:r>
      <w:r w:rsidRPr="00130251">
        <w:rPr>
          <w:rFonts w:ascii="Verdana" w:hAnsi="Verdana"/>
          <w:sz w:val="20"/>
        </w:rPr>
        <w:tab/>
      </w:r>
      <w:r w:rsidRPr="00130251">
        <w:rPr>
          <w:rFonts w:ascii="Verdana" w:hAnsi="Verdana"/>
          <w:sz w:val="20"/>
        </w:rPr>
        <w:tab/>
      </w:r>
      <w:r w:rsidRPr="00130251">
        <w:rPr>
          <w:rFonts w:ascii="Verdana" w:hAnsi="Verdana"/>
          <w:sz w:val="20"/>
        </w:rPr>
        <w:tab/>
      </w:r>
      <w:r w:rsidRPr="00130251">
        <w:rPr>
          <w:rFonts w:ascii="Verdana" w:hAnsi="Verdana"/>
          <w:sz w:val="20"/>
        </w:rPr>
        <w:tab/>
      </w:r>
      <w:r w:rsidRPr="00130251">
        <w:rPr>
          <w:rFonts w:ascii="Verdana" w:hAnsi="Verdana"/>
          <w:sz w:val="20"/>
        </w:rPr>
        <w:tab/>
      </w:r>
      <w:r w:rsidRPr="00130251">
        <w:rPr>
          <w:rFonts w:ascii="Verdana" w:hAnsi="Verdana"/>
          <w:sz w:val="20"/>
        </w:rPr>
        <w:tab/>
      </w:r>
    </w:p>
    <w:p w14:paraId="395B5617" w14:textId="2006797C" w:rsidR="00B3008B" w:rsidRDefault="00B3008B" w:rsidP="00B3008B">
      <w:pPr>
        <w:rPr>
          <w:rFonts w:ascii="Verdana" w:hAnsi="Verdana"/>
          <w:sz w:val="20"/>
        </w:rPr>
      </w:pPr>
    </w:p>
    <w:p w14:paraId="00028F38" w14:textId="77777777" w:rsidR="00B3008B" w:rsidRPr="00130251" w:rsidRDefault="00B3008B" w:rsidP="00B3008B">
      <w:pPr>
        <w:tabs>
          <w:tab w:val="left" w:pos="5680"/>
        </w:tabs>
        <w:rPr>
          <w:rFonts w:ascii="Verdana" w:hAnsi="Verdana"/>
          <w:sz w:val="20"/>
        </w:rPr>
      </w:pPr>
      <w:r>
        <w:rPr>
          <w:rFonts w:ascii="Verdana" w:hAnsi="Verdana"/>
          <w:sz w:val="20"/>
        </w:rPr>
        <w:tab/>
      </w:r>
    </w:p>
    <w:p w14:paraId="7D3D092B" w14:textId="77777777" w:rsidR="00B3008B" w:rsidRDefault="00B3008B" w:rsidP="00B3008B">
      <w:pPr>
        <w:rPr>
          <w:rFonts w:ascii="Verdana" w:hAnsi="Verdana"/>
          <w:sz w:val="20"/>
        </w:rPr>
      </w:pPr>
    </w:p>
    <w:p w14:paraId="2995AECF" w14:textId="5D65E8AD" w:rsidR="00B3008B" w:rsidRPr="00130251" w:rsidRDefault="00B3008B" w:rsidP="00B3008B">
      <w:pPr>
        <w:rPr>
          <w:rFonts w:ascii="Verdana" w:hAnsi="Verdana"/>
          <w:sz w:val="20"/>
        </w:rPr>
      </w:pPr>
      <w:r>
        <w:rPr>
          <w:rFonts w:ascii="Verdana" w:hAnsi="Verdana"/>
          <w:sz w:val="20"/>
        </w:rPr>
        <w:t>Eduardo Ferrer Mac-</w:t>
      </w:r>
      <w:proofErr w:type="spellStart"/>
      <w:r>
        <w:rPr>
          <w:rFonts w:ascii="Verdana" w:hAnsi="Verdana"/>
          <w:sz w:val="20"/>
        </w:rPr>
        <w:t>Gregor</w:t>
      </w:r>
      <w:proofErr w:type="spellEnd"/>
      <w:r>
        <w:rPr>
          <w:rFonts w:ascii="Verdana" w:hAnsi="Verdana"/>
          <w:sz w:val="20"/>
        </w:rPr>
        <w:t xml:space="preserve"> </w:t>
      </w:r>
      <w:proofErr w:type="spellStart"/>
      <w:r>
        <w:rPr>
          <w:rFonts w:ascii="Verdana" w:hAnsi="Verdana"/>
          <w:sz w:val="20"/>
        </w:rPr>
        <w:t>Poisot</w:t>
      </w:r>
      <w:proofErr w:type="spellEnd"/>
      <w:r>
        <w:rPr>
          <w:rFonts w:ascii="Verdana" w:hAnsi="Verdana"/>
          <w:sz w:val="20"/>
        </w:rPr>
        <w:tab/>
      </w:r>
      <w:r>
        <w:rPr>
          <w:rFonts w:ascii="Verdana" w:hAnsi="Verdana"/>
          <w:sz w:val="20"/>
        </w:rPr>
        <w:tab/>
      </w:r>
      <w:r>
        <w:rPr>
          <w:rFonts w:ascii="Verdana" w:hAnsi="Verdana"/>
          <w:sz w:val="20"/>
        </w:rPr>
        <w:tab/>
        <w:t xml:space="preserve">            Ricardo C. Pérez Manrique</w:t>
      </w:r>
      <w:r w:rsidRPr="00130251">
        <w:rPr>
          <w:rFonts w:ascii="Verdana" w:hAnsi="Verdana"/>
          <w:sz w:val="20"/>
        </w:rPr>
        <w:tab/>
      </w:r>
      <w:r w:rsidRPr="00130251">
        <w:rPr>
          <w:rFonts w:ascii="Verdana" w:hAnsi="Verdana"/>
          <w:sz w:val="20"/>
        </w:rPr>
        <w:tab/>
      </w:r>
      <w:r w:rsidRPr="00130251">
        <w:rPr>
          <w:rFonts w:ascii="Verdana" w:hAnsi="Verdana"/>
          <w:sz w:val="20"/>
        </w:rPr>
        <w:tab/>
        <w:t xml:space="preserve">  </w:t>
      </w:r>
      <w:r w:rsidRPr="00130251">
        <w:rPr>
          <w:rFonts w:ascii="Verdana" w:hAnsi="Verdana"/>
          <w:sz w:val="20"/>
        </w:rPr>
        <w:tab/>
      </w:r>
      <w:r w:rsidRPr="00130251">
        <w:rPr>
          <w:rFonts w:ascii="Verdana" w:hAnsi="Verdana"/>
          <w:sz w:val="20"/>
        </w:rPr>
        <w:tab/>
        <w:t xml:space="preserve"> </w:t>
      </w:r>
    </w:p>
    <w:p w14:paraId="6E600A19" w14:textId="299C1176" w:rsidR="00B3008B" w:rsidRPr="00130251" w:rsidRDefault="00B3008B" w:rsidP="00B3008B">
      <w:pPr>
        <w:rPr>
          <w:rFonts w:ascii="Verdana" w:hAnsi="Verdana"/>
          <w:sz w:val="20"/>
        </w:rPr>
      </w:pPr>
    </w:p>
    <w:p w14:paraId="7570452F" w14:textId="77777777" w:rsidR="00B3008B" w:rsidRDefault="00B3008B" w:rsidP="00B3008B">
      <w:pPr>
        <w:tabs>
          <w:tab w:val="left" w:pos="6450"/>
        </w:tabs>
        <w:rPr>
          <w:rFonts w:ascii="Verdana" w:hAnsi="Verdana"/>
          <w:sz w:val="20"/>
        </w:rPr>
      </w:pPr>
      <w:r>
        <w:rPr>
          <w:rFonts w:ascii="Verdana" w:hAnsi="Verdana"/>
          <w:sz w:val="20"/>
        </w:rPr>
        <w:tab/>
      </w:r>
    </w:p>
    <w:p w14:paraId="6F1B0FB0" w14:textId="21030B33" w:rsidR="00B3008B" w:rsidRDefault="00B3008B" w:rsidP="00B3008B">
      <w:pPr>
        <w:rPr>
          <w:rFonts w:ascii="Verdana" w:hAnsi="Verdana"/>
          <w:sz w:val="20"/>
        </w:rPr>
      </w:pPr>
    </w:p>
    <w:p w14:paraId="7C35B743" w14:textId="77777777" w:rsidR="00B3008B" w:rsidRPr="00130251" w:rsidRDefault="00B3008B" w:rsidP="00B3008B">
      <w:pPr>
        <w:rPr>
          <w:rFonts w:ascii="Verdana" w:hAnsi="Verdana"/>
          <w:sz w:val="20"/>
        </w:rPr>
      </w:pPr>
      <w:r>
        <w:rPr>
          <w:rFonts w:ascii="Verdana" w:hAnsi="Verdana"/>
          <w:sz w:val="20"/>
        </w:rPr>
        <w:t>Verónica Gómez</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P</w:t>
      </w:r>
      <w:r w:rsidRPr="00130251">
        <w:rPr>
          <w:rFonts w:ascii="Verdana" w:hAnsi="Verdana"/>
          <w:sz w:val="20"/>
        </w:rPr>
        <w:t>atricia Pérez Goldberg</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w:t>
      </w:r>
    </w:p>
    <w:p w14:paraId="33C48DEF" w14:textId="77777777" w:rsidR="00B3008B" w:rsidRPr="00130251" w:rsidRDefault="00B3008B" w:rsidP="00B3008B">
      <w:pPr>
        <w:jc w:val="both"/>
        <w:rPr>
          <w:rFonts w:ascii="Verdana" w:hAnsi="Verdana"/>
          <w:sz w:val="20"/>
        </w:rPr>
      </w:pPr>
    </w:p>
    <w:p w14:paraId="1685E8C3" w14:textId="77777777" w:rsidR="00B3008B" w:rsidRPr="00130251" w:rsidRDefault="00B3008B" w:rsidP="00B3008B">
      <w:pPr>
        <w:jc w:val="center"/>
        <w:rPr>
          <w:rFonts w:ascii="Verdana" w:hAnsi="Verdana"/>
          <w:sz w:val="20"/>
        </w:rPr>
      </w:pPr>
    </w:p>
    <w:p w14:paraId="2A3F39A3" w14:textId="77777777" w:rsidR="00B3008B" w:rsidRPr="00130251" w:rsidRDefault="00B3008B" w:rsidP="00B3008B">
      <w:pPr>
        <w:spacing w:after="0" w:line="240" w:lineRule="auto"/>
        <w:jc w:val="center"/>
        <w:rPr>
          <w:rFonts w:ascii="Verdana" w:hAnsi="Verdana"/>
          <w:sz w:val="20"/>
        </w:rPr>
      </w:pPr>
      <w:r>
        <w:rPr>
          <w:rFonts w:ascii="Verdana" w:hAnsi="Verdana"/>
          <w:sz w:val="20"/>
        </w:rPr>
        <w:t>P</w:t>
      </w:r>
      <w:r w:rsidRPr="00130251">
        <w:rPr>
          <w:rFonts w:ascii="Verdana" w:hAnsi="Verdana"/>
          <w:sz w:val="20"/>
        </w:rPr>
        <w:t>ablo Saavedra Alessandri</w:t>
      </w:r>
    </w:p>
    <w:p w14:paraId="5692EFEA" w14:textId="0CD17893" w:rsidR="00B3008B" w:rsidRDefault="00B3008B" w:rsidP="00B3008B">
      <w:pPr>
        <w:spacing w:after="0" w:line="240" w:lineRule="auto"/>
        <w:jc w:val="center"/>
        <w:rPr>
          <w:rFonts w:ascii="Verdana" w:hAnsi="Verdana"/>
          <w:lang w:val="pt-BR"/>
        </w:rPr>
      </w:pPr>
      <w:r w:rsidRPr="00E262EB">
        <w:rPr>
          <w:rFonts w:ascii="Verdana" w:hAnsi="Verdana"/>
          <w:sz w:val="20"/>
          <w:lang w:val="pt-BR"/>
        </w:rPr>
        <w:t>Secretario</w:t>
      </w:r>
    </w:p>
    <w:p w14:paraId="5E0ACBB5" w14:textId="77777777" w:rsidR="00B3008B" w:rsidRDefault="00B3008B" w:rsidP="00B3008B">
      <w:pPr>
        <w:pStyle w:val="Textonotapie"/>
        <w:rPr>
          <w:rFonts w:ascii="Verdana" w:hAnsi="Verdana"/>
          <w:lang w:val="pt-BR"/>
        </w:rPr>
      </w:pPr>
    </w:p>
    <w:p w14:paraId="5F35C794" w14:textId="77777777" w:rsidR="00B3008B" w:rsidRDefault="00B3008B" w:rsidP="00B3008B">
      <w:pPr>
        <w:jc w:val="both"/>
        <w:rPr>
          <w:noProof/>
          <w14:ligatures w14:val="standardContextual"/>
        </w:rPr>
      </w:pPr>
    </w:p>
    <w:p w14:paraId="2D365707" w14:textId="5B0B5919" w:rsidR="00B3008B" w:rsidRPr="00E262EB" w:rsidRDefault="00B3008B" w:rsidP="00B3008B">
      <w:pPr>
        <w:jc w:val="both"/>
        <w:rPr>
          <w:rFonts w:ascii="Verdana" w:hAnsi="Verdana"/>
          <w:sz w:val="20"/>
          <w:lang w:val="pt-BR"/>
        </w:rPr>
      </w:pPr>
      <w:proofErr w:type="spellStart"/>
      <w:r w:rsidRPr="00E262EB">
        <w:rPr>
          <w:rFonts w:ascii="Verdana" w:hAnsi="Verdana"/>
          <w:sz w:val="20"/>
          <w:lang w:val="pt-BR"/>
        </w:rPr>
        <w:t>Comuníquese</w:t>
      </w:r>
      <w:proofErr w:type="spellEnd"/>
      <w:r w:rsidRPr="00E262EB">
        <w:rPr>
          <w:rFonts w:ascii="Verdana" w:hAnsi="Verdana"/>
          <w:sz w:val="20"/>
          <w:lang w:val="pt-BR"/>
        </w:rPr>
        <w:t xml:space="preserve"> y </w:t>
      </w:r>
      <w:proofErr w:type="spellStart"/>
      <w:r w:rsidRPr="00E262EB">
        <w:rPr>
          <w:rFonts w:ascii="Verdana" w:hAnsi="Verdana"/>
          <w:sz w:val="20"/>
          <w:lang w:val="pt-BR"/>
        </w:rPr>
        <w:t>ejecútese</w:t>
      </w:r>
      <w:proofErr w:type="spellEnd"/>
      <w:r w:rsidRPr="00E262EB">
        <w:rPr>
          <w:rFonts w:ascii="Verdana" w:hAnsi="Verdana"/>
          <w:sz w:val="20"/>
          <w:lang w:val="pt-BR"/>
        </w:rPr>
        <w:t>,</w:t>
      </w:r>
      <w:r w:rsidRPr="0040175F">
        <w:rPr>
          <w:noProof/>
          <w14:ligatures w14:val="standardContextual"/>
        </w:rPr>
        <w:t xml:space="preserve"> </w:t>
      </w:r>
    </w:p>
    <w:p w14:paraId="18B56E5A" w14:textId="77777777" w:rsidR="00B3008B" w:rsidRPr="00E262EB" w:rsidRDefault="00B3008B" w:rsidP="00B3008B">
      <w:pPr>
        <w:spacing w:after="0" w:line="240" w:lineRule="auto"/>
        <w:jc w:val="right"/>
        <w:rPr>
          <w:rFonts w:ascii="Verdana" w:hAnsi="Verdana"/>
          <w:sz w:val="20"/>
          <w:lang w:val="pt-BR"/>
        </w:rPr>
      </w:pPr>
      <w:r w:rsidRPr="00E262EB">
        <w:rPr>
          <w:rFonts w:ascii="Verdana" w:hAnsi="Verdana"/>
          <w:sz w:val="20"/>
          <w:lang w:val="pt-BR"/>
        </w:rPr>
        <w:t xml:space="preserve">                                                                          </w:t>
      </w:r>
      <w:r>
        <w:rPr>
          <w:rFonts w:ascii="Verdana" w:hAnsi="Verdana"/>
          <w:sz w:val="20"/>
          <w:lang w:val="pt-BR"/>
        </w:rPr>
        <w:t xml:space="preserve">      </w:t>
      </w:r>
      <w:r w:rsidRPr="00E262EB">
        <w:rPr>
          <w:rFonts w:ascii="Verdana" w:hAnsi="Verdana"/>
          <w:sz w:val="20"/>
          <w:lang w:val="pt-BR"/>
        </w:rPr>
        <w:t xml:space="preserve"> </w:t>
      </w:r>
      <w:r>
        <w:rPr>
          <w:rFonts w:ascii="Verdana" w:hAnsi="Verdana"/>
          <w:sz w:val="20"/>
          <w:lang w:val="pt-BR"/>
        </w:rPr>
        <w:t>Nancy Hernández López</w:t>
      </w:r>
    </w:p>
    <w:p w14:paraId="03573F20" w14:textId="77777777" w:rsidR="00B3008B" w:rsidRPr="00E262EB" w:rsidRDefault="00B3008B" w:rsidP="00B3008B">
      <w:pPr>
        <w:spacing w:after="0" w:line="240" w:lineRule="auto"/>
        <w:ind w:left="6480" w:firstLine="720"/>
        <w:rPr>
          <w:rFonts w:ascii="Verdana" w:hAnsi="Verdana"/>
          <w:sz w:val="20"/>
          <w:lang w:val="pt-BR"/>
        </w:rPr>
      </w:pPr>
      <w:r w:rsidRPr="00E262EB">
        <w:rPr>
          <w:rFonts w:ascii="Verdana" w:hAnsi="Verdana"/>
          <w:sz w:val="20"/>
          <w:lang w:val="pt-BR"/>
        </w:rPr>
        <w:t>President</w:t>
      </w:r>
      <w:r>
        <w:rPr>
          <w:rFonts w:ascii="Verdana" w:hAnsi="Verdana"/>
          <w:sz w:val="20"/>
          <w:lang w:val="pt-BR"/>
        </w:rPr>
        <w:t>a</w:t>
      </w:r>
    </w:p>
    <w:p w14:paraId="451D6C97" w14:textId="77777777" w:rsidR="00B3008B" w:rsidRDefault="00B3008B" w:rsidP="00B3008B">
      <w:pPr>
        <w:spacing w:after="0" w:line="240" w:lineRule="auto"/>
        <w:jc w:val="both"/>
        <w:rPr>
          <w:rFonts w:ascii="Verdana" w:hAnsi="Verdana"/>
          <w:sz w:val="20"/>
          <w:lang w:val="pt-BR"/>
        </w:rPr>
      </w:pPr>
    </w:p>
    <w:p w14:paraId="3FFFA396" w14:textId="77777777" w:rsidR="00B3008B" w:rsidRPr="00E262EB" w:rsidRDefault="00B3008B" w:rsidP="00B3008B">
      <w:pPr>
        <w:spacing w:after="0" w:line="240" w:lineRule="auto"/>
        <w:jc w:val="both"/>
        <w:rPr>
          <w:rFonts w:ascii="Verdana" w:hAnsi="Verdana"/>
          <w:sz w:val="20"/>
          <w:lang w:val="pt-BR"/>
        </w:rPr>
      </w:pPr>
      <w:r>
        <w:rPr>
          <w:rFonts w:ascii="Verdana" w:hAnsi="Verdana"/>
          <w:sz w:val="20"/>
          <w:lang w:val="pt-BR"/>
        </w:rPr>
        <w:t>Pa</w:t>
      </w:r>
      <w:r w:rsidRPr="00E262EB">
        <w:rPr>
          <w:rFonts w:ascii="Verdana" w:hAnsi="Verdana"/>
          <w:sz w:val="20"/>
          <w:lang w:val="pt-BR"/>
        </w:rPr>
        <w:t>blo Saavedra Alessandri</w:t>
      </w:r>
    </w:p>
    <w:p w14:paraId="4D3375FA" w14:textId="77777777" w:rsidR="00B3008B" w:rsidRPr="00D97FFC" w:rsidRDefault="00B3008B" w:rsidP="00B3008B">
      <w:pPr>
        <w:spacing w:after="0" w:line="240" w:lineRule="auto"/>
        <w:rPr>
          <w:rFonts w:ascii="Verdana" w:hAnsi="Verdana"/>
          <w:lang w:val="pt-BR"/>
        </w:rPr>
      </w:pPr>
      <w:r w:rsidRPr="00E262EB">
        <w:rPr>
          <w:rFonts w:ascii="Verdana" w:hAnsi="Verdana"/>
          <w:sz w:val="20"/>
          <w:lang w:val="pt-BR"/>
        </w:rPr>
        <w:t xml:space="preserve">          Secretario</w:t>
      </w:r>
    </w:p>
    <w:p w14:paraId="0F991227" w14:textId="77777777" w:rsidR="00B3008B" w:rsidRPr="000E1BC3" w:rsidRDefault="00B3008B" w:rsidP="00B3008B">
      <w:pPr>
        <w:pStyle w:val="Prrafodelista"/>
        <w:spacing w:before="120" w:after="120" w:line="240" w:lineRule="auto"/>
        <w:ind w:left="0"/>
        <w:contextualSpacing w:val="0"/>
        <w:jc w:val="both"/>
        <w:rPr>
          <w:rFonts w:ascii="Verdana" w:hAnsi="Verdana"/>
          <w:sz w:val="20"/>
          <w:szCs w:val="20"/>
        </w:rPr>
      </w:pPr>
    </w:p>
    <w:sectPr w:rsidR="00B3008B" w:rsidRPr="000E1BC3" w:rsidSect="009A3A13">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CDC50" w14:textId="77777777" w:rsidR="009A3A13" w:rsidRDefault="009A3A13" w:rsidP="007D396F">
      <w:pPr>
        <w:spacing w:after="0" w:line="240" w:lineRule="auto"/>
      </w:pPr>
      <w:r>
        <w:separator/>
      </w:r>
    </w:p>
  </w:endnote>
  <w:endnote w:type="continuationSeparator" w:id="0">
    <w:p w14:paraId="4F002192" w14:textId="77777777" w:rsidR="009A3A13" w:rsidRDefault="009A3A13" w:rsidP="007D3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Verdana" w:hAnsi="Verdana"/>
        <w:sz w:val="20"/>
        <w:szCs w:val="20"/>
      </w:rPr>
      <w:id w:val="-1380549711"/>
      <w:docPartObj>
        <w:docPartGallery w:val="Page Numbers (Bottom of Page)"/>
        <w:docPartUnique/>
      </w:docPartObj>
    </w:sdtPr>
    <w:sdtContent>
      <w:p w14:paraId="00CB1ABC" w14:textId="5C23B58A" w:rsidR="00523302" w:rsidRPr="00533D76" w:rsidRDefault="00533D76" w:rsidP="00533D76">
        <w:pPr>
          <w:pStyle w:val="Piedepgina"/>
          <w:jc w:val="center"/>
          <w:rPr>
            <w:rFonts w:ascii="Verdana" w:hAnsi="Verdana"/>
            <w:sz w:val="20"/>
            <w:szCs w:val="20"/>
          </w:rPr>
        </w:pPr>
        <w:r w:rsidRPr="00533D76">
          <w:rPr>
            <w:rFonts w:ascii="Verdana" w:hAnsi="Verdana"/>
            <w:sz w:val="20"/>
            <w:szCs w:val="20"/>
          </w:rPr>
          <w:fldChar w:fldCharType="begin"/>
        </w:r>
        <w:r w:rsidRPr="00533D76">
          <w:rPr>
            <w:rFonts w:ascii="Verdana" w:hAnsi="Verdana"/>
            <w:sz w:val="20"/>
            <w:szCs w:val="20"/>
          </w:rPr>
          <w:instrText>PAGE   \* MERGEFORMAT</w:instrText>
        </w:r>
        <w:r w:rsidRPr="00533D76">
          <w:rPr>
            <w:rFonts w:ascii="Verdana" w:hAnsi="Verdana"/>
            <w:sz w:val="20"/>
            <w:szCs w:val="20"/>
          </w:rPr>
          <w:fldChar w:fldCharType="separate"/>
        </w:r>
        <w:r w:rsidRPr="00533D76">
          <w:rPr>
            <w:rFonts w:ascii="Verdana" w:hAnsi="Verdana"/>
            <w:sz w:val="20"/>
            <w:szCs w:val="20"/>
            <w:lang w:val="es-ES"/>
          </w:rPr>
          <w:t>2</w:t>
        </w:r>
        <w:r w:rsidRPr="00533D76">
          <w:rPr>
            <w:rFonts w:ascii="Verdana" w:hAnsi="Verdana"/>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2A648A" w14:textId="77777777" w:rsidR="009A3A13" w:rsidRDefault="009A3A13" w:rsidP="007D396F">
      <w:pPr>
        <w:spacing w:after="0" w:line="240" w:lineRule="auto"/>
      </w:pPr>
      <w:r>
        <w:separator/>
      </w:r>
    </w:p>
  </w:footnote>
  <w:footnote w:type="continuationSeparator" w:id="0">
    <w:p w14:paraId="02091060" w14:textId="77777777" w:rsidR="009A3A13" w:rsidRDefault="009A3A13" w:rsidP="007D396F">
      <w:pPr>
        <w:spacing w:after="0" w:line="240" w:lineRule="auto"/>
      </w:pPr>
      <w:r>
        <w:continuationSeparator/>
      </w:r>
    </w:p>
  </w:footnote>
  <w:footnote w:id="1">
    <w:p w14:paraId="3662C9D6" w14:textId="1025E3BB" w:rsidR="00107090" w:rsidRPr="000E1BC3" w:rsidRDefault="00107090" w:rsidP="000E1BC3">
      <w:pPr>
        <w:pStyle w:val="Textonotapie"/>
        <w:tabs>
          <w:tab w:val="left" w:pos="567"/>
        </w:tabs>
        <w:jc w:val="both"/>
        <w:rPr>
          <w:rFonts w:ascii="Verdana" w:hAnsi="Verdana"/>
          <w:sz w:val="16"/>
          <w:szCs w:val="16"/>
          <w:lang w:val="es-ES"/>
        </w:rPr>
      </w:pPr>
      <w:r w:rsidRPr="000E1BC3">
        <w:rPr>
          <w:rStyle w:val="Refdenotaalpie"/>
          <w:rFonts w:ascii="Verdana" w:hAnsi="Verdana"/>
          <w:sz w:val="16"/>
          <w:szCs w:val="16"/>
        </w:rPr>
        <w:footnoteRef/>
      </w:r>
      <w:r w:rsidRPr="000E1BC3">
        <w:rPr>
          <w:rFonts w:ascii="Verdana" w:hAnsi="Verdana"/>
          <w:sz w:val="16"/>
          <w:szCs w:val="16"/>
        </w:rPr>
        <w:t xml:space="preserve">  </w:t>
      </w:r>
      <w:r w:rsidRPr="000E1BC3">
        <w:rPr>
          <w:rFonts w:ascii="Verdana" w:hAnsi="Verdana"/>
          <w:sz w:val="16"/>
          <w:szCs w:val="16"/>
        </w:rPr>
        <w:tab/>
      </w:r>
      <w:r w:rsidR="00866207" w:rsidRPr="000E1BC3">
        <w:rPr>
          <w:rFonts w:ascii="Verdana" w:hAnsi="Verdana"/>
          <w:sz w:val="16"/>
          <w:szCs w:val="16"/>
        </w:rPr>
        <w:t xml:space="preserve">La Sentencia fue notificada el 21 de diciembre de 2012. </w:t>
      </w:r>
      <w:r w:rsidR="00866207" w:rsidRPr="000E1BC3">
        <w:rPr>
          <w:rFonts w:ascii="Verdana" w:hAnsi="Verdana"/>
          <w:iCs/>
          <w:sz w:val="16"/>
          <w:szCs w:val="16"/>
        </w:rPr>
        <w:t>D</w:t>
      </w:r>
      <w:r w:rsidR="00866207" w:rsidRPr="000E1BC3">
        <w:rPr>
          <w:rFonts w:ascii="Verdana" w:hAnsi="Verdana"/>
          <w:sz w:val="16"/>
          <w:szCs w:val="16"/>
        </w:rPr>
        <w:t xml:space="preserve">isponible en: </w:t>
      </w:r>
      <w:hyperlink r:id="rId1" w:history="1">
        <w:r w:rsidR="00866207" w:rsidRPr="000E1BC3">
          <w:rPr>
            <w:rStyle w:val="Hipervnculo"/>
            <w:rFonts w:ascii="Verdana" w:hAnsi="Verdana"/>
            <w:sz w:val="16"/>
            <w:szCs w:val="16"/>
          </w:rPr>
          <w:t>http://www.corteidh.or.cr/docs/casos/articulos/seriec_258_esp.pdf</w:t>
        </w:r>
      </w:hyperlink>
    </w:p>
  </w:footnote>
  <w:footnote w:id="2">
    <w:p w14:paraId="06E5DF80" w14:textId="59EF2996" w:rsidR="00107090" w:rsidRPr="000E1BC3" w:rsidRDefault="00107090" w:rsidP="000E1BC3">
      <w:pPr>
        <w:tabs>
          <w:tab w:val="left" w:pos="567"/>
        </w:tabs>
        <w:autoSpaceDE w:val="0"/>
        <w:autoSpaceDN w:val="0"/>
        <w:adjustRightInd w:val="0"/>
        <w:spacing w:after="0" w:line="240" w:lineRule="auto"/>
        <w:jc w:val="both"/>
        <w:rPr>
          <w:rFonts w:ascii="Verdana" w:hAnsi="Verdana" w:cs="Verdana"/>
          <w:color w:val="000000"/>
          <w:sz w:val="16"/>
          <w:szCs w:val="16"/>
        </w:rPr>
      </w:pPr>
      <w:r w:rsidRPr="000E1BC3">
        <w:rPr>
          <w:rStyle w:val="Refdenotaalpie"/>
          <w:rFonts w:ascii="Verdana" w:hAnsi="Verdana"/>
          <w:sz w:val="16"/>
          <w:szCs w:val="16"/>
        </w:rPr>
        <w:footnoteRef/>
      </w:r>
      <w:r w:rsidRPr="000E1BC3">
        <w:rPr>
          <w:rFonts w:ascii="Verdana" w:hAnsi="Verdana"/>
          <w:sz w:val="16"/>
          <w:szCs w:val="16"/>
        </w:rPr>
        <w:t xml:space="preserve"> </w:t>
      </w:r>
      <w:r w:rsidRPr="000E1BC3">
        <w:rPr>
          <w:rFonts w:ascii="Verdana" w:hAnsi="Verdana"/>
          <w:sz w:val="16"/>
          <w:szCs w:val="16"/>
          <w:lang w:val="es-ES"/>
        </w:rPr>
        <w:tab/>
      </w:r>
      <w:r w:rsidR="00866207" w:rsidRPr="000E1BC3">
        <w:rPr>
          <w:rFonts w:ascii="Verdana" w:hAnsi="Verdana" w:cs="Arial"/>
          <w:color w:val="000000" w:themeColor="text1"/>
          <w:sz w:val="16"/>
          <w:szCs w:val="16"/>
          <w:shd w:val="clear" w:color="auto" w:fill="FFFFFF"/>
        </w:rPr>
        <w:t xml:space="preserve">Disponibles en: </w:t>
      </w:r>
      <w:hyperlink r:id="rId2" w:history="1">
        <w:r w:rsidR="00866207" w:rsidRPr="000E1BC3">
          <w:rPr>
            <w:rStyle w:val="Hipervnculo"/>
            <w:rFonts w:ascii="Verdana" w:hAnsi="Verdana"/>
            <w:sz w:val="16"/>
            <w:szCs w:val="16"/>
          </w:rPr>
          <w:t>https://www.corteidh.or.cr/supervision_de_cumplimiento.cfm</w:t>
        </w:r>
      </w:hyperlink>
    </w:p>
  </w:footnote>
  <w:footnote w:id="3">
    <w:p w14:paraId="7135C53D" w14:textId="075B4909" w:rsidR="003C03CA" w:rsidRPr="000E1BC3" w:rsidRDefault="00FD70CB" w:rsidP="000E1BC3">
      <w:pPr>
        <w:pStyle w:val="Textonotapie"/>
        <w:tabs>
          <w:tab w:val="left" w:pos="567"/>
        </w:tabs>
        <w:jc w:val="both"/>
        <w:rPr>
          <w:rFonts w:ascii="Verdana" w:hAnsi="Verdana"/>
          <w:sz w:val="16"/>
          <w:szCs w:val="16"/>
        </w:rPr>
      </w:pPr>
      <w:r w:rsidRPr="000E1BC3">
        <w:rPr>
          <w:rStyle w:val="Refdenotaalpie"/>
          <w:rFonts w:ascii="Verdana" w:hAnsi="Verdana"/>
          <w:sz w:val="16"/>
          <w:szCs w:val="16"/>
        </w:rPr>
        <w:footnoteRef/>
      </w:r>
      <w:r w:rsidRPr="000E1BC3">
        <w:rPr>
          <w:rFonts w:ascii="Verdana" w:hAnsi="Verdana"/>
          <w:sz w:val="16"/>
          <w:szCs w:val="16"/>
        </w:rPr>
        <w:t xml:space="preserve"> </w:t>
      </w:r>
      <w:r w:rsidRPr="000E1BC3">
        <w:rPr>
          <w:rFonts w:ascii="Verdana" w:hAnsi="Verdana"/>
          <w:sz w:val="16"/>
          <w:szCs w:val="16"/>
        </w:rPr>
        <w:tab/>
      </w:r>
      <w:r w:rsidR="003C03CA" w:rsidRPr="000E1BC3">
        <w:rPr>
          <w:rFonts w:ascii="Verdana" w:hAnsi="Verdana"/>
          <w:sz w:val="16"/>
          <w:szCs w:val="16"/>
        </w:rPr>
        <w:t xml:space="preserve">En aplicación del artículo 6 inciso 2 del Reglamento del Tribunal, </w:t>
      </w:r>
      <w:r w:rsidR="00BF4307" w:rsidRPr="000E1BC3">
        <w:rPr>
          <w:rFonts w:ascii="Verdana" w:hAnsi="Verdana"/>
          <w:sz w:val="16"/>
          <w:szCs w:val="16"/>
        </w:rPr>
        <w:t>la</w:t>
      </w:r>
      <w:r w:rsidR="003C03CA" w:rsidRPr="000E1BC3">
        <w:rPr>
          <w:rFonts w:ascii="Verdana" w:hAnsi="Verdana"/>
          <w:sz w:val="16"/>
          <w:szCs w:val="16"/>
        </w:rPr>
        <w:t xml:space="preserve"> audiencia pública se efectuó ante una comisión de juezas y jueces, compuesta por el </w:t>
      </w:r>
      <w:proofErr w:type="gramStart"/>
      <w:r w:rsidR="003C03CA" w:rsidRPr="000E1BC3">
        <w:rPr>
          <w:rFonts w:ascii="Verdana" w:hAnsi="Verdana"/>
          <w:sz w:val="16"/>
          <w:szCs w:val="16"/>
        </w:rPr>
        <w:t>Vicepresidente</w:t>
      </w:r>
      <w:proofErr w:type="gramEnd"/>
      <w:r w:rsidR="003C03CA" w:rsidRPr="000E1BC3">
        <w:rPr>
          <w:rFonts w:ascii="Verdana" w:hAnsi="Verdana"/>
          <w:sz w:val="16"/>
          <w:szCs w:val="16"/>
        </w:rPr>
        <w:t xml:space="preserve"> de la Corte, Juez Eduardo Ferrer Mac-</w:t>
      </w:r>
      <w:proofErr w:type="spellStart"/>
      <w:r w:rsidR="003C03CA" w:rsidRPr="000E1BC3">
        <w:rPr>
          <w:rFonts w:ascii="Verdana" w:hAnsi="Verdana"/>
          <w:sz w:val="16"/>
          <w:szCs w:val="16"/>
        </w:rPr>
        <w:t>Gregor</w:t>
      </w:r>
      <w:proofErr w:type="spellEnd"/>
      <w:r w:rsidR="003C03CA" w:rsidRPr="000E1BC3">
        <w:rPr>
          <w:rFonts w:ascii="Verdana" w:hAnsi="Verdana"/>
          <w:sz w:val="16"/>
          <w:szCs w:val="16"/>
        </w:rPr>
        <w:t xml:space="preserve"> </w:t>
      </w:r>
      <w:proofErr w:type="spellStart"/>
      <w:r w:rsidR="003C03CA" w:rsidRPr="000E1BC3">
        <w:rPr>
          <w:rFonts w:ascii="Verdana" w:hAnsi="Verdana"/>
          <w:sz w:val="16"/>
          <w:szCs w:val="16"/>
        </w:rPr>
        <w:t>Poisot</w:t>
      </w:r>
      <w:proofErr w:type="spellEnd"/>
      <w:r w:rsidR="003C03CA" w:rsidRPr="000E1BC3">
        <w:rPr>
          <w:rFonts w:ascii="Verdana" w:hAnsi="Verdana"/>
          <w:sz w:val="16"/>
          <w:szCs w:val="16"/>
        </w:rPr>
        <w:t xml:space="preserve">, las Juezas Nancy Hernández López y Verónica Gómez, y el Juez Rodrigo </w:t>
      </w:r>
      <w:proofErr w:type="spellStart"/>
      <w:r w:rsidR="003C03CA" w:rsidRPr="000E1BC3">
        <w:rPr>
          <w:rFonts w:ascii="Verdana" w:hAnsi="Verdana"/>
          <w:sz w:val="16"/>
          <w:szCs w:val="16"/>
        </w:rPr>
        <w:t>Mudrovitsch</w:t>
      </w:r>
      <w:proofErr w:type="spellEnd"/>
      <w:r w:rsidR="003C03CA" w:rsidRPr="000E1BC3">
        <w:rPr>
          <w:rFonts w:ascii="Verdana" w:hAnsi="Verdana"/>
          <w:sz w:val="16"/>
          <w:szCs w:val="16"/>
        </w:rPr>
        <w:t>. Comparecieron a dicha audiencia</w:t>
      </w:r>
      <w:r w:rsidR="00AE3722" w:rsidRPr="000E1BC3">
        <w:rPr>
          <w:rFonts w:ascii="Verdana" w:hAnsi="Verdana"/>
          <w:sz w:val="16"/>
          <w:szCs w:val="16"/>
        </w:rPr>
        <w:t>: a)</w:t>
      </w:r>
      <w:r w:rsidR="003C03CA" w:rsidRPr="000E1BC3">
        <w:rPr>
          <w:rFonts w:ascii="Verdana" w:hAnsi="Verdana"/>
          <w:sz w:val="16"/>
          <w:szCs w:val="16"/>
        </w:rPr>
        <w:t xml:space="preserve"> por la Comisión Interamericana de Derechos Humanos: el señor Erick Acuña Pereda y </w:t>
      </w:r>
      <w:r w:rsidR="00315720" w:rsidRPr="000E1BC3">
        <w:rPr>
          <w:rFonts w:ascii="Verdana" w:hAnsi="Verdana"/>
          <w:sz w:val="16"/>
          <w:szCs w:val="16"/>
        </w:rPr>
        <w:t xml:space="preserve">la señora </w:t>
      </w:r>
      <w:r w:rsidR="003C03CA" w:rsidRPr="000E1BC3">
        <w:rPr>
          <w:rFonts w:ascii="Verdana" w:hAnsi="Verdana"/>
          <w:sz w:val="16"/>
          <w:szCs w:val="16"/>
        </w:rPr>
        <w:t xml:space="preserve">Cristina Blanco, </w:t>
      </w:r>
      <w:r w:rsidR="00AE3722" w:rsidRPr="000E1BC3">
        <w:rPr>
          <w:rFonts w:ascii="Verdana" w:hAnsi="Verdana"/>
          <w:sz w:val="16"/>
          <w:szCs w:val="16"/>
        </w:rPr>
        <w:t>A</w:t>
      </w:r>
      <w:r w:rsidR="003C03CA" w:rsidRPr="000E1BC3">
        <w:rPr>
          <w:rFonts w:ascii="Verdana" w:hAnsi="Verdana"/>
          <w:sz w:val="16"/>
          <w:szCs w:val="16"/>
        </w:rPr>
        <w:t>sesores de la Secretaría Ejecutiva;</w:t>
      </w:r>
      <w:r w:rsidR="00AE3722" w:rsidRPr="000E1BC3">
        <w:rPr>
          <w:rFonts w:ascii="Verdana" w:hAnsi="Verdana"/>
          <w:sz w:val="16"/>
          <w:szCs w:val="16"/>
        </w:rPr>
        <w:t xml:space="preserve"> b)</w:t>
      </w:r>
      <w:r w:rsidR="003C03CA" w:rsidRPr="000E1BC3">
        <w:rPr>
          <w:rFonts w:ascii="Verdana" w:hAnsi="Verdana"/>
          <w:sz w:val="16"/>
          <w:szCs w:val="16"/>
        </w:rPr>
        <w:t xml:space="preserve"> la víctima y representante de las víctimas Nineth </w:t>
      </w:r>
      <w:proofErr w:type="spellStart"/>
      <w:r w:rsidR="003C03CA" w:rsidRPr="000E1BC3">
        <w:rPr>
          <w:rFonts w:ascii="Verdana" w:hAnsi="Verdana"/>
          <w:sz w:val="16"/>
          <w:szCs w:val="16"/>
        </w:rPr>
        <w:t>Varenca</w:t>
      </w:r>
      <w:proofErr w:type="spellEnd"/>
      <w:r w:rsidR="003C03CA" w:rsidRPr="000E1BC3">
        <w:rPr>
          <w:rFonts w:ascii="Verdana" w:hAnsi="Verdana"/>
          <w:sz w:val="16"/>
          <w:szCs w:val="16"/>
        </w:rPr>
        <w:t xml:space="preserve"> Montenegro </w:t>
      </w:r>
      <w:proofErr w:type="spellStart"/>
      <w:r w:rsidR="003C03CA" w:rsidRPr="000E1BC3">
        <w:rPr>
          <w:rFonts w:ascii="Verdana" w:hAnsi="Verdana"/>
          <w:sz w:val="16"/>
          <w:szCs w:val="16"/>
        </w:rPr>
        <w:t>Cottom</w:t>
      </w:r>
      <w:proofErr w:type="spellEnd"/>
      <w:r w:rsidR="003C03CA" w:rsidRPr="000E1BC3">
        <w:rPr>
          <w:rFonts w:ascii="Verdana" w:hAnsi="Verdana"/>
          <w:sz w:val="16"/>
          <w:szCs w:val="16"/>
        </w:rPr>
        <w:t xml:space="preserve">; </w:t>
      </w:r>
      <w:r w:rsidR="00AE3722" w:rsidRPr="000E1BC3">
        <w:rPr>
          <w:rFonts w:ascii="Verdana" w:hAnsi="Verdana"/>
          <w:sz w:val="16"/>
          <w:szCs w:val="16"/>
        </w:rPr>
        <w:t xml:space="preserve">c) </w:t>
      </w:r>
      <w:r w:rsidR="003C03CA" w:rsidRPr="000E1BC3">
        <w:rPr>
          <w:rFonts w:ascii="Verdana" w:hAnsi="Verdana"/>
          <w:sz w:val="16"/>
          <w:szCs w:val="16"/>
        </w:rPr>
        <w:t>por los representantes de las víctimas</w:t>
      </w:r>
      <w:r w:rsidR="00AE3722" w:rsidRPr="000E1BC3">
        <w:rPr>
          <w:rFonts w:ascii="Verdana" w:hAnsi="Verdana"/>
          <w:sz w:val="16"/>
          <w:szCs w:val="16"/>
        </w:rPr>
        <w:t>:</w:t>
      </w:r>
      <w:r w:rsidR="003C03CA" w:rsidRPr="000E1BC3">
        <w:rPr>
          <w:rFonts w:ascii="Verdana" w:hAnsi="Verdana"/>
          <w:sz w:val="16"/>
          <w:szCs w:val="16"/>
        </w:rPr>
        <w:t xml:space="preserve"> los señores Mario Polanco, Maynor Alvarado, Ronaldo Galeano y Carlos Juárez</w:t>
      </w:r>
      <w:r w:rsidR="00AE3722" w:rsidRPr="000E1BC3">
        <w:rPr>
          <w:rFonts w:ascii="Verdana" w:hAnsi="Verdana"/>
          <w:sz w:val="16"/>
          <w:szCs w:val="16"/>
        </w:rPr>
        <w:t>,</w:t>
      </w:r>
      <w:r w:rsidR="003C03CA" w:rsidRPr="000E1BC3">
        <w:rPr>
          <w:rFonts w:ascii="Verdana" w:hAnsi="Verdana"/>
          <w:sz w:val="16"/>
          <w:szCs w:val="16"/>
        </w:rPr>
        <w:t xml:space="preserve"> Director y </w:t>
      </w:r>
      <w:r w:rsidR="00AE3722" w:rsidRPr="000E1BC3">
        <w:rPr>
          <w:rFonts w:ascii="Verdana" w:hAnsi="Verdana"/>
          <w:sz w:val="16"/>
          <w:szCs w:val="16"/>
        </w:rPr>
        <w:t>A</w:t>
      </w:r>
      <w:r w:rsidR="003C03CA" w:rsidRPr="000E1BC3">
        <w:rPr>
          <w:rFonts w:ascii="Verdana" w:hAnsi="Verdana"/>
          <w:sz w:val="16"/>
          <w:szCs w:val="16"/>
        </w:rPr>
        <w:t>bogados del Grupo de Apoyo Mutuo (GAM)</w:t>
      </w:r>
      <w:r w:rsidR="00BF4307" w:rsidRPr="000E1BC3">
        <w:rPr>
          <w:rFonts w:ascii="Verdana" w:hAnsi="Verdana"/>
          <w:sz w:val="16"/>
          <w:szCs w:val="16"/>
        </w:rPr>
        <w:t>, respectivamente</w:t>
      </w:r>
      <w:r w:rsidR="003C03CA" w:rsidRPr="000E1BC3">
        <w:rPr>
          <w:rFonts w:ascii="Verdana" w:hAnsi="Verdana"/>
          <w:sz w:val="16"/>
          <w:szCs w:val="16"/>
        </w:rPr>
        <w:t xml:space="preserve">; </w:t>
      </w:r>
      <w:r w:rsidR="00AE3722" w:rsidRPr="000E1BC3">
        <w:rPr>
          <w:rFonts w:ascii="Verdana" w:hAnsi="Verdana"/>
          <w:sz w:val="16"/>
          <w:szCs w:val="16"/>
        </w:rPr>
        <w:t xml:space="preserve">y d) </w:t>
      </w:r>
      <w:r w:rsidR="003C03CA" w:rsidRPr="000E1BC3">
        <w:rPr>
          <w:rFonts w:ascii="Verdana" w:hAnsi="Verdana"/>
          <w:sz w:val="16"/>
          <w:szCs w:val="16"/>
        </w:rPr>
        <w:t>por el Estado de Guatemala</w:t>
      </w:r>
      <w:r w:rsidR="00AE3722" w:rsidRPr="000E1BC3">
        <w:rPr>
          <w:rFonts w:ascii="Verdana" w:hAnsi="Verdana"/>
          <w:sz w:val="16"/>
          <w:szCs w:val="16"/>
        </w:rPr>
        <w:t>:</w:t>
      </w:r>
      <w:r w:rsidR="003C03CA" w:rsidRPr="000E1BC3">
        <w:rPr>
          <w:rFonts w:ascii="Verdana" w:hAnsi="Verdana"/>
          <w:sz w:val="16"/>
          <w:szCs w:val="16"/>
        </w:rPr>
        <w:t xml:space="preserve"> Ramiro Alejandro Contreras Escobar, Director Ejecutivo de la Comisión Presidencial por la Paz y los Derechos Humanos (</w:t>
      </w:r>
      <w:r w:rsidR="00BF4307" w:rsidRPr="000E1BC3">
        <w:rPr>
          <w:rFonts w:ascii="Verdana" w:hAnsi="Verdana"/>
          <w:sz w:val="16"/>
          <w:szCs w:val="16"/>
        </w:rPr>
        <w:t>en adelante “</w:t>
      </w:r>
      <w:r w:rsidR="003C03CA" w:rsidRPr="000E1BC3">
        <w:rPr>
          <w:rFonts w:ascii="Verdana" w:hAnsi="Verdana"/>
          <w:sz w:val="16"/>
          <w:szCs w:val="16"/>
        </w:rPr>
        <w:t>COPADEH</w:t>
      </w:r>
      <w:r w:rsidR="00BF4307" w:rsidRPr="000E1BC3">
        <w:rPr>
          <w:rFonts w:ascii="Verdana" w:hAnsi="Verdana"/>
          <w:sz w:val="16"/>
          <w:szCs w:val="16"/>
        </w:rPr>
        <w:t>”</w:t>
      </w:r>
      <w:r w:rsidR="003C03CA" w:rsidRPr="000E1BC3">
        <w:rPr>
          <w:rFonts w:ascii="Verdana" w:hAnsi="Verdana"/>
          <w:sz w:val="16"/>
          <w:szCs w:val="16"/>
        </w:rPr>
        <w:t>);</w:t>
      </w:r>
      <w:r w:rsidR="00AE3722" w:rsidRPr="000E1BC3">
        <w:rPr>
          <w:rFonts w:ascii="Verdana" w:hAnsi="Verdana"/>
          <w:sz w:val="16"/>
          <w:szCs w:val="16"/>
        </w:rPr>
        <w:t xml:space="preserve"> </w:t>
      </w:r>
      <w:proofErr w:type="spellStart"/>
      <w:r w:rsidR="003C03CA" w:rsidRPr="000E1BC3">
        <w:rPr>
          <w:rFonts w:ascii="Verdana" w:hAnsi="Verdana"/>
          <w:sz w:val="16"/>
          <w:szCs w:val="16"/>
        </w:rPr>
        <w:t>Wuelmer</w:t>
      </w:r>
      <w:proofErr w:type="spellEnd"/>
      <w:r w:rsidR="003C03CA" w:rsidRPr="000E1BC3">
        <w:rPr>
          <w:rFonts w:ascii="Verdana" w:hAnsi="Verdana"/>
          <w:sz w:val="16"/>
          <w:szCs w:val="16"/>
        </w:rPr>
        <w:t xml:space="preserve"> </w:t>
      </w:r>
      <w:proofErr w:type="spellStart"/>
      <w:r w:rsidR="003C03CA" w:rsidRPr="000E1BC3">
        <w:rPr>
          <w:rFonts w:ascii="Verdana" w:hAnsi="Verdana"/>
          <w:sz w:val="16"/>
          <w:szCs w:val="16"/>
        </w:rPr>
        <w:t>Ubener</w:t>
      </w:r>
      <w:proofErr w:type="spellEnd"/>
      <w:r w:rsidR="003C03CA" w:rsidRPr="000E1BC3">
        <w:rPr>
          <w:rFonts w:ascii="Verdana" w:hAnsi="Verdana"/>
          <w:sz w:val="16"/>
          <w:szCs w:val="16"/>
        </w:rPr>
        <w:t xml:space="preserve"> Gómez González, Agente del Estado y Procurador General de la Nación;</w:t>
      </w:r>
      <w:r w:rsidR="00AE3722" w:rsidRPr="000E1BC3">
        <w:rPr>
          <w:rFonts w:ascii="Verdana" w:hAnsi="Verdana"/>
          <w:sz w:val="16"/>
          <w:szCs w:val="16"/>
        </w:rPr>
        <w:t xml:space="preserve"> </w:t>
      </w:r>
      <w:r w:rsidR="003C03CA" w:rsidRPr="000E1BC3">
        <w:rPr>
          <w:rFonts w:ascii="Verdana" w:hAnsi="Verdana"/>
          <w:sz w:val="16"/>
          <w:szCs w:val="16"/>
        </w:rPr>
        <w:t>Walter Estuardo Beltrán Sandoval, Director de Vigilancia y Promoción de Derechos Humanos de la COPADEH;</w:t>
      </w:r>
      <w:r w:rsidR="00AE3722" w:rsidRPr="000E1BC3">
        <w:rPr>
          <w:rFonts w:ascii="Verdana" w:hAnsi="Verdana"/>
          <w:sz w:val="16"/>
          <w:szCs w:val="16"/>
        </w:rPr>
        <w:t xml:space="preserve"> </w:t>
      </w:r>
      <w:r w:rsidR="003C03CA" w:rsidRPr="000E1BC3">
        <w:rPr>
          <w:rFonts w:ascii="Verdana" w:hAnsi="Verdana"/>
          <w:sz w:val="16"/>
          <w:szCs w:val="16"/>
        </w:rPr>
        <w:t>María José del Águila Castillo y María Gabriela Castañeda Morales, Directora y Subdirectora</w:t>
      </w:r>
      <w:r w:rsidR="00BF4307" w:rsidRPr="000E1BC3">
        <w:rPr>
          <w:rFonts w:ascii="Verdana" w:hAnsi="Verdana"/>
          <w:sz w:val="16"/>
          <w:szCs w:val="16"/>
        </w:rPr>
        <w:t xml:space="preserve"> </w:t>
      </w:r>
      <w:r w:rsidR="003C03CA" w:rsidRPr="000E1BC3">
        <w:rPr>
          <w:rFonts w:ascii="Verdana" w:hAnsi="Verdana"/>
          <w:sz w:val="16"/>
          <w:szCs w:val="16"/>
        </w:rPr>
        <w:t>de Derechos Humanos del Ministerio de Relaciones Exteriores</w:t>
      </w:r>
      <w:r w:rsidR="000E1BC3" w:rsidRPr="000E1BC3">
        <w:rPr>
          <w:rFonts w:ascii="Verdana" w:hAnsi="Verdana"/>
          <w:sz w:val="16"/>
          <w:szCs w:val="16"/>
        </w:rPr>
        <w:t>, respectivamente</w:t>
      </w:r>
      <w:r w:rsidR="003C03CA" w:rsidRPr="000E1BC3">
        <w:rPr>
          <w:rFonts w:ascii="Verdana" w:hAnsi="Verdana"/>
          <w:sz w:val="16"/>
          <w:szCs w:val="16"/>
        </w:rPr>
        <w:t>;</w:t>
      </w:r>
      <w:r w:rsidR="00AE3722" w:rsidRPr="000E1BC3">
        <w:rPr>
          <w:rFonts w:ascii="Verdana" w:hAnsi="Verdana"/>
          <w:sz w:val="16"/>
          <w:szCs w:val="16"/>
        </w:rPr>
        <w:t xml:space="preserve"> </w:t>
      </w:r>
      <w:r w:rsidR="003C03CA" w:rsidRPr="000E1BC3">
        <w:rPr>
          <w:rFonts w:ascii="Verdana" w:hAnsi="Verdana"/>
          <w:sz w:val="16"/>
          <w:szCs w:val="16"/>
        </w:rPr>
        <w:t>Manuel Alejandro Barquín y Mónica Liseth Solórzano</w:t>
      </w:r>
      <w:r w:rsidR="000E1BC3" w:rsidRPr="000E1BC3">
        <w:rPr>
          <w:rFonts w:ascii="Verdana" w:hAnsi="Verdana"/>
          <w:sz w:val="16"/>
          <w:szCs w:val="16"/>
        </w:rPr>
        <w:t>,</w:t>
      </w:r>
      <w:r w:rsidR="003C03CA" w:rsidRPr="000E1BC3">
        <w:rPr>
          <w:rFonts w:ascii="Verdana" w:hAnsi="Verdana"/>
          <w:sz w:val="16"/>
          <w:szCs w:val="16"/>
        </w:rPr>
        <w:t xml:space="preserve"> Encargado de Despacho y Asesora de la Dirección de Asuntos Jurídicos del Congreso de la República de Guatemala</w:t>
      </w:r>
      <w:r w:rsidR="000E1BC3" w:rsidRPr="000E1BC3">
        <w:rPr>
          <w:rFonts w:ascii="Verdana" w:hAnsi="Verdana"/>
          <w:sz w:val="16"/>
          <w:szCs w:val="16"/>
        </w:rPr>
        <w:t>, respectivamente</w:t>
      </w:r>
      <w:r w:rsidR="003C03CA" w:rsidRPr="000E1BC3">
        <w:rPr>
          <w:rFonts w:ascii="Verdana" w:hAnsi="Verdana"/>
          <w:sz w:val="16"/>
          <w:szCs w:val="16"/>
        </w:rPr>
        <w:t>;</w:t>
      </w:r>
      <w:r w:rsidR="00AE3722" w:rsidRPr="000E1BC3">
        <w:rPr>
          <w:rFonts w:ascii="Verdana" w:hAnsi="Verdana"/>
          <w:sz w:val="16"/>
          <w:szCs w:val="16"/>
        </w:rPr>
        <w:t xml:space="preserve"> </w:t>
      </w:r>
      <w:r w:rsidR="003C03CA" w:rsidRPr="000E1BC3">
        <w:rPr>
          <w:rFonts w:ascii="Verdana" w:hAnsi="Verdana"/>
          <w:sz w:val="16"/>
          <w:szCs w:val="16"/>
        </w:rPr>
        <w:t>Jorge Rolando Valenzuela Sazo, Subdirector de Asesoría Jurídica del Ministerio de Educación;</w:t>
      </w:r>
      <w:r w:rsidR="00AE3722" w:rsidRPr="000E1BC3">
        <w:rPr>
          <w:rFonts w:ascii="Verdana" w:hAnsi="Verdana"/>
          <w:sz w:val="16"/>
          <w:szCs w:val="16"/>
        </w:rPr>
        <w:t xml:space="preserve"> </w:t>
      </w:r>
      <w:proofErr w:type="spellStart"/>
      <w:r w:rsidR="003C03CA" w:rsidRPr="000E1BC3">
        <w:rPr>
          <w:rFonts w:ascii="Verdana" w:hAnsi="Verdana"/>
          <w:sz w:val="16"/>
          <w:szCs w:val="16"/>
        </w:rPr>
        <w:t>Sindy</w:t>
      </w:r>
      <w:proofErr w:type="spellEnd"/>
      <w:r w:rsidR="003C03CA" w:rsidRPr="000E1BC3">
        <w:rPr>
          <w:rFonts w:ascii="Verdana" w:hAnsi="Verdana"/>
          <w:sz w:val="16"/>
          <w:szCs w:val="16"/>
        </w:rPr>
        <w:t xml:space="preserve"> Beatriz Gómez del Valle y Mónica Marina Mansilla Guillen, Jefa del Departamento y Profesional de Compromisos en Derechos Humanos de la COPADEH</w:t>
      </w:r>
      <w:r w:rsidR="000E1BC3" w:rsidRPr="000E1BC3">
        <w:rPr>
          <w:rFonts w:ascii="Verdana" w:hAnsi="Verdana"/>
          <w:sz w:val="16"/>
          <w:szCs w:val="16"/>
        </w:rPr>
        <w:t>, respectivamente</w:t>
      </w:r>
      <w:r w:rsidR="003C03CA" w:rsidRPr="000E1BC3">
        <w:rPr>
          <w:rFonts w:ascii="Verdana" w:hAnsi="Verdana"/>
          <w:sz w:val="16"/>
          <w:szCs w:val="16"/>
        </w:rPr>
        <w:t>;</w:t>
      </w:r>
      <w:r w:rsidR="00AE3722" w:rsidRPr="000E1BC3">
        <w:rPr>
          <w:rFonts w:ascii="Verdana" w:hAnsi="Verdana"/>
          <w:sz w:val="16"/>
          <w:szCs w:val="16"/>
        </w:rPr>
        <w:t xml:space="preserve"> </w:t>
      </w:r>
      <w:r w:rsidR="003C03CA" w:rsidRPr="000E1BC3">
        <w:rPr>
          <w:rFonts w:ascii="Verdana" w:hAnsi="Verdana"/>
          <w:sz w:val="16"/>
          <w:szCs w:val="16"/>
        </w:rPr>
        <w:t>Mario René Mérida Pichardo, Agente Alterno del Estado y Jefe de la Unidad de Asuntos Internacionales de la Procuraduría General de la Nación;</w:t>
      </w:r>
      <w:r w:rsidR="00AE3722" w:rsidRPr="000E1BC3">
        <w:rPr>
          <w:rFonts w:ascii="Verdana" w:hAnsi="Verdana"/>
          <w:sz w:val="16"/>
          <w:szCs w:val="16"/>
        </w:rPr>
        <w:t xml:space="preserve"> </w:t>
      </w:r>
      <w:r w:rsidR="003C03CA" w:rsidRPr="000E1BC3">
        <w:rPr>
          <w:rFonts w:ascii="Verdana" w:hAnsi="Verdana"/>
          <w:sz w:val="16"/>
          <w:szCs w:val="16"/>
        </w:rPr>
        <w:t>Tomás Ramírez López y Elena Sut Ren, Jefe y Agente Fiscal de la Fiscalía de Derechos Humanos del Ministerio Público</w:t>
      </w:r>
      <w:r w:rsidR="000E1BC3" w:rsidRPr="000E1BC3">
        <w:rPr>
          <w:rFonts w:ascii="Verdana" w:hAnsi="Verdana"/>
          <w:sz w:val="16"/>
          <w:szCs w:val="16"/>
        </w:rPr>
        <w:t>, respectivamente</w:t>
      </w:r>
      <w:r w:rsidR="003C03CA" w:rsidRPr="000E1BC3">
        <w:rPr>
          <w:rFonts w:ascii="Verdana" w:hAnsi="Verdana"/>
          <w:sz w:val="16"/>
          <w:szCs w:val="16"/>
        </w:rPr>
        <w:t>;</w:t>
      </w:r>
      <w:r w:rsidR="00AE3722" w:rsidRPr="000E1BC3">
        <w:rPr>
          <w:rFonts w:ascii="Verdana" w:hAnsi="Verdana"/>
          <w:sz w:val="16"/>
          <w:szCs w:val="16"/>
        </w:rPr>
        <w:t xml:space="preserve"> </w:t>
      </w:r>
      <w:r w:rsidR="003C03CA" w:rsidRPr="000E1BC3">
        <w:rPr>
          <w:rFonts w:ascii="Verdana" w:hAnsi="Verdana"/>
          <w:sz w:val="16"/>
          <w:szCs w:val="16"/>
        </w:rPr>
        <w:t>Elisa María Díaz Portillo, Asesora de Despacho de la Procuraduría General de la Nación;</w:t>
      </w:r>
      <w:r w:rsidR="00AE3722" w:rsidRPr="000E1BC3">
        <w:rPr>
          <w:rFonts w:ascii="Verdana" w:hAnsi="Verdana"/>
          <w:sz w:val="16"/>
          <w:szCs w:val="16"/>
        </w:rPr>
        <w:t xml:space="preserve"> </w:t>
      </w:r>
      <w:r w:rsidR="003C03CA" w:rsidRPr="000E1BC3">
        <w:rPr>
          <w:rFonts w:ascii="Verdana" w:hAnsi="Verdana"/>
          <w:sz w:val="16"/>
          <w:szCs w:val="16"/>
        </w:rPr>
        <w:t xml:space="preserve">Kevin Estrada </w:t>
      </w:r>
      <w:proofErr w:type="spellStart"/>
      <w:r w:rsidR="003C03CA" w:rsidRPr="000E1BC3">
        <w:rPr>
          <w:rFonts w:ascii="Verdana" w:hAnsi="Verdana"/>
          <w:sz w:val="16"/>
          <w:szCs w:val="16"/>
        </w:rPr>
        <w:t>Zaghi</w:t>
      </w:r>
      <w:proofErr w:type="spellEnd"/>
      <w:r w:rsidR="003C03CA" w:rsidRPr="000E1BC3">
        <w:rPr>
          <w:rFonts w:ascii="Verdana" w:hAnsi="Verdana"/>
          <w:sz w:val="16"/>
          <w:szCs w:val="16"/>
        </w:rPr>
        <w:t>, Asesora en Derechos Humanos en el Despacho del Ministerio de Gobernación;</w:t>
      </w:r>
      <w:r w:rsidR="00AE3722" w:rsidRPr="000E1BC3">
        <w:rPr>
          <w:rFonts w:ascii="Verdana" w:hAnsi="Verdana"/>
          <w:sz w:val="16"/>
          <w:szCs w:val="16"/>
        </w:rPr>
        <w:t xml:space="preserve"> </w:t>
      </w:r>
      <w:r w:rsidR="003C03CA" w:rsidRPr="000E1BC3">
        <w:rPr>
          <w:rFonts w:ascii="Verdana" w:hAnsi="Verdana"/>
          <w:sz w:val="16"/>
          <w:szCs w:val="16"/>
        </w:rPr>
        <w:t xml:space="preserve">Jazmín Isabel López </w:t>
      </w:r>
      <w:proofErr w:type="spellStart"/>
      <w:r w:rsidR="003C03CA" w:rsidRPr="000E1BC3">
        <w:rPr>
          <w:rFonts w:ascii="Verdana" w:hAnsi="Verdana"/>
          <w:sz w:val="16"/>
          <w:szCs w:val="16"/>
        </w:rPr>
        <w:t>López</w:t>
      </w:r>
      <w:proofErr w:type="spellEnd"/>
      <w:r w:rsidR="003C03CA" w:rsidRPr="000E1BC3">
        <w:rPr>
          <w:rFonts w:ascii="Verdana" w:hAnsi="Verdana"/>
          <w:sz w:val="16"/>
          <w:szCs w:val="16"/>
        </w:rPr>
        <w:t xml:space="preserve"> y Karen María Anleu Mc Donald, Profesionales Jurídicas de la Unidad de Asuntos Internacionales de la Procuraduría General de la Nación;</w:t>
      </w:r>
      <w:r w:rsidR="00AE3722" w:rsidRPr="000E1BC3">
        <w:rPr>
          <w:rFonts w:ascii="Verdana" w:hAnsi="Verdana"/>
          <w:sz w:val="16"/>
          <w:szCs w:val="16"/>
        </w:rPr>
        <w:t xml:space="preserve"> </w:t>
      </w:r>
      <w:r w:rsidR="003C03CA" w:rsidRPr="000E1BC3">
        <w:rPr>
          <w:rFonts w:ascii="Verdana" w:hAnsi="Verdana"/>
          <w:sz w:val="16"/>
          <w:szCs w:val="16"/>
        </w:rPr>
        <w:t>Carla Gabriela Morales Ramírez, Asesora Profesional de la Dirección de Derechos Humanos del Ministerio de Relaciones Exteriores, y</w:t>
      </w:r>
      <w:r w:rsidR="00AE3722" w:rsidRPr="000E1BC3">
        <w:rPr>
          <w:rFonts w:ascii="Verdana" w:hAnsi="Verdana"/>
          <w:sz w:val="16"/>
          <w:szCs w:val="16"/>
        </w:rPr>
        <w:t xml:space="preserve"> </w:t>
      </w:r>
      <w:r w:rsidR="003C03CA" w:rsidRPr="000E1BC3">
        <w:rPr>
          <w:rFonts w:ascii="Verdana" w:hAnsi="Verdana"/>
          <w:sz w:val="16"/>
          <w:szCs w:val="16"/>
        </w:rPr>
        <w:t xml:space="preserve">Milton Estuardo Marroquín López y Gerber </w:t>
      </w:r>
      <w:proofErr w:type="spellStart"/>
      <w:r w:rsidR="003C03CA" w:rsidRPr="000E1BC3">
        <w:rPr>
          <w:rFonts w:ascii="Verdana" w:hAnsi="Verdana"/>
          <w:sz w:val="16"/>
          <w:szCs w:val="16"/>
        </w:rPr>
        <w:t>Antonell</w:t>
      </w:r>
      <w:proofErr w:type="spellEnd"/>
      <w:r w:rsidR="003C03CA" w:rsidRPr="000E1BC3">
        <w:rPr>
          <w:rFonts w:ascii="Verdana" w:hAnsi="Verdana"/>
          <w:sz w:val="16"/>
          <w:szCs w:val="16"/>
        </w:rPr>
        <w:t xml:space="preserve"> Estrada </w:t>
      </w:r>
      <w:proofErr w:type="spellStart"/>
      <w:r w:rsidR="003C03CA" w:rsidRPr="000E1BC3">
        <w:rPr>
          <w:rFonts w:ascii="Verdana" w:hAnsi="Verdana"/>
          <w:sz w:val="16"/>
          <w:szCs w:val="16"/>
        </w:rPr>
        <w:t>Estrada</w:t>
      </w:r>
      <w:proofErr w:type="spellEnd"/>
      <w:r w:rsidR="003C03CA" w:rsidRPr="000E1BC3">
        <w:rPr>
          <w:rFonts w:ascii="Verdana" w:hAnsi="Verdana"/>
          <w:sz w:val="16"/>
          <w:szCs w:val="16"/>
        </w:rPr>
        <w:t>, Agentes de la Policía Nacional Civil.</w:t>
      </w:r>
    </w:p>
  </w:footnote>
  <w:footnote w:id="4">
    <w:p w14:paraId="672D5BBB" w14:textId="6960B60B" w:rsidR="00866207" w:rsidRPr="000E1BC3" w:rsidRDefault="00866207" w:rsidP="000E1BC3">
      <w:pPr>
        <w:pStyle w:val="Textonotapie"/>
        <w:tabs>
          <w:tab w:val="left" w:pos="567"/>
        </w:tabs>
        <w:jc w:val="both"/>
        <w:rPr>
          <w:rFonts w:ascii="Verdana" w:hAnsi="Verdana"/>
          <w:sz w:val="16"/>
          <w:szCs w:val="16"/>
        </w:rPr>
      </w:pPr>
      <w:r w:rsidRPr="000E1BC3">
        <w:rPr>
          <w:rStyle w:val="Refdenotaalpie"/>
          <w:rFonts w:ascii="Verdana" w:hAnsi="Verdana"/>
          <w:sz w:val="16"/>
          <w:szCs w:val="16"/>
        </w:rPr>
        <w:footnoteRef/>
      </w:r>
      <w:r w:rsidRPr="000E1BC3">
        <w:rPr>
          <w:rFonts w:ascii="Verdana" w:hAnsi="Verdana"/>
          <w:sz w:val="16"/>
          <w:szCs w:val="16"/>
        </w:rPr>
        <w:t xml:space="preserve"> </w:t>
      </w:r>
      <w:r w:rsidRPr="000E1BC3">
        <w:rPr>
          <w:rFonts w:ascii="Verdana" w:hAnsi="Verdana"/>
          <w:sz w:val="16"/>
          <w:szCs w:val="16"/>
        </w:rPr>
        <w:tab/>
        <w:t>Grupo de Apoyo Mutuo (“GAM”).</w:t>
      </w:r>
    </w:p>
  </w:footnote>
  <w:footnote w:id="5">
    <w:p w14:paraId="47E01C9A" w14:textId="44BA32B0" w:rsidR="00650DF4" w:rsidRPr="000E1BC3" w:rsidRDefault="00650DF4" w:rsidP="000E1BC3">
      <w:pPr>
        <w:pStyle w:val="Textonotapie"/>
        <w:tabs>
          <w:tab w:val="left" w:pos="567"/>
        </w:tabs>
        <w:jc w:val="both"/>
        <w:rPr>
          <w:rFonts w:ascii="Verdana" w:hAnsi="Verdana"/>
          <w:sz w:val="16"/>
          <w:szCs w:val="16"/>
        </w:rPr>
      </w:pPr>
      <w:r w:rsidRPr="000E1BC3">
        <w:rPr>
          <w:rStyle w:val="Refdenotaalpie"/>
          <w:rFonts w:ascii="Verdana" w:hAnsi="Verdana"/>
          <w:sz w:val="16"/>
          <w:szCs w:val="16"/>
        </w:rPr>
        <w:footnoteRef/>
      </w:r>
      <w:r w:rsidRPr="000E1BC3">
        <w:rPr>
          <w:rFonts w:ascii="Verdana" w:hAnsi="Verdana"/>
          <w:sz w:val="16"/>
          <w:szCs w:val="16"/>
        </w:rPr>
        <w:t xml:space="preserve"> </w:t>
      </w:r>
      <w:r w:rsidRPr="000E1BC3">
        <w:rPr>
          <w:rFonts w:ascii="Verdana" w:hAnsi="Verdana"/>
          <w:sz w:val="16"/>
          <w:szCs w:val="16"/>
        </w:rPr>
        <w:tab/>
      </w:r>
      <w:r w:rsidR="00866207" w:rsidRPr="000E1BC3">
        <w:rPr>
          <w:rFonts w:ascii="Verdana" w:hAnsi="Verdana"/>
          <w:sz w:val="16"/>
          <w:szCs w:val="16"/>
        </w:rPr>
        <w:t>En el ejercicio de su función jurisdiccional de supervisar el cumplimiento de sus decisiones, facultad que además se desprende de lo dispuesto en los artículos 33, 62.1, 62.3 y 65 de la Convención Americana sobre Derechos Humanos y 30 de su Estatuto, y se encuentra regulada en el artículo 69 de su Reglamento.</w:t>
      </w:r>
    </w:p>
  </w:footnote>
  <w:footnote w:id="6">
    <w:p w14:paraId="597021B7" w14:textId="3C026D50" w:rsidR="00F93A1A" w:rsidRPr="000E1BC3" w:rsidRDefault="00F93A1A" w:rsidP="000E1BC3">
      <w:pPr>
        <w:pStyle w:val="Textonotapie"/>
        <w:tabs>
          <w:tab w:val="left" w:pos="567"/>
        </w:tabs>
        <w:jc w:val="both"/>
        <w:rPr>
          <w:rFonts w:ascii="Verdana" w:hAnsi="Verdana"/>
          <w:sz w:val="16"/>
          <w:szCs w:val="16"/>
        </w:rPr>
      </w:pPr>
      <w:r w:rsidRPr="000E1BC3">
        <w:rPr>
          <w:rStyle w:val="Refdenotaalpie"/>
          <w:rFonts w:ascii="Verdana" w:hAnsi="Verdana"/>
          <w:sz w:val="16"/>
          <w:szCs w:val="16"/>
        </w:rPr>
        <w:footnoteRef/>
      </w:r>
      <w:r w:rsidRPr="000E1BC3">
        <w:rPr>
          <w:rFonts w:ascii="Verdana" w:hAnsi="Verdana"/>
          <w:sz w:val="16"/>
          <w:szCs w:val="16"/>
        </w:rPr>
        <w:t xml:space="preserve"> </w:t>
      </w:r>
      <w:r w:rsidRPr="000E1BC3">
        <w:rPr>
          <w:rFonts w:ascii="Verdana" w:hAnsi="Verdana"/>
          <w:sz w:val="16"/>
          <w:szCs w:val="16"/>
        </w:rPr>
        <w:tab/>
        <w:t>Guatemala ha dado cumplimiento total a las medidas relativas a: (i) impulsar el cambio de nombre de la escuela pública “Julia Ydigoras Fuentes” por el de Edgar Fernando García, de conformidad con lo estipulado en el acuerdo de reparaciones y lo establecido en el párrafo 215 de la Sentencia (</w:t>
      </w:r>
      <w:r w:rsidRPr="000E1BC3">
        <w:rPr>
          <w:rFonts w:ascii="Verdana" w:hAnsi="Verdana"/>
          <w:i/>
          <w:iCs/>
          <w:sz w:val="16"/>
          <w:szCs w:val="16"/>
        </w:rPr>
        <w:t>punto dispositivo octavo de la Sentencia</w:t>
      </w:r>
      <w:r w:rsidRPr="000E1BC3">
        <w:rPr>
          <w:rFonts w:ascii="Verdana" w:hAnsi="Verdana"/>
          <w:sz w:val="16"/>
          <w:szCs w:val="16"/>
        </w:rPr>
        <w:t>)</w:t>
      </w:r>
      <w:r w:rsidRPr="000E1BC3">
        <w:rPr>
          <w:rFonts w:ascii="Verdana" w:hAnsi="Verdana"/>
          <w:iCs/>
          <w:sz w:val="16"/>
          <w:szCs w:val="16"/>
        </w:rPr>
        <w:t>;</w:t>
      </w:r>
      <w:r w:rsidRPr="000E1BC3">
        <w:rPr>
          <w:rFonts w:ascii="Verdana" w:hAnsi="Verdana"/>
          <w:sz w:val="16"/>
          <w:szCs w:val="16"/>
        </w:rPr>
        <w:t xml:space="preserve"> (</w:t>
      </w:r>
      <w:proofErr w:type="spellStart"/>
      <w:r w:rsidRPr="000E1BC3">
        <w:rPr>
          <w:rFonts w:ascii="Verdana" w:hAnsi="Verdana"/>
          <w:sz w:val="16"/>
          <w:szCs w:val="16"/>
        </w:rPr>
        <w:t>ii</w:t>
      </w:r>
      <w:proofErr w:type="spellEnd"/>
      <w:r w:rsidRPr="000E1BC3">
        <w:rPr>
          <w:rFonts w:ascii="Verdana" w:hAnsi="Verdana"/>
          <w:sz w:val="16"/>
          <w:szCs w:val="16"/>
        </w:rPr>
        <w:t>) pagar la cantidad fijada en el acuerdo de reparaciones por concepto de indemnizaciones por daños materiales e inmateriales, así como atención médica y psicológica, en los términos de</w:t>
      </w:r>
      <w:r w:rsidR="00484735">
        <w:rPr>
          <w:rFonts w:ascii="Verdana" w:hAnsi="Verdana"/>
          <w:sz w:val="16"/>
          <w:szCs w:val="16"/>
        </w:rPr>
        <w:t xml:space="preserve"> </w:t>
      </w:r>
      <w:r w:rsidRPr="000E1BC3">
        <w:rPr>
          <w:rFonts w:ascii="Verdana" w:hAnsi="Verdana"/>
          <w:sz w:val="16"/>
          <w:szCs w:val="16"/>
        </w:rPr>
        <w:t>l</w:t>
      </w:r>
      <w:r w:rsidR="00484735">
        <w:rPr>
          <w:rFonts w:ascii="Verdana" w:hAnsi="Verdana"/>
          <w:sz w:val="16"/>
          <w:szCs w:val="16"/>
        </w:rPr>
        <w:t>os</w:t>
      </w:r>
      <w:r w:rsidRPr="000E1BC3">
        <w:rPr>
          <w:rFonts w:ascii="Verdana" w:hAnsi="Verdana"/>
          <w:sz w:val="16"/>
          <w:szCs w:val="16"/>
        </w:rPr>
        <w:t xml:space="preserve"> párrafo</w:t>
      </w:r>
      <w:r w:rsidR="00484735">
        <w:rPr>
          <w:rFonts w:ascii="Verdana" w:hAnsi="Verdana"/>
          <w:sz w:val="16"/>
          <w:szCs w:val="16"/>
        </w:rPr>
        <w:t>s</w:t>
      </w:r>
      <w:r w:rsidRPr="000E1BC3">
        <w:rPr>
          <w:rFonts w:ascii="Verdana" w:hAnsi="Verdana"/>
          <w:sz w:val="16"/>
          <w:szCs w:val="16"/>
        </w:rPr>
        <w:t xml:space="preserve"> </w:t>
      </w:r>
      <w:r w:rsidR="00484735">
        <w:rPr>
          <w:rFonts w:ascii="Verdana" w:hAnsi="Verdana"/>
          <w:sz w:val="16"/>
          <w:szCs w:val="16"/>
        </w:rPr>
        <w:t xml:space="preserve">225 a </w:t>
      </w:r>
      <w:r w:rsidRPr="000E1BC3">
        <w:rPr>
          <w:rFonts w:ascii="Verdana" w:hAnsi="Verdana"/>
          <w:sz w:val="16"/>
          <w:szCs w:val="16"/>
        </w:rPr>
        <w:t xml:space="preserve">227 de la Sentencia </w:t>
      </w:r>
      <w:r w:rsidRPr="000E1BC3">
        <w:rPr>
          <w:rFonts w:ascii="Verdana" w:hAnsi="Verdana"/>
          <w:i/>
          <w:sz w:val="16"/>
          <w:szCs w:val="16"/>
        </w:rPr>
        <w:t>(punto dispositivo undécimo de la Sentencia)</w:t>
      </w:r>
      <w:r w:rsidRPr="000E1BC3">
        <w:rPr>
          <w:rFonts w:ascii="Verdana" w:hAnsi="Verdana"/>
          <w:sz w:val="16"/>
          <w:szCs w:val="16"/>
        </w:rPr>
        <w:t>; y (</w:t>
      </w:r>
      <w:proofErr w:type="spellStart"/>
      <w:r w:rsidRPr="000E1BC3">
        <w:rPr>
          <w:rFonts w:ascii="Verdana" w:hAnsi="Verdana"/>
          <w:sz w:val="16"/>
          <w:szCs w:val="16"/>
        </w:rPr>
        <w:t>iii</w:t>
      </w:r>
      <w:proofErr w:type="spellEnd"/>
      <w:r w:rsidRPr="000E1BC3">
        <w:rPr>
          <w:rFonts w:ascii="Verdana" w:hAnsi="Verdana"/>
          <w:sz w:val="16"/>
          <w:szCs w:val="16"/>
        </w:rPr>
        <w:t xml:space="preserve">) pagar la cantidad fijada en el acuerdo de reparaciones y el párrafo 231 de la Sentencia por el reintegro de costas y gastos </w:t>
      </w:r>
      <w:r w:rsidRPr="000E1BC3">
        <w:rPr>
          <w:rFonts w:ascii="Verdana" w:hAnsi="Verdana"/>
          <w:i/>
          <w:sz w:val="16"/>
          <w:szCs w:val="16"/>
        </w:rPr>
        <w:t>(punto dispositivo duodécimo de la Sentencia)</w:t>
      </w:r>
      <w:r w:rsidRPr="000E1BC3">
        <w:rPr>
          <w:rFonts w:ascii="Verdana" w:hAnsi="Verdana"/>
          <w:sz w:val="16"/>
          <w:szCs w:val="16"/>
        </w:rPr>
        <w:t>.</w:t>
      </w:r>
    </w:p>
  </w:footnote>
  <w:footnote w:id="7">
    <w:p w14:paraId="247368A6" w14:textId="134F3E43" w:rsidR="00F93A1A" w:rsidRPr="000E1BC3" w:rsidRDefault="00F93A1A" w:rsidP="000E1BC3">
      <w:pPr>
        <w:pStyle w:val="Textonotapie"/>
        <w:tabs>
          <w:tab w:val="left" w:pos="567"/>
        </w:tabs>
        <w:jc w:val="both"/>
        <w:rPr>
          <w:rFonts w:ascii="Verdana" w:hAnsi="Verdana"/>
          <w:sz w:val="16"/>
          <w:szCs w:val="16"/>
        </w:rPr>
      </w:pPr>
      <w:r w:rsidRPr="000E1BC3">
        <w:rPr>
          <w:rStyle w:val="Refdenotaalpie"/>
          <w:rFonts w:ascii="Verdana" w:hAnsi="Verdana"/>
          <w:sz w:val="16"/>
          <w:szCs w:val="16"/>
        </w:rPr>
        <w:footnoteRef/>
      </w:r>
      <w:r w:rsidRPr="000E1BC3">
        <w:rPr>
          <w:rFonts w:ascii="Verdana" w:hAnsi="Verdana"/>
          <w:sz w:val="16"/>
          <w:szCs w:val="16"/>
        </w:rPr>
        <w:t xml:space="preserve"> </w:t>
      </w:r>
      <w:r w:rsidRPr="000E1BC3">
        <w:rPr>
          <w:rFonts w:ascii="Verdana" w:hAnsi="Verdana"/>
          <w:sz w:val="16"/>
          <w:szCs w:val="16"/>
        </w:rPr>
        <w:tab/>
        <w:t xml:space="preserve">Guatemala ha dado cumplimiento parcial a la obligación de investigar, juzgar y, en su caso, sancionar a los responsables de la desaparición forzada de Edgar Fernando García </w:t>
      </w:r>
      <w:r w:rsidRPr="000E1BC3">
        <w:rPr>
          <w:rFonts w:ascii="Verdana" w:hAnsi="Verdana"/>
          <w:i/>
          <w:sz w:val="16"/>
          <w:szCs w:val="16"/>
        </w:rPr>
        <w:t>(punto dispositivo segundo de la Sentencia)</w:t>
      </w:r>
      <w:r w:rsidR="00555EFF">
        <w:rPr>
          <w:rFonts w:ascii="Verdana" w:hAnsi="Verdana"/>
          <w:sz w:val="16"/>
          <w:szCs w:val="16"/>
        </w:rPr>
        <w:t>,</w:t>
      </w:r>
      <w:r w:rsidRPr="000E1BC3">
        <w:rPr>
          <w:rFonts w:ascii="Verdana" w:hAnsi="Verdana"/>
          <w:sz w:val="16"/>
          <w:szCs w:val="16"/>
        </w:rPr>
        <w:t xml:space="preserve"> tomando en cuenta las decisiones judiciales que resolvieron sobre la responsabilidad penal de cuatro agentes policiales por el delito de desaparición forzada. </w:t>
      </w:r>
      <w:r w:rsidR="00555EFF">
        <w:rPr>
          <w:rFonts w:ascii="Verdana" w:hAnsi="Verdana"/>
          <w:sz w:val="16"/>
          <w:szCs w:val="16"/>
        </w:rPr>
        <w:t>En la resolución se indicó que c</w:t>
      </w:r>
      <w:r w:rsidRPr="000E1BC3">
        <w:rPr>
          <w:rFonts w:ascii="Verdana" w:hAnsi="Verdana"/>
          <w:sz w:val="16"/>
          <w:szCs w:val="16"/>
        </w:rPr>
        <w:t>ontin</w:t>
      </w:r>
      <w:r w:rsidR="00555EFF">
        <w:rPr>
          <w:rFonts w:ascii="Verdana" w:hAnsi="Verdana"/>
          <w:sz w:val="16"/>
          <w:szCs w:val="16"/>
        </w:rPr>
        <w:t>uaba</w:t>
      </w:r>
      <w:r w:rsidR="00533D76">
        <w:rPr>
          <w:rFonts w:ascii="Verdana" w:hAnsi="Verdana"/>
          <w:sz w:val="16"/>
          <w:szCs w:val="16"/>
        </w:rPr>
        <w:t xml:space="preserve"> </w:t>
      </w:r>
      <w:r w:rsidRPr="000E1BC3">
        <w:rPr>
          <w:rFonts w:ascii="Verdana" w:hAnsi="Verdana"/>
          <w:sz w:val="16"/>
          <w:szCs w:val="16"/>
        </w:rPr>
        <w:t>pendiente que el Estado inform</w:t>
      </w:r>
      <w:r w:rsidR="00555EFF">
        <w:rPr>
          <w:rFonts w:ascii="Verdana" w:hAnsi="Verdana"/>
          <w:sz w:val="16"/>
          <w:szCs w:val="16"/>
        </w:rPr>
        <w:t>ara</w:t>
      </w:r>
      <w:r w:rsidRPr="000E1BC3">
        <w:rPr>
          <w:rFonts w:ascii="Verdana" w:hAnsi="Verdana"/>
          <w:sz w:val="16"/>
          <w:szCs w:val="16"/>
        </w:rPr>
        <w:t xml:space="preserve"> sobre el proceso en trámite para la determinación de otras posibles responsabilidades y sobre la investigación respecto a posibles responsabilidades de miembros del ejército por los hechos del presente caso.</w:t>
      </w:r>
    </w:p>
  </w:footnote>
  <w:footnote w:id="8">
    <w:p w14:paraId="12D8FA34" w14:textId="4729CA41" w:rsidR="00A704E0" w:rsidRPr="000E1BC3" w:rsidRDefault="00A704E0" w:rsidP="000E1BC3">
      <w:pPr>
        <w:tabs>
          <w:tab w:val="left" w:pos="567"/>
        </w:tabs>
        <w:autoSpaceDE w:val="0"/>
        <w:autoSpaceDN w:val="0"/>
        <w:adjustRightInd w:val="0"/>
        <w:spacing w:after="0" w:line="240" w:lineRule="auto"/>
        <w:jc w:val="both"/>
        <w:rPr>
          <w:rFonts w:ascii="Verdana" w:hAnsi="Verdana" w:cs="Arial"/>
          <w:sz w:val="16"/>
          <w:szCs w:val="16"/>
        </w:rPr>
      </w:pPr>
      <w:r w:rsidRPr="000E1BC3">
        <w:rPr>
          <w:rStyle w:val="Refdenotaalpie"/>
          <w:rFonts w:ascii="Verdana" w:hAnsi="Verdana"/>
          <w:sz w:val="16"/>
          <w:szCs w:val="16"/>
        </w:rPr>
        <w:footnoteRef/>
      </w:r>
      <w:r w:rsidRPr="000E1BC3">
        <w:rPr>
          <w:rFonts w:ascii="Verdana" w:hAnsi="Verdana"/>
          <w:sz w:val="16"/>
          <w:szCs w:val="16"/>
        </w:rPr>
        <w:t xml:space="preserve"> </w:t>
      </w:r>
      <w:r w:rsidRPr="000E1BC3">
        <w:rPr>
          <w:rFonts w:ascii="Verdana" w:hAnsi="Verdana"/>
          <w:sz w:val="16"/>
          <w:szCs w:val="16"/>
        </w:rPr>
        <w:tab/>
      </w:r>
      <w:r w:rsidR="00A668DA" w:rsidRPr="000E1BC3">
        <w:rPr>
          <w:rFonts w:ascii="Verdana" w:hAnsi="Verdana"/>
          <w:sz w:val="16"/>
          <w:szCs w:val="16"/>
        </w:rPr>
        <w:t>E</w:t>
      </w:r>
      <w:r w:rsidR="004359BC" w:rsidRPr="000E1BC3">
        <w:rPr>
          <w:rFonts w:ascii="Verdana" w:hAnsi="Verdana"/>
          <w:sz w:val="16"/>
          <w:szCs w:val="16"/>
        </w:rPr>
        <w:t>l</w:t>
      </w:r>
      <w:r w:rsidRPr="000E1BC3">
        <w:rPr>
          <w:rFonts w:ascii="Verdana" w:hAnsi="Verdana"/>
          <w:sz w:val="16"/>
          <w:szCs w:val="16"/>
        </w:rPr>
        <w:t xml:space="preserve"> </w:t>
      </w:r>
      <w:r w:rsidR="004359BC" w:rsidRPr="000E1BC3">
        <w:rPr>
          <w:rFonts w:ascii="Verdana" w:hAnsi="Verdana"/>
          <w:sz w:val="16"/>
          <w:szCs w:val="16"/>
        </w:rPr>
        <w:t xml:space="preserve">5 de </w:t>
      </w:r>
      <w:r w:rsidRPr="000E1BC3">
        <w:rPr>
          <w:rFonts w:ascii="Verdana" w:hAnsi="Verdana"/>
          <w:sz w:val="16"/>
          <w:szCs w:val="16"/>
        </w:rPr>
        <w:t>octubre de 2023, l</w:t>
      </w:r>
      <w:r w:rsidR="008641BC" w:rsidRPr="000E1BC3">
        <w:rPr>
          <w:rFonts w:ascii="Verdana" w:hAnsi="Verdana"/>
          <w:sz w:val="16"/>
          <w:szCs w:val="16"/>
        </w:rPr>
        <w:t>os</w:t>
      </w:r>
      <w:r w:rsidRPr="000E1BC3">
        <w:rPr>
          <w:rFonts w:ascii="Verdana" w:hAnsi="Verdana"/>
          <w:sz w:val="16"/>
          <w:szCs w:val="16"/>
        </w:rPr>
        <w:t xml:space="preserve"> representa</w:t>
      </w:r>
      <w:r w:rsidR="008641BC" w:rsidRPr="000E1BC3">
        <w:rPr>
          <w:rFonts w:ascii="Verdana" w:hAnsi="Verdana"/>
          <w:sz w:val="16"/>
          <w:szCs w:val="16"/>
        </w:rPr>
        <w:t xml:space="preserve">ntes </w:t>
      </w:r>
      <w:r w:rsidRPr="000E1BC3">
        <w:rPr>
          <w:rFonts w:ascii="Verdana" w:hAnsi="Verdana"/>
          <w:sz w:val="16"/>
          <w:szCs w:val="16"/>
        </w:rPr>
        <w:t>manifest</w:t>
      </w:r>
      <w:r w:rsidR="008641BC" w:rsidRPr="000E1BC3">
        <w:rPr>
          <w:rFonts w:ascii="Verdana" w:hAnsi="Verdana"/>
          <w:sz w:val="16"/>
          <w:szCs w:val="16"/>
        </w:rPr>
        <w:t>aron</w:t>
      </w:r>
      <w:r w:rsidR="00A668DA" w:rsidRPr="000E1BC3">
        <w:rPr>
          <w:rFonts w:ascii="Verdana" w:hAnsi="Verdana"/>
          <w:sz w:val="16"/>
          <w:szCs w:val="16"/>
        </w:rPr>
        <w:t xml:space="preserve"> que</w:t>
      </w:r>
      <w:r w:rsidRPr="000E1BC3">
        <w:rPr>
          <w:rFonts w:ascii="Verdana" w:hAnsi="Verdana"/>
          <w:sz w:val="16"/>
          <w:szCs w:val="16"/>
        </w:rPr>
        <w:t xml:space="preserve"> “</w:t>
      </w:r>
      <w:r w:rsidRPr="000E1BC3">
        <w:rPr>
          <w:rFonts w:ascii="Verdana" w:hAnsi="Verdana" w:cs="Arial"/>
          <w:sz w:val="16"/>
          <w:szCs w:val="16"/>
        </w:rPr>
        <w:t>tiene</w:t>
      </w:r>
      <w:r w:rsidR="008641BC" w:rsidRPr="000E1BC3">
        <w:rPr>
          <w:rFonts w:ascii="Verdana" w:hAnsi="Verdana" w:cs="Arial"/>
          <w:sz w:val="16"/>
          <w:szCs w:val="16"/>
        </w:rPr>
        <w:t>[n]</w:t>
      </w:r>
      <w:r w:rsidRPr="000E1BC3">
        <w:rPr>
          <w:rFonts w:ascii="Verdana" w:hAnsi="Verdana" w:cs="Arial"/>
          <w:sz w:val="16"/>
          <w:szCs w:val="16"/>
        </w:rPr>
        <w:t xml:space="preserve"> conocimiento que ha ocurrido la publicación en los términos expuestos por </w:t>
      </w:r>
      <w:r w:rsidR="00484735">
        <w:rPr>
          <w:rFonts w:ascii="Verdana" w:hAnsi="Verdana" w:cs="Arial"/>
          <w:sz w:val="16"/>
          <w:szCs w:val="16"/>
        </w:rPr>
        <w:t>[… el]</w:t>
      </w:r>
      <w:r w:rsidRPr="000E1BC3">
        <w:rPr>
          <w:rFonts w:ascii="Verdana" w:hAnsi="Verdana" w:cs="Arial"/>
          <w:sz w:val="16"/>
          <w:szCs w:val="16"/>
        </w:rPr>
        <w:t xml:space="preserve"> Estado”.</w:t>
      </w:r>
    </w:p>
  </w:footnote>
  <w:footnote w:id="9">
    <w:p w14:paraId="345DC2CB" w14:textId="24A9DDBA" w:rsidR="00A704E0" w:rsidRPr="000E1BC3" w:rsidRDefault="00A704E0" w:rsidP="000E1BC3">
      <w:pPr>
        <w:pStyle w:val="Textonotapie"/>
        <w:tabs>
          <w:tab w:val="left" w:pos="567"/>
        </w:tabs>
        <w:jc w:val="both"/>
        <w:rPr>
          <w:rFonts w:ascii="Verdana" w:hAnsi="Verdana"/>
          <w:sz w:val="16"/>
          <w:szCs w:val="16"/>
        </w:rPr>
      </w:pPr>
      <w:r w:rsidRPr="000E1BC3">
        <w:rPr>
          <w:rStyle w:val="Refdenotaalpie"/>
          <w:rFonts w:ascii="Verdana" w:hAnsi="Verdana"/>
          <w:sz w:val="16"/>
          <w:szCs w:val="16"/>
        </w:rPr>
        <w:footnoteRef/>
      </w:r>
      <w:r w:rsidRPr="000E1BC3">
        <w:rPr>
          <w:rFonts w:ascii="Verdana" w:hAnsi="Verdana"/>
          <w:sz w:val="16"/>
          <w:szCs w:val="16"/>
        </w:rPr>
        <w:t xml:space="preserve"> </w:t>
      </w:r>
      <w:r w:rsidRPr="000E1BC3">
        <w:rPr>
          <w:rFonts w:ascii="Verdana" w:hAnsi="Verdana"/>
          <w:sz w:val="16"/>
          <w:szCs w:val="16"/>
        </w:rPr>
        <w:tab/>
      </w:r>
      <w:r w:rsidR="00A668DA" w:rsidRPr="000E1BC3">
        <w:rPr>
          <w:rFonts w:ascii="Verdana" w:hAnsi="Verdana"/>
          <w:i/>
          <w:iCs/>
          <w:sz w:val="16"/>
          <w:szCs w:val="16"/>
        </w:rPr>
        <w:t>Cfr.</w:t>
      </w:r>
      <w:r w:rsidR="00A668DA" w:rsidRPr="000E1BC3">
        <w:rPr>
          <w:rFonts w:ascii="Verdana" w:hAnsi="Verdana"/>
          <w:sz w:val="16"/>
          <w:szCs w:val="16"/>
        </w:rPr>
        <w:t xml:space="preserve"> Copia de la publicación en el Diario Oficial</w:t>
      </w:r>
      <w:r w:rsidR="00484735">
        <w:rPr>
          <w:rFonts w:ascii="Verdana" w:hAnsi="Verdana"/>
          <w:sz w:val="16"/>
          <w:szCs w:val="16"/>
        </w:rPr>
        <w:t xml:space="preserve"> de</w:t>
      </w:r>
      <w:r w:rsidR="00A668DA" w:rsidRPr="000E1BC3">
        <w:rPr>
          <w:rFonts w:ascii="Verdana" w:hAnsi="Verdana"/>
          <w:sz w:val="16"/>
          <w:szCs w:val="16"/>
        </w:rPr>
        <w:t xml:space="preserve"> “Centro América” de 25 de mayo de 2023, pág. 41 </w:t>
      </w:r>
      <w:r w:rsidRPr="000E1BC3">
        <w:rPr>
          <w:rFonts w:ascii="Verdana" w:hAnsi="Verdana"/>
          <w:sz w:val="16"/>
          <w:szCs w:val="16"/>
        </w:rPr>
        <w:t>(anexo al informe estatal de 28 de agosto de 2023).</w:t>
      </w:r>
    </w:p>
  </w:footnote>
  <w:footnote w:id="10">
    <w:p w14:paraId="505A8FF7" w14:textId="5393DEFE" w:rsidR="00A704E0" w:rsidRPr="000E1BC3" w:rsidRDefault="00A704E0" w:rsidP="000E1BC3">
      <w:pPr>
        <w:pStyle w:val="Textonotapie"/>
        <w:tabs>
          <w:tab w:val="left" w:pos="567"/>
        </w:tabs>
        <w:jc w:val="both"/>
        <w:rPr>
          <w:rFonts w:ascii="Verdana" w:hAnsi="Verdana"/>
          <w:sz w:val="16"/>
          <w:szCs w:val="16"/>
        </w:rPr>
      </w:pPr>
      <w:r w:rsidRPr="000E1BC3">
        <w:rPr>
          <w:rStyle w:val="Refdenotaalpie"/>
          <w:rFonts w:ascii="Verdana" w:hAnsi="Verdana"/>
          <w:sz w:val="16"/>
          <w:szCs w:val="16"/>
        </w:rPr>
        <w:footnoteRef/>
      </w:r>
      <w:r w:rsidR="00A668DA" w:rsidRPr="000E1BC3">
        <w:rPr>
          <w:rFonts w:ascii="Verdana" w:hAnsi="Verdana"/>
          <w:sz w:val="16"/>
          <w:szCs w:val="16"/>
        </w:rPr>
        <w:t xml:space="preserve"> </w:t>
      </w:r>
      <w:r w:rsidR="00A668DA" w:rsidRPr="000E1BC3">
        <w:rPr>
          <w:rFonts w:ascii="Verdana" w:hAnsi="Verdana"/>
          <w:sz w:val="16"/>
          <w:szCs w:val="16"/>
        </w:rPr>
        <w:tab/>
      </w:r>
      <w:r w:rsidR="00A668DA" w:rsidRPr="000E1BC3">
        <w:rPr>
          <w:rFonts w:ascii="Verdana" w:hAnsi="Verdana"/>
          <w:i/>
          <w:iCs/>
          <w:sz w:val="16"/>
          <w:szCs w:val="16"/>
        </w:rPr>
        <w:t>Cfr.</w:t>
      </w:r>
      <w:r w:rsidR="00A668DA" w:rsidRPr="000E1BC3">
        <w:rPr>
          <w:rFonts w:ascii="Verdana" w:hAnsi="Verdana"/>
          <w:sz w:val="16"/>
          <w:szCs w:val="16"/>
        </w:rPr>
        <w:t xml:space="preserve"> Copia de la publicación en “Nuestro Diario” de 21 de abril de 2023, pág. 13</w:t>
      </w:r>
      <w:r w:rsidRPr="000E1BC3">
        <w:rPr>
          <w:rFonts w:ascii="Verdana" w:hAnsi="Verdana"/>
          <w:sz w:val="16"/>
          <w:szCs w:val="16"/>
        </w:rPr>
        <w:t xml:space="preserve"> (anexo al informe estatal de 28 de agosto de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A1BEF"/>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 w15:restartNumberingAfterBreak="0">
    <w:nsid w:val="1320717D"/>
    <w:multiLevelType w:val="hybridMultilevel"/>
    <w:tmpl w:val="EBA0E068"/>
    <w:lvl w:ilvl="0" w:tplc="7DCA1B62">
      <w:start w:val="1"/>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 w15:restartNumberingAfterBreak="0">
    <w:nsid w:val="27007705"/>
    <w:multiLevelType w:val="hybridMultilevel"/>
    <w:tmpl w:val="3B741F18"/>
    <w:lvl w:ilvl="0" w:tplc="B8AC10D6">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1E6010C"/>
    <w:multiLevelType w:val="hybridMultilevel"/>
    <w:tmpl w:val="AF6672D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F665F7A"/>
    <w:multiLevelType w:val="hybridMultilevel"/>
    <w:tmpl w:val="9900125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1B6184A"/>
    <w:multiLevelType w:val="hybridMultilevel"/>
    <w:tmpl w:val="53C4F018"/>
    <w:lvl w:ilvl="0" w:tplc="45543256">
      <w:start w:val="1"/>
      <w:numFmt w:val="decimal"/>
      <w:lvlText w:val="%1."/>
      <w:lvlJc w:val="left"/>
      <w:pPr>
        <w:ind w:left="1065" w:hanging="705"/>
      </w:pPr>
      <w:rPr>
        <w:rFonts w:hint="default"/>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44FF2D91"/>
    <w:multiLevelType w:val="hybridMultilevel"/>
    <w:tmpl w:val="FBBE747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547307E4"/>
    <w:multiLevelType w:val="hybridMultilevel"/>
    <w:tmpl w:val="9B487E5C"/>
    <w:lvl w:ilvl="0" w:tplc="288A8390">
      <w:start w:val="1"/>
      <w:numFmt w:val="decimal"/>
      <w:lvlText w:val="%1."/>
      <w:lvlJc w:val="left"/>
      <w:pPr>
        <w:ind w:left="720" w:hanging="360"/>
      </w:pPr>
      <w:rPr>
        <w:rFonts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BA77034"/>
    <w:multiLevelType w:val="hybridMultilevel"/>
    <w:tmpl w:val="9CEA278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2180A0B"/>
    <w:multiLevelType w:val="hybridMultilevel"/>
    <w:tmpl w:val="52B695D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6EC67270"/>
    <w:multiLevelType w:val="hybridMultilevel"/>
    <w:tmpl w:val="DBBEA4B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78773DE8"/>
    <w:multiLevelType w:val="hybridMultilevel"/>
    <w:tmpl w:val="FF029D3E"/>
    <w:lvl w:ilvl="0" w:tplc="3F3C7654">
      <w:start w:val="1"/>
      <w:numFmt w:val="lowerLetter"/>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num w:numId="1" w16cid:durableId="1969621336">
    <w:abstractNumId w:val="0"/>
  </w:num>
  <w:num w:numId="2" w16cid:durableId="423495149">
    <w:abstractNumId w:val="7"/>
  </w:num>
  <w:num w:numId="3" w16cid:durableId="1247955062">
    <w:abstractNumId w:val="3"/>
  </w:num>
  <w:num w:numId="4" w16cid:durableId="567115106">
    <w:abstractNumId w:val="6"/>
  </w:num>
  <w:num w:numId="5" w16cid:durableId="52967314">
    <w:abstractNumId w:val="4"/>
  </w:num>
  <w:num w:numId="6" w16cid:durableId="1300528700">
    <w:abstractNumId w:val="1"/>
  </w:num>
  <w:num w:numId="7" w16cid:durableId="2049790021">
    <w:abstractNumId w:val="5"/>
  </w:num>
  <w:num w:numId="8" w16cid:durableId="2138134198">
    <w:abstractNumId w:val="8"/>
  </w:num>
  <w:num w:numId="9" w16cid:durableId="83934">
    <w:abstractNumId w:val="2"/>
  </w:num>
  <w:num w:numId="10" w16cid:durableId="1827504085">
    <w:abstractNumId w:val="10"/>
  </w:num>
  <w:num w:numId="11" w16cid:durableId="67266987">
    <w:abstractNumId w:val="11"/>
  </w:num>
  <w:num w:numId="12" w16cid:durableId="1380424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96F"/>
    <w:rsid w:val="000C2FDD"/>
    <w:rsid w:val="000D1210"/>
    <w:rsid w:val="000D1217"/>
    <w:rsid w:val="000E1BC3"/>
    <w:rsid w:val="00107090"/>
    <w:rsid w:val="00143DC2"/>
    <w:rsid w:val="001A2883"/>
    <w:rsid w:val="001C50C5"/>
    <w:rsid w:val="002E6105"/>
    <w:rsid w:val="0030232A"/>
    <w:rsid w:val="00315720"/>
    <w:rsid w:val="0033692F"/>
    <w:rsid w:val="00370806"/>
    <w:rsid w:val="003B1BC4"/>
    <w:rsid w:val="003C03CA"/>
    <w:rsid w:val="003E7CD1"/>
    <w:rsid w:val="004359BC"/>
    <w:rsid w:val="00450449"/>
    <w:rsid w:val="00484735"/>
    <w:rsid w:val="00484DAC"/>
    <w:rsid w:val="004C5CBA"/>
    <w:rsid w:val="005139E4"/>
    <w:rsid w:val="00523302"/>
    <w:rsid w:val="00533D76"/>
    <w:rsid w:val="00555EFF"/>
    <w:rsid w:val="00615789"/>
    <w:rsid w:val="00650DF4"/>
    <w:rsid w:val="00652703"/>
    <w:rsid w:val="006B1BCF"/>
    <w:rsid w:val="006E18E2"/>
    <w:rsid w:val="006E3AB5"/>
    <w:rsid w:val="007673D2"/>
    <w:rsid w:val="007B359B"/>
    <w:rsid w:val="007D396F"/>
    <w:rsid w:val="007F4DA6"/>
    <w:rsid w:val="008641BC"/>
    <w:rsid w:val="00866207"/>
    <w:rsid w:val="008F0747"/>
    <w:rsid w:val="0097699A"/>
    <w:rsid w:val="00984C1B"/>
    <w:rsid w:val="0099167E"/>
    <w:rsid w:val="009A3A13"/>
    <w:rsid w:val="009B44BC"/>
    <w:rsid w:val="009C0113"/>
    <w:rsid w:val="009F58A7"/>
    <w:rsid w:val="00A3041A"/>
    <w:rsid w:val="00A62F62"/>
    <w:rsid w:val="00A668DA"/>
    <w:rsid w:val="00A704E0"/>
    <w:rsid w:val="00A81365"/>
    <w:rsid w:val="00AB1FDE"/>
    <w:rsid w:val="00AD46ED"/>
    <w:rsid w:val="00AE3722"/>
    <w:rsid w:val="00B13FD7"/>
    <w:rsid w:val="00B3008B"/>
    <w:rsid w:val="00B733A2"/>
    <w:rsid w:val="00BB1142"/>
    <w:rsid w:val="00BF31B5"/>
    <w:rsid w:val="00BF4307"/>
    <w:rsid w:val="00C15E8F"/>
    <w:rsid w:val="00C17C84"/>
    <w:rsid w:val="00C66752"/>
    <w:rsid w:val="00C703CB"/>
    <w:rsid w:val="00CD20F9"/>
    <w:rsid w:val="00CD79B9"/>
    <w:rsid w:val="00CE0B06"/>
    <w:rsid w:val="00D165BE"/>
    <w:rsid w:val="00DC676F"/>
    <w:rsid w:val="00DF0152"/>
    <w:rsid w:val="00E6476F"/>
    <w:rsid w:val="00F05174"/>
    <w:rsid w:val="00F93A1A"/>
    <w:rsid w:val="00FD51C7"/>
    <w:rsid w:val="00FD70C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7302C"/>
  <w15:chartTrackingRefBased/>
  <w15:docId w15:val="{88CBD49F-D5F1-4315-A1B5-274A2959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96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Cuadrícula clara - Énfasis 31,List Paragraph1,List Paragraph2,Lista vistosa - Énfasis 11,Lista clara - Énfasis 51,Subtle Emphasis1,Footnote1,Cuadrícula media 1 - Énfasis 21"/>
    <w:basedOn w:val="Normal"/>
    <w:link w:val="PrrafodelistaCar"/>
    <w:uiPriority w:val="34"/>
    <w:qFormat/>
    <w:rsid w:val="007D396F"/>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7D396F"/>
    <w:rPr>
      <w:vertAlign w:val="superscript"/>
    </w:r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Subtle Emphasis1 Car"/>
    <w:link w:val="Prrafodelista"/>
    <w:uiPriority w:val="34"/>
    <w:locked/>
    <w:rsid w:val="007D396F"/>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D396F"/>
    <w:pPr>
      <w:spacing w:after="0" w:line="240" w:lineRule="auto"/>
      <w:jc w:val="both"/>
    </w:pPr>
    <w:rPr>
      <w:vertAlign w:val="superscript"/>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nhideWhenUsed/>
    <w:qFormat/>
    <w:rsid w:val="007D396F"/>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qFormat/>
    <w:rsid w:val="007D396F"/>
    <w:rPr>
      <w:sz w:val="20"/>
      <w:szCs w:val="20"/>
    </w:rPr>
  </w:style>
  <w:style w:type="character" w:styleId="Hipervnculo">
    <w:name w:val="Hyperlink"/>
    <w:basedOn w:val="Fuentedeprrafopredeter"/>
    <w:uiPriority w:val="99"/>
    <w:semiHidden/>
    <w:unhideWhenUsed/>
    <w:rsid w:val="00143DC2"/>
    <w:rPr>
      <w:color w:val="0000FF"/>
      <w:u w:val="single"/>
    </w:rPr>
  </w:style>
  <w:style w:type="paragraph" w:styleId="Encabezado">
    <w:name w:val="header"/>
    <w:aliases w:val="encabezado"/>
    <w:basedOn w:val="Normal"/>
    <w:link w:val="EncabezadoCar"/>
    <w:uiPriority w:val="99"/>
    <w:unhideWhenUsed/>
    <w:rsid w:val="00650DF4"/>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rsid w:val="00650DF4"/>
  </w:style>
  <w:style w:type="paragraph" w:styleId="Piedepgina">
    <w:name w:val="footer"/>
    <w:basedOn w:val="Normal"/>
    <w:link w:val="PiedepginaCar"/>
    <w:uiPriority w:val="99"/>
    <w:unhideWhenUsed/>
    <w:rsid w:val="00650D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0DF4"/>
  </w:style>
  <w:style w:type="character" w:styleId="Nmerodelnea">
    <w:name w:val="line number"/>
    <w:basedOn w:val="Fuentedeprrafopredeter"/>
    <w:uiPriority w:val="99"/>
    <w:semiHidden/>
    <w:unhideWhenUsed/>
    <w:rsid w:val="00650DF4"/>
  </w:style>
  <w:style w:type="paragraph" w:styleId="Revisin">
    <w:name w:val="Revision"/>
    <w:hidden/>
    <w:uiPriority w:val="99"/>
    <w:semiHidden/>
    <w:rsid w:val="00450449"/>
    <w:pPr>
      <w:spacing w:after="0" w:line="240" w:lineRule="auto"/>
    </w:pPr>
  </w:style>
  <w:style w:type="character" w:styleId="Refdecomentario">
    <w:name w:val="annotation reference"/>
    <w:basedOn w:val="Fuentedeprrafopredeter"/>
    <w:uiPriority w:val="99"/>
    <w:semiHidden/>
    <w:unhideWhenUsed/>
    <w:rsid w:val="00315720"/>
    <w:rPr>
      <w:sz w:val="16"/>
      <w:szCs w:val="16"/>
    </w:rPr>
  </w:style>
  <w:style w:type="paragraph" w:styleId="Textocomentario">
    <w:name w:val="annotation text"/>
    <w:basedOn w:val="Normal"/>
    <w:link w:val="TextocomentarioCar"/>
    <w:uiPriority w:val="99"/>
    <w:unhideWhenUsed/>
    <w:rsid w:val="00315720"/>
    <w:pPr>
      <w:spacing w:line="240" w:lineRule="auto"/>
    </w:pPr>
    <w:rPr>
      <w:sz w:val="20"/>
      <w:szCs w:val="20"/>
    </w:rPr>
  </w:style>
  <w:style w:type="character" w:customStyle="1" w:styleId="TextocomentarioCar">
    <w:name w:val="Texto comentario Car"/>
    <w:basedOn w:val="Fuentedeprrafopredeter"/>
    <w:link w:val="Textocomentario"/>
    <w:uiPriority w:val="99"/>
    <w:rsid w:val="00315720"/>
    <w:rPr>
      <w:sz w:val="20"/>
      <w:szCs w:val="20"/>
    </w:rPr>
  </w:style>
  <w:style w:type="paragraph" w:styleId="Asuntodelcomentario">
    <w:name w:val="annotation subject"/>
    <w:basedOn w:val="Textocomentario"/>
    <w:next w:val="Textocomentario"/>
    <w:link w:val="AsuntodelcomentarioCar"/>
    <w:uiPriority w:val="99"/>
    <w:semiHidden/>
    <w:unhideWhenUsed/>
    <w:rsid w:val="00315720"/>
    <w:rPr>
      <w:b/>
      <w:bCs/>
    </w:rPr>
  </w:style>
  <w:style w:type="character" w:customStyle="1" w:styleId="AsuntodelcomentarioCar">
    <w:name w:val="Asunto del comentario Car"/>
    <w:basedOn w:val="TextocomentarioCar"/>
    <w:link w:val="Asuntodelcomentario"/>
    <w:uiPriority w:val="99"/>
    <w:semiHidden/>
    <w:rsid w:val="003157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orteidh.or.cr/supervision_de_cumplimiento.cfm" TargetMode="External"/><Relationship Id="rId1" Type="http://schemas.openxmlformats.org/officeDocument/2006/relationships/hyperlink" Target="http://www.corteidh.or.cr/docs/casos/articulos/seriec_258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5477B-A832-4651-A066-C8957D69C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1109</Words>
  <Characters>6100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2024-03-26T18:53:00Z</dcterms:created>
  <dcterms:modified xsi:type="dcterms:W3CDTF">2024-03-26T18:53:00Z</dcterms:modified>
</cp:coreProperties>
</file>