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1A8361" w14:textId="7827CE6B" w:rsidR="00376DC9" w:rsidRDefault="00376DC9" w:rsidP="00AB5A00">
      <w:pPr>
        <w:rPr>
          <w:b/>
          <w:sz w:val="20"/>
          <w:szCs w:val="20"/>
        </w:rPr>
      </w:pPr>
    </w:p>
    <w:p w14:paraId="603D7B52" w14:textId="77777777" w:rsidR="009B185C" w:rsidRDefault="009B185C" w:rsidP="00AB5A00">
      <w:pPr>
        <w:rPr>
          <w:b/>
          <w:sz w:val="20"/>
          <w:szCs w:val="20"/>
        </w:rPr>
      </w:pPr>
    </w:p>
    <w:p w14:paraId="54357520" w14:textId="77777777" w:rsidR="009B185C" w:rsidRDefault="009B185C" w:rsidP="00AB5A00">
      <w:pPr>
        <w:rPr>
          <w:b/>
          <w:sz w:val="20"/>
          <w:szCs w:val="20"/>
        </w:rPr>
      </w:pPr>
    </w:p>
    <w:p w14:paraId="3C41366F" w14:textId="77777777" w:rsidR="009B185C" w:rsidRDefault="009B185C" w:rsidP="00AB5A00">
      <w:pPr>
        <w:rPr>
          <w:b/>
          <w:sz w:val="20"/>
          <w:szCs w:val="20"/>
        </w:rPr>
      </w:pPr>
    </w:p>
    <w:p w14:paraId="7A57C64F" w14:textId="77777777" w:rsidR="009B185C" w:rsidRDefault="009B185C" w:rsidP="00AB5A00">
      <w:pPr>
        <w:rPr>
          <w:b/>
          <w:sz w:val="20"/>
          <w:szCs w:val="20"/>
        </w:rPr>
      </w:pPr>
    </w:p>
    <w:p w14:paraId="42D90D93" w14:textId="77777777" w:rsidR="009B185C" w:rsidRDefault="009B185C" w:rsidP="00AB5A00">
      <w:pPr>
        <w:rPr>
          <w:b/>
          <w:sz w:val="20"/>
          <w:szCs w:val="20"/>
        </w:rPr>
      </w:pPr>
    </w:p>
    <w:p w14:paraId="491C4819" w14:textId="77777777" w:rsidR="00584285" w:rsidRDefault="00584285" w:rsidP="00AB5A00">
      <w:pPr>
        <w:rPr>
          <w:b/>
          <w:sz w:val="20"/>
          <w:szCs w:val="20"/>
        </w:rPr>
      </w:pPr>
    </w:p>
    <w:p w14:paraId="302F0FF5" w14:textId="77777777" w:rsidR="00376DC9" w:rsidRPr="00376DC9" w:rsidRDefault="00376DC9" w:rsidP="00AB5A00">
      <w:pPr>
        <w:jc w:val="center"/>
        <w:rPr>
          <w:b/>
          <w:sz w:val="20"/>
          <w:szCs w:val="20"/>
        </w:rPr>
      </w:pPr>
      <w:bookmarkStart w:id="0" w:name="_Toc125382292"/>
      <w:r w:rsidRPr="00376DC9">
        <w:rPr>
          <w:b/>
          <w:sz w:val="20"/>
          <w:szCs w:val="20"/>
        </w:rPr>
        <w:t>RESOLUCIÓN</w:t>
      </w:r>
      <w:r w:rsidRPr="00376DC9">
        <w:rPr>
          <w:b/>
          <w:spacing w:val="-5"/>
          <w:sz w:val="20"/>
          <w:szCs w:val="20"/>
        </w:rPr>
        <w:t xml:space="preserve"> </w:t>
      </w:r>
      <w:r w:rsidRPr="00376DC9">
        <w:rPr>
          <w:b/>
          <w:sz w:val="20"/>
          <w:szCs w:val="20"/>
        </w:rPr>
        <w:t>DE</w:t>
      </w:r>
      <w:r w:rsidRPr="00376DC9">
        <w:rPr>
          <w:b/>
          <w:spacing w:val="-4"/>
          <w:sz w:val="20"/>
          <w:szCs w:val="20"/>
        </w:rPr>
        <w:t xml:space="preserve"> </w:t>
      </w:r>
      <w:r w:rsidRPr="00376DC9">
        <w:rPr>
          <w:b/>
          <w:spacing w:val="-5"/>
          <w:sz w:val="20"/>
          <w:szCs w:val="20"/>
        </w:rPr>
        <w:t>LA</w:t>
      </w:r>
      <w:bookmarkEnd w:id="0"/>
    </w:p>
    <w:p w14:paraId="1883FD2D" w14:textId="11E0EC85" w:rsidR="00026B50" w:rsidRDefault="00376DC9" w:rsidP="00AB5A00">
      <w:pPr>
        <w:jc w:val="center"/>
        <w:rPr>
          <w:b/>
          <w:sz w:val="20"/>
          <w:szCs w:val="20"/>
          <w:vertAlign w:val="superscript"/>
        </w:rPr>
      </w:pPr>
      <w:r w:rsidRPr="00376DC9">
        <w:rPr>
          <w:b/>
          <w:sz w:val="20"/>
          <w:szCs w:val="20"/>
        </w:rPr>
        <w:t>CORTE</w:t>
      </w:r>
      <w:r w:rsidRPr="00376DC9">
        <w:rPr>
          <w:b/>
          <w:spacing w:val="-10"/>
          <w:sz w:val="20"/>
          <w:szCs w:val="20"/>
        </w:rPr>
        <w:t xml:space="preserve"> </w:t>
      </w:r>
      <w:r w:rsidRPr="00376DC9">
        <w:rPr>
          <w:b/>
          <w:sz w:val="20"/>
          <w:szCs w:val="20"/>
        </w:rPr>
        <w:t>INTERAMERICANA</w:t>
      </w:r>
      <w:r w:rsidRPr="00376DC9">
        <w:rPr>
          <w:b/>
          <w:spacing w:val="-10"/>
          <w:sz w:val="20"/>
          <w:szCs w:val="20"/>
        </w:rPr>
        <w:t xml:space="preserve"> </w:t>
      </w:r>
      <w:r w:rsidRPr="00376DC9">
        <w:rPr>
          <w:b/>
          <w:sz w:val="20"/>
          <w:szCs w:val="20"/>
        </w:rPr>
        <w:t>DE</w:t>
      </w:r>
      <w:r w:rsidRPr="00376DC9">
        <w:rPr>
          <w:b/>
          <w:spacing w:val="-11"/>
          <w:sz w:val="20"/>
          <w:szCs w:val="20"/>
        </w:rPr>
        <w:t xml:space="preserve"> </w:t>
      </w:r>
      <w:r w:rsidRPr="00376DC9">
        <w:rPr>
          <w:b/>
          <w:sz w:val="20"/>
          <w:szCs w:val="20"/>
        </w:rPr>
        <w:t>DERECHOS</w:t>
      </w:r>
      <w:r w:rsidRPr="00376DC9">
        <w:rPr>
          <w:b/>
          <w:spacing w:val="-9"/>
          <w:sz w:val="20"/>
          <w:szCs w:val="20"/>
        </w:rPr>
        <w:t xml:space="preserve"> </w:t>
      </w:r>
      <w:r w:rsidRPr="00376DC9">
        <w:rPr>
          <w:b/>
          <w:sz w:val="20"/>
          <w:szCs w:val="20"/>
        </w:rPr>
        <w:t>HUMANOS</w:t>
      </w:r>
      <w:r w:rsidRPr="00376DC9">
        <w:rPr>
          <w:b/>
          <w:sz w:val="20"/>
          <w:szCs w:val="20"/>
          <w:vertAlign w:val="superscript"/>
        </w:rPr>
        <w:t>*</w:t>
      </w:r>
    </w:p>
    <w:p w14:paraId="7CDE6DF9" w14:textId="77777777" w:rsidR="00AB5A00" w:rsidRPr="00376DC9" w:rsidRDefault="00AB5A00" w:rsidP="00AB5A00">
      <w:pPr>
        <w:jc w:val="center"/>
        <w:rPr>
          <w:b/>
          <w:sz w:val="20"/>
          <w:szCs w:val="20"/>
        </w:rPr>
      </w:pPr>
    </w:p>
    <w:p w14:paraId="1A9472A7" w14:textId="123D43C1" w:rsidR="00026B50" w:rsidRDefault="00026B50" w:rsidP="00AB5A00">
      <w:pPr>
        <w:jc w:val="center"/>
        <w:rPr>
          <w:b/>
          <w:sz w:val="20"/>
          <w:szCs w:val="20"/>
        </w:rPr>
      </w:pPr>
      <w:r w:rsidRPr="00376DC9">
        <w:rPr>
          <w:b/>
          <w:sz w:val="20"/>
          <w:szCs w:val="20"/>
        </w:rPr>
        <w:t xml:space="preserve">DE </w:t>
      </w:r>
      <w:r w:rsidR="006A36E2">
        <w:rPr>
          <w:b/>
          <w:sz w:val="20"/>
          <w:szCs w:val="20"/>
        </w:rPr>
        <w:t>14</w:t>
      </w:r>
      <w:r w:rsidRPr="00376DC9">
        <w:rPr>
          <w:b/>
          <w:sz w:val="20"/>
          <w:szCs w:val="20"/>
        </w:rPr>
        <w:t xml:space="preserve"> DE </w:t>
      </w:r>
      <w:r w:rsidR="006A36E2">
        <w:rPr>
          <w:b/>
          <w:sz w:val="20"/>
          <w:szCs w:val="20"/>
        </w:rPr>
        <w:t>MARZO</w:t>
      </w:r>
      <w:r w:rsidRPr="00376DC9">
        <w:rPr>
          <w:b/>
          <w:sz w:val="20"/>
          <w:szCs w:val="20"/>
        </w:rPr>
        <w:t xml:space="preserve"> DE </w:t>
      </w:r>
      <w:r w:rsidR="00A14C4A">
        <w:rPr>
          <w:b/>
          <w:sz w:val="20"/>
          <w:szCs w:val="20"/>
        </w:rPr>
        <w:t>202</w:t>
      </w:r>
      <w:r w:rsidR="008E7F55">
        <w:rPr>
          <w:b/>
          <w:sz w:val="20"/>
          <w:szCs w:val="20"/>
        </w:rPr>
        <w:t>4</w:t>
      </w:r>
    </w:p>
    <w:p w14:paraId="088968CC" w14:textId="77777777" w:rsidR="00AB5A00" w:rsidRPr="00376DC9" w:rsidRDefault="00AB5A00" w:rsidP="00AB5A00">
      <w:pPr>
        <w:jc w:val="center"/>
        <w:rPr>
          <w:b/>
          <w:sz w:val="20"/>
          <w:szCs w:val="20"/>
        </w:rPr>
      </w:pPr>
    </w:p>
    <w:p w14:paraId="4BFF3933" w14:textId="5A222948" w:rsidR="00026B50" w:rsidRDefault="00026B50" w:rsidP="00AB5A00">
      <w:pPr>
        <w:jc w:val="center"/>
        <w:rPr>
          <w:b/>
          <w:i/>
          <w:sz w:val="20"/>
          <w:szCs w:val="20"/>
        </w:rPr>
      </w:pPr>
      <w:r w:rsidRPr="00376DC9">
        <w:rPr>
          <w:b/>
          <w:i/>
          <w:sz w:val="20"/>
          <w:szCs w:val="20"/>
        </w:rPr>
        <w:t>CA</w:t>
      </w:r>
      <w:r w:rsidR="00AE21A4">
        <w:rPr>
          <w:b/>
          <w:i/>
          <w:sz w:val="20"/>
          <w:szCs w:val="20"/>
        </w:rPr>
        <w:t xml:space="preserve">SO </w:t>
      </w:r>
      <w:r w:rsidR="00641B7D">
        <w:rPr>
          <w:b/>
          <w:i/>
          <w:sz w:val="20"/>
          <w:szCs w:val="20"/>
        </w:rPr>
        <w:t>ALMEIDA</w:t>
      </w:r>
      <w:r w:rsidR="00AE21A4">
        <w:rPr>
          <w:b/>
          <w:i/>
          <w:sz w:val="20"/>
          <w:szCs w:val="20"/>
        </w:rPr>
        <w:t xml:space="preserve"> VS. ARGENTINA </w:t>
      </w:r>
    </w:p>
    <w:p w14:paraId="55F29452" w14:textId="77777777" w:rsidR="00E6111F" w:rsidRPr="00376DC9" w:rsidRDefault="00E6111F" w:rsidP="00AB5A00">
      <w:pPr>
        <w:jc w:val="center"/>
        <w:rPr>
          <w:b/>
          <w:i/>
          <w:sz w:val="20"/>
          <w:szCs w:val="20"/>
        </w:rPr>
      </w:pPr>
    </w:p>
    <w:p w14:paraId="19422CC6" w14:textId="77777777" w:rsidR="00026B50" w:rsidRPr="00376DC9" w:rsidRDefault="00026B50" w:rsidP="00AB5A00">
      <w:pPr>
        <w:jc w:val="center"/>
        <w:rPr>
          <w:b/>
          <w:sz w:val="20"/>
          <w:szCs w:val="20"/>
        </w:rPr>
      </w:pPr>
      <w:r w:rsidRPr="00376DC9">
        <w:rPr>
          <w:b/>
          <w:sz w:val="20"/>
          <w:szCs w:val="20"/>
        </w:rPr>
        <w:t>SUPERVISIÓN DE CUMPLIMIENTO DE SENTENCIA</w:t>
      </w:r>
    </w:p>
    <w:p w14:paraId="1ABC7A34" w14:textId="77777777" w:rsidR="00026B50" w:rsidRPr="00376DC9" w:rsidRDefault="00026B50" w:rsidP="00AB5A00">
      <w:pPr>
        <w:jc w:val="center"/>
        <w:rPr>
          <w:b/>
          <w:sz w:val="20"/>
          <w:szCs w:val="20"/>
        </w:rPr>
      </w:pPr>
    </w:p>
    <w:p w14:paraId="4BA8E14D" w14:textId="77777777" w:rsidR="00026B50" w:rsidRPr="00AB5A00" w:rsidRDefault="00026B50" w:rsidP="00AB5A00">
      <w:pPr>
        <w:spacing w:before="120" w:after="120"/>
        <w:jc w:val="both"/>
        <w:rPr>
          <w:b/>
          <w:sz w:val="20"/>
          <w:szCs w:val="20"/>
        </w:rPr>
      </w:pPr>
      <w:r w:rsidRPr="00AB5A00">
        <w:rPr>
          <w:b/>
          <w:sz w:val="20"/>
          <w:szCs w:val="20"/>
        </w:rPr>
        <w:t xml:space="preserve">VISTO: </w:t>
      </w:r>
    </w:p>
    <w:p w14:paraId="058107F9" w14:textId="65AAA958" w:rsidR="00A21FB7" w:rsidRPr="00AB5A00" w:rsidRDefault="00026B50" w:rsidP="00AB5A00">
      <w:pPr>
        <w:pStyle w:val="Textoindependiente"/>
        <w:numPr>
          <w:ilvl w:val="0"/>
          <w:numId w:val="2"/>
        </w:numPr>
        <w:tabs>
          <w:tab w:val="left" w:pos="851"/>
        </w:tabs>
        <w:spacing w:before="120" w:after="120"/>
        <w:ind w:left="0" w:firstLine="21"/>
        <w:jc w:val="both"/>
      </w:pPr>
      <w:r w:rsidRPr="00AB5A00">
        <w:t>La Sentencia de fondo, reparaciones y costas (en adelante “la Sentencia”)</w:t>
      </w:r>
      <w:r w:rsidR="000F5B26" w:rsidRPr="00AB5A00">
        <w:t xml:space="preserve"> emitida por la Corte Interamericana de Derechos Humanos (en adelante “la Corte” o “el Tribuna</w:t>
      </w:r>
      <w:r w:rsidR="00B46EB9" w:rsidRPr="00AB5A00">
        <w:t xml:space="preserve">l”) el </w:t>
      </w:r>
      <w:r w:rsidR="00641B7D">
        <w:t>17 de noviembre de 2020</w:t>
      </w:r>
      <w:r w:rsidR="00C35EBF" w:rsidRPr="00AB5A00">
        <w:rPr>
          <w:rStyle w:val="Refdenotaalpie"/>
        </w:rPr>
        <w:footnoteReference w:id="1"/>
      </w:r>
      <w:r w:rsidR="00B46EB9" w:rsidRPr="00AB5A00">
        <w:t>.</w:t>
      </w:r>
    </w:p>
    <w:p w14:paraId="3FFE6775" w14:textId="36EB619A" w:rsidR="006E7B99" w:rsidRDefault="006E7B99" w:rsidP="006E7B99">
      <w:pPr>
        <w:pStyle w:val="Textoindependiente"/>
        <w:numPr>
          <w:ilvl w:val="0"/>
          <w:numId w:val="2"/>
        </w:numPr>
        <w:tabs>
          <w:tab w:val="left" w:pos="851"/>
        </w:tabs>
        <w:spacing w:before="120" w:after="120"/>
        <w:ind w:left="0" w:firstLine="21"/>
        <w:jc w:val="both"/>
      </w:pPr>
      <w:r w:rsidRPr="00AB5A00">
        <w:t xml:space="preserve">Los informes presentados por </w:t>
      </w:r>
      <w:r>
        <w:t>la República Argentina (en adelante “</w:t>
      </w:r>
      <w:r w:rsidRPr="00AB5A00">
        <w:t>el Estado</w:t>
      </w:r>
      <w:r>
        <w:t>” o “Argentina”)</w:t>
      </w:r>
      <w:r w:rsidRPr="00AB5A00">
        <w:t xml:space="preserve"> entre </w:t>
      </w:r>
      <w:r w:rsidR="00641B7D">
        <w:t>junio</w:t>
      </w:r>
      <w:r w:rsidRPr="00AB5A00">
        <w:t xml:space="preserve"> de 202</w:t>
      </w:r>
      <w:r w:rsidR="00641B7D">
        <w:t>1</w:t>
      </w:r>
      <w:r w:rsidRPr="00AB5A00">
        <w:t xml:space="preserve"> y </w:t>
      </w:r>
      <w:r w:rsidR="00641B7D">
        <w:t>julio</w:t>
      </w:r>
      <w:r>
        <w:t xml:space="preserve"> de 202</w:t>
      </w:r>
      <w:r w:rsidR="00641B7D">
        <w:t>3</w:t>
      </w:r>
      <w:r>
        <w:t>,</w:t>
      </w:r>
      <w:r w:rsidRPr="00AB5A00">
        <w:t xml:space="preserve"> </w:t>
      </w:r>
      <w:r>
        <w:rPr>
          <w:bCs/>
        </w:rPr>
        <w:t xml:space="preserve">así como </w:t>
      </w:r>
      <w:r>
        <w:t>l</w:t>
      </w:r>
      <w:r w:rsidRPr="00AB5A00">
        <w:t>os escritos presentados por l</w:t>
      </w:r>
      <w:r>
        <w:t>a</w:t>
      </w:r>
      <w:r w:rsidRPr="00AB5A00">
        <w:t xml:space="preserve"> representante </w:t>
      </w:r>
      <w:r w:rsidR="00A21B63">
        <w:t>de la víctima</w:t>
      </w:r>
      <w:r w:rsidRPr="00AB5A00">
        <w:rPr>
          <w:rStyle w:val="Refdenotaalpie"/>
        </w:rPr>
        <w:footnoteReference w:id="2"/>
      </w:r>
      <w:r w:rsidRPr="00AB5A00">
        <w:t xml:space="preserve"> </w:t>
      </w:r>
      <w:r>
        <w:t xml:space="preserve">(en adelante, “la representante”) </w:t>
      </w:r>
      <w:r w:rsidRPr="00AB5A00">
        <w:t xml:space="preserve">entre </w:t>
      </w:r>
      <w:r w:rsidR="00641B7D">
        <w:t>abril</w:t>
      </w:r>
      <w:r w:rsidRPr="00AB5A00">
        <w:t xml:space="preserve"> de 202</w:t>
      </w:r>
      <w:r w:rsidR="00641B7D">
        <w:t>2</w:t>
      </w:r>
      <w:r w:rsidRPr="00AB5A00">
        <w:t xml:space="preserve"> y </w:t>
      </w:r>
      <w:r w:rsidR="00A21B63">
        <w:t>octubre</w:t>
      </w:r>
      <w:r w:rsidR="00A21B63" w:rsidRPr="00AB5A00">
        <w:t xml:space="preserve"> </w:t>
      </w:r>
      <w:r w:rsidRPr="00AB5A00">
        <w:t>de 202</w:t>
      </w:r>
      <w:r w:rsidR="00641B7D">
        <w:t>3</w:t>
      </w:r>
      <w:r w:rsidRPr="00AB5A00">
        <w:t xml:space="preserve">. </w:t>
      </w:r>
      <w:r w:rsidR="00A21B63" w:rsidRPr="00FE6DE3">
        <w:rPr>
          <w:bCs/>
        </w:rPr>
        <w:t>La Comisión Interamericana de Derechos Humanos no presentó observaciones.</w:t>
      </w:r>
    </w:p>
    <w:p w14:paraId="521B796B" w14:textId="77777777" w:rsidR="00A21B63" w:rsidRDefault="00A21B63" w:rsidP="00AB5A00">
      <w:pPr>
        <w:pStyle w:val="Textoindependiente"/>
        <w:tabs>
          <w:tab w:val="left" w:pos="851"/>
        </w:tabs>
        <w:spacing w:before="120" w:after="120"/>
        <w:jc w:val="both"/>
        <w:rPr>
          <w:b/>
        </w:rPr>
      </w:pPr>
    </w:p>
    <w:p w14:paraId="27ECEFBD" w14:textId="3C4C31B3" w:rsidR="003006EA" w:rsidRPr="00AB5A00" w:rsidRDefault="003006EA" w:rsidP="00AB5A00">
      <w:pPr>
        <w:pStyle w:val="Textoindependiente"/>
        <w:tabs>
          <w:tab w:val="left" w:pos="851"/>
        </w:tabs>
        <w:spacing w:before="120" w:after="120"/>
        <w:jc w:val="both"/>
        <w:rPr>
          <w:b/>
        </w:rPr>
      </w:pPr>
      <w:r w:rsidRPr="00AB5A00">
        <w:rPr>
          <w:b/>
        </w:rPr>
        <w:t>CONSIDERANDO QUE:</w:t>
      </w:r>
    </w:p>
    <w:p w14:paraId="30CD412D" w14:textId="276EFB9C" w:rsidR="006C74C3" w:rsidRDefault="00255F18" w:rsidP="003A2F0D">
      <w:pPr>
        <w:pStyle w:val="Textoindependiente"/>
        <w:numPr>
          <w:ilvl w:val="0"/>
          <w:numId w:val="3"/>
        </w:numPr>
        <w:tabs>
          <w:tab w:val="left" w:pos="851"/>
        </w:tabs>
        <w:spacing w:before="120" w:after="120"/>
        <w:ind w:left="0" w:firstLine="0"/>
        <w:jc w:val="both"/>
      </w:pPr>
      <w:r>
        <w:t>L</w:t>
      </w:r>
      <w:r w:rsidR="004900E3" w:rsidRPr="00AB5A00">
        <w:t>a Corte ha venido supervisando la ejecución de la Sentencia</w:t>
      </w:r>
      <w:r w:rsidRPr="00AB5A00">
        <w:rPr>
          <w:rStyle w:val="Refdenotaalpie"/>
        </w:rPr>
        <w:footnoteReference w:id="3"/>
      </w:r>
      <w:r>
        <w:t xml:space="preserve"> emitida en 2020 </w:t>
      </w:r>
      <w:r w:rsidR="004900E3" w:rsidRPr="00AB5A00">
        <w:t>(</w:t>
      </w:r>
      <w:r w:rsidR="004900E3" w:rsidRPr="00A92861">
        <w:rPr>
          <w:i/>
        </w:rPr>
        <w:t xml:space="preserve">supra </w:t>
      </w:r>
      <w:r w:rsidR="004900E3" w:rsidRPr="00AB5A00">
        <w:t>Visto 1)</w:t>
      </w:r>
      <w:r>
        <w:t>,</w:t>
      </w:r>
      <w:r w:rsidR="004900E3" w:rsidRPr="00AB5A00">
        <w:t xml:space="preserve"> </w:t>
      </w:r>
      <w:r>
        <w:t>en la cual</w:t>
      </w:r>
      <w:r w:rsidR="004900E3" w:rsidRPr="00AB5A00">
        <w:t xml:space="preserve"> dispuso </w:t>
      </w:r>
      <w:r w:rsidR="007B76C4">
        <w:t>cinco</w:t>
      </w:r>
      <w:r w:rsidR="00C0726A" w:rsidRPr="00AB5A00">
        <w:t xml:space="preserve"> medidas de reparación</w:t>
      </w:r>
      <w:r w:rsidR="006C74C3">
        <w:t xml:space="preserve"> (</w:t>
      </w:r>
      <w:r w:rsidR="006C74C3">
        <w:rPr>
          <w:i/>
          <w:iCs/>
        </w:rPr>
        <w:t xml:space="preserve">infra </w:t>
      </w:r>
      <w:r w:rsidR="006C74C3">
        <w:t>Considerando</w:t>
      </w:r>
      <w:r w:rsidR="002A2A55">
        <w:t>s</w:t>
      </w:r>
      <w:r w:rsidR="006C74C3">
        <w:t xml:space="preserve"> </w:t>
      </w:r>
      <w:r w:rsidR="00E65C5C">
        <w:t>2,</w:t>
      </w:r>
      <w:r w:rsidR="006C66F9">
        <w:t xml:space="preserve"> </w:t>
      </w:r>
      <w:r w:rsidR="00E65C5C">
        <w:t>14 y 17</w:t>
      </w:r>
      <w:r w:rsidR="006C74C3">
        <w:t>).</w:t>
      </w:r>
      <w:r w:rsidR="003A2F0D">
        <w:t xml:space="preserve"> </w:t>
      </w:r>
      <w:r w:rsidR="006C74C3">
        <w:t xml:space="preserve">Seguidamente, la Corte determinará el grado de cumplimiento de todas las reparaciones ordenadas en la Sentencia, tomando en cuenta que el Estado presentó información sobre éstas y ha solicitado que se declare “el cumplimiento total de la </w:t>
      </w:r>
      <w:r w:rsidR="00C32616">
        <w:t>s</w:t>
      </w:r>
      <w:r w:rsidR="006C74C3">
        <w:t xml:space="preserve">entencia”, y que </w:t>
      </w:r>
      <w:r w:rsidR="002C7907">
        <w:t>la</w:t>
      </w:r>
      <w:r w:rsidR="006C74C3">
        <w:t xml:space="preserve"> representante present</w:t>
      </w:r>
      <w:r w:rsidR="008E7F55">
        <w:t>ó</w:t>
      </w:r>
      <w:r w:rsidR="006C74C3">
        <w:t xml:space="preserve"> observaciones</w:t>
      </w:r>
      <w:r w:rsidR="008E7F55">
        <w:t xml:space="preserve"> </w:t>
      </w:r>
      <w:r w:rsidR="00A72223">
        <w:t>con posterioridad</w:t>
      </w:r>
      <w:r w:rsidR="008E7F55">
        <w:t xml:space="preserve"> </w:t>
      </w:r>
      <w:r w:rsidR="00A72223">
        <w:t>a</w:t>
      </w:r>
      <w:r w:rsidR="008E7F55">
        <w:t xml:space="preserve"> esta solicitud</w:t>
      </w:r>
      <w:r>
        <w:t>, refiriéndose únicamente a las medidas</w:t>
      </w:r>
      <w:r w:rsidR="00E25601">
        <w:t xml:space="preserve"> de pago de indemnizaciones y costas y gastos</w:t>
      </w:r>
      <w:r>
        <w:t>.</w:t>
      </w:r>
      <w:r w:rsidR="00A72223">
        <w:t xml:space="preserve"> </w:t>
      </w:r>
      <w:r w:rsidR="006C74C3">
        <w:t>El Tribunal estructurará sus consideraciones en el siguiente orden:</w:t>
      </w:r>
    </w:p>
    <w:sdt>
      <w:sdtPr>
        <w:rPr>
          <w:rFonts w:ascii="Verdana" w:eastAsiaTheme="minorHAnsi" w:hAnsi="Verdana" w:cs="Verdana"/>
          <w:color w:val="auto"/>
          <w:sz w:val="16"/>
          <w:szCs w:val="16"/>
          <w:lang w:val="es-ES" w:eastAsia="en-US"/>
        </w:rPr>
        <w:id w:val="-980151484"/>
        <w:docPartObj>
          <w:docPartGallery w:val="Table of Contents"/>
          <w:docPartUnique/>
        </w:docPartObj>
      </w:sdtPr>
      <w:sdtEndPr>
        <w:rPr>
          <w:b/>
          <w:bCs/>
        </w:rPr>
      </w:sdtEndPr>
      <w:sdtContent>
        <w:p w14:paraId="01289C92" w14:textId="7189CE47" w:rsidR="006C74C3" w:rsidRPr="006C74C3" w:rsidRDefault="006C74C3">
          <w:pPr>
            <w:pStyle w:val="TtuloTDC"/>
            <w:rPr>
              <w:sz w:val="2"/>
              <w:szCs w:val="2"/>
            </w:rPr>
          </w:pPr>
        </w:p>
        <w:p w14:paraId="42454C1A" w14:textId="055EAD93" w:rsidR="00A72223" w:rsidRDefault="006C74C3" w:rsidP="002C0019">
          <w:pPr>
            <w:pStyle w:val="TDC1"/>
            <w:rPr>
              <w:rFonts w:asciiTheme="minorHAnsi" w:eastAsiaTheme="minorEastAsia" w:hAnsiTheme="minorHAnsi" w:cstheme="minorBidi"/>
              <w:noProof/>
              <w:kern w:val="2"/>
              <w:sz w:val="24"/>
              <w:szCs w:val="24"/>
              <w:lang w:eastAsia="es-CR"/>
              <w14:ligatures w14:val="standardContextual"/>
            </w:rPr>
          </w:pPr>
          <w:r>
            <w:fldChar w:fldCharType="begin"/>
          </w:r>
          <w:r>
            <w:instrText xml:space="preserve"> TOC \o "1-3" \h \z \u </w:instrText>
          </w:r>
          <w:r>
            <w:fldChar w:fldCharType="separate"/>
          </w:r>
          <w:hyperlink w:anchor="_Toc154651928" w:history="1">
            <w:r w:rsidR="00A72223" w:rsidRPr="00342BE6">
              <w:rPr>
                <w:rStyle w:val="Hipervnculo"/>
                <w:i/>
                <w:noProof/>
              </w:rPr>
              <w:t>A.</w:t>
            </w:r>
            <w:r w:rsidR="00A72223">
              <w:rPr>
                <w:rFonts w:asciiTheme="minorHAnsi" w:eastAsiaTheme="minorEastAsia" w:hAnsiTheme="minorHAnsi" w:cstheme="minorBidi"/>
                <w:noProof/>
                <w:kern w:val="2"/>
                <w:sz w:val="24"/>
                <w:szCs w:val="24"/>
                <w:lang w:eastAsia="es-CR"/>
                <w14:ligatures w14:val="standardContextual"/>
              </w:rPr>
              <w:tab/>
            </w:r>
            <w:r w:rsidR="003A2F0D">
              <w:rPr>
                <w:rStyle w:val="Hipervnculo"/>
                <w:i/>
                <w:noProof/>
              </w:rPr>
              <w:t>Pago de las cantidades dispuestas en la Sentencia por concepto de restitución, in</w:t>
            </w:r>
            <w:r w:rsidR="00A72223" w:rsidRPr="00342BE6">
              <w:rPr>
                <w:rStyle w:val="Hipervnculo"/>
                <w:i/>
                <w:noProof/>
              </w:rPr>
              <w:t>demnizaciones y reintegro de costas y gastos</w:t>
            </w:r>
            <w:r w:rsidR="00A72223">
              <w:rPr>
                <w:noProof/>
                <w:webHidden/>
              </w:rPr>
              <w:tab/>
            </w:r>
            <w:r w:rsidR="00A72223">
              <w:rPr>
                <w:noProof/>
                <w:webHidden/>
              </w:rPr>
              <w:fldChar w:fldCharType="begin"/>
            </w:r>
            <w:r w:rsidR="00A72223">
              <w:rPr>
                <w:noProof/>
                <w:webHidden/>
              </w:rPr>
              <w:instrText xml:space="preserve"> PAGEREF _Toc154651928 \h </w:instrText>
            </w:r>
            <w:r w:rsidR="00A72223">
              <w:rPr>
                <w:noProof/>
                <w:webHidden/>
              </w:rPr>
            </w:r>
            <w:r w:rsidR="00A72223">
              <w:rPr>
                <w:noProof/>
                <w:webHidden/>
              </w:rPr>
              <w:fldChar w:fldCharType="separate"/>
            </w:r>
            <w:r w:rsidR="002C0019">
              <w:rPr>
                <w:noProof/>
                <w:webHidden/>
              </w:rPr>
              <w:t>2</w:t>
            </w:r>
            <w:r w:rsidR="00A72223">
              <w:rPr>
                <w:noProof/>
                <w:webHidden/>
              </w:rPr>
              <w:fldChar w:fldCharType="end"/>
            </w:r>
          </w:hyperlink>
        </w:p>
        <w:p w14:paraId="7785677F" w14:textId="287BEE51" w:rsidR="00A72223" w:rsidRDefault="00000000" w:rsidP="002C0019">
          <w:pPr>
            <w:pStyle w:val="TDC1"/>
            <w:rPr>
              <w:rFonts w:asciiTheme="minorHAnsi" w:eastAsiaTheme="minorEastAsia" w:hAnsiTheme="minorHAnsi" w:cstheme="minorBidi"/>
              <w:noProof/>
              <w:kern w:val="2"/>
              <w:sz w:val="24"/>
              <w:szCs w:val="24"/>
              <w:lang w:eastAsia="es-CR"/>
              <w14:ligatures w14:val="standardContextual"/>
            </w:rPr>
          </w:pPr>
          <w:hyperlink w:anchor="_Toc154651929" w:history="1">
            <w:r w:rsidR="00A72223" w:rsidRPr="00342BE6">
              <w:rPr>
                <w:rStyle w:val="Hipervnculo"/>
                <w:i/>
                <w:noProof/>
              </w:rPr>
              <w:t>B.</w:t>
            </w:r>
            <w:r w:rsidR="00A72223">
              <w:rPr>
                <w:rFonts w:asciiTheme="minorHAnsi" w:eastAsiaTheme="minorEastAsia" w:hAnsiTheme="minorHAnsi" w:cstheme="minorBidi"/>
                <w:noProof/>
                <w:kern w:val="2"/>
                <w:sz w:val="24"/>
                <w:szCs w:val="24"/>
                <w:lang w:eastAsia="es-CR"/>
                <w14:ligatures w14:val="standardContextual"/>
              </w:rPr>
              <w:tab/>
            </w:r>
            <w:r w:rsidR="00A72223" w:rsidRPr="00342BE6">
              <w:rPr>
                <w:rStyle w:val="Hipervnculo"/>
                <w:i/>
                <w:noProof/>
              </w:rPr>
              <w:t>Publicación y difusión de la Sentencia y su resumen oficial</w:t>
            </w:r>
            <w:r w:rsidR="00A72223">
              <w:rPr>
                <w:noProof/>
                <w:webHidden/>
              </w:rPr>
              <w:tab/>
            </w:r>
            <w:r w:rsidR="00A72223">
              <w:rPr>
                <w:noProof/>
                <w:webHidden/>
              </w:rPr>
              <w:fldChar w:fldCharType="begin"/>
            </w:r>
            <w:r w:rsidR="00A72223">
              <w:rPr>
                <w:noProof/>
                <w:webHidden/>
              </w:rPr>
              <w:instrText xml:space="preserve"> PAGEREF _Toc154651929 \h </w:instrText>
            </w:r>
            <w:r w:rsidR="00A72223">
              <w:rPr>
                <w:noProof/>
                <w:webHidden/>
              </w:rPr>
            </w:r>
            <w:r w:rsidR="00A72223">
              <w:rPr>
                <w:noProof/>
                <w:webHidden/>
              </w:rPr>
              <w:fldChar w:fldCharType="separate"/>
            </w:r>
            <w:r w:rsidR="002C0019">
              <w:rPr>
                <w:noProof/>
                <w:webHidden/>
              </w:rPr>
              <w:t>4</w:t>
            </w:r>
            <w:r w:rsidR="00A72223">
              <w:rPr>
                <w:noProof/>
                <w:webHidden/>
              </w:rPr>
              <w:fldChar w:fldCharType="end"/>
            </w:r>
          </w:hyperlink>
        </w:p>
        <w:p w14:paraId="53E05C1C" w14:textId="64826C05" w:rsidR="00A72223" w:rsidRDefault="00000000" w:rsidP="002C0019">
          <w:pPr>
            <w:pStyle w:val="TDC1"/>
            <w:rPr>
              <w:rFonts w:asciiTheme="minorHAnsi" w:eastAsiaTheme="minorEastAsia" w:hAnsiTheme="minorHAnsi" w:cstheme="minorBidi"/>
              <w:noProof/>
              <w:kern w:val="2"/>
              <w:sz w:val="24"/>
              <w:szCs w:val="24"/>
              <w:lang w:eastAsia="es-CR"/>
              <w14:ligatures w14:val="standardContextual"/>
            </w:rPr>
          </w:pPr>
          <w:hyperlink w:anchor="_Toc154651930" w:history="1">
            <w:r w:rsidR="00A72223" w:rsidRPr="00342BE6">
              <w:rPr>
                <w:rStyle w:val="Hipervnculo"/>
                <w:i/>
                <w:noProof/>
              </w:rPr>
              <w:t>C.</w:t>
            </w:r>
            <w:r w:rsidR="00A72223">
              <w:rPr>
                <w:rFonts w:asciiTheme="minorHAnsi" w:eastAsiaTheme="minorEastAsia" w:hAnsiTheme="minorHAnsi" w:cstheme="minorBidi"/>
                <w:noProof/>
                <w:kern w:val="2"/>
                <w:sz w:val="24"/>
                <w:szCs w:val="24"/>
                <w:lang w:eastAsia="es-CR"/>
                <w14:ligatures w14:val="standardContextual"/>
              </w:rPr>
              <w:tab/>
            </w:r>
            <w:r w:rsidR="00A72223" w:rsidRPr="00342BE6">
              <w:rPr>
                <w:rStyle w:val="Hipervnculo"/>
                <w:i/>
                <w:noProof/>
              </w:rPr>
              <w:t>Garantizar en sede administrativa la revisión de la situación de las personas que se encuentren en la misma situación fáctica que el señor Almeida</w:t>
            </w:r>
            <w:r w:rsidR="00A72223">
              <w:rPr>
                <w:noProof/>
                <w:webHidden/>
              </w:rPr>
              <w:tab/>
            </w:r>
            <w:r w:rsidR="00A72223">
              <w:rPr>
                <w:noProof/>
                <w:webHidden/>
              </w:rPr>
              <w:fldChar w:fldCharType="begin"/>
            </w:r>
            <w:r w:rsidR="00A72223">
              <w:rPr>
                <w:noProof/>
                <w:webHidden/>
              </w:rPr>
              <w:instrText xml:space="preserve"> PAGEREF _Toc154651930 \h </w:instrText>
            </w:r>
            <w:r w:rsidR="00A72223">
              <w:rPr>
                <w:noProof/>
                <w:webHidden/>
              </w:rPr>
            </w:r>
            <w:r w:rsidR="00A72223">
              <w:rPr>
                <w:noProof/>
                <w:webHidden/>
              </w:rPr>
              <w:fldChar w:fldCharType="separate"/>
            </w:r>
            <w:r w:rsidR="002C0019">
              <w:rPr>
                <w:noProof/>
                <w:webHidden/>
              </w:rPr>
              <w:t>5</w:t>
            </w:r>
            <w:r w:rsidR="00A72223">
              <w:rPr>
                <w:noProof/>
                <w:webHidden/>
              </w:rPr>
              <w:fldChar w:fldCharType="end"/>
            </w:r>
          </w:hyperlink>
        </w:p>
        <w:p w14:paraId="4A63CD7C" w14:textId="613A8A71" w:rsidR="006C74C3" w:rsidRPr="00AB5A00" w:rsidRDefault="006C74C3" w:rsidP="006C74C3">
          <w:r>
            <w:rPr>
              <w:b/>
              <w:bCs/>
              <w:lang w:val="es-ES"/>
            </w:rPr>
            <w:lastRenderedPageBreak/>
            <w:fldChar w:fldCharType="end"/>
          </w:r>
        </w:p>
      </w:sdtContent>
    </w:sdt>
    <w:p w14:paraId="474C83B7" w14:textId="1BE6AA7D" w:rsidR="001E08B5" w:rsidRPr="00F235BD" w:rsidRDefault="003A2F0D" w:rsidP="00D430C1">
      <w:pPr>
        <w:pStyle w:val="Ttulo1"/>
        <w:numPr>
          <w:ilvl w:val="0"/>
          <w:numId w:val="8"/>
        </w:numPr>
        <w:spacing w:before="120" w:after="120"/>
        <w:ind w:left="567" w:firstLine="0"/>
        <w:jc w:val="both"/>
        <w:rPr>
          <w:i/>
        </w:rPr>
      </w:pPr>
      <w:bookmarkStart w:id="1" w:name="_Toc154651928"/>
      <w:r>
        <w:rPr>
          <w:i/>
        </w:rPr>
        <w:t xml:space="preserve">Pago de las cantidades dispuestas en la Sentencia </w:t>
      </w:r>
      <w:r w:rsidR="00F81D59">
        <w:rPr>
          <w:i/>
        </w:rPr>
        <w:t xml:space="preserve">por concepto de restitución, </w:t>
      </w:r>
      <w:r>
        <w:rPr>
          <w:i/>
        </w:rPr>
        <w:t>indemnizaciones</w:t>
      </w:r>
      <w:r w:rsidR="000C77E7">
        <w:rPr>
          <w:i/>
        </w:rPr>
        <w:t xml:space="preserve"> </w:t>
      </w:r>
      <w:r w:rsidR="00B320C1">
        <w:rPr>
          <w:i/>
        </w:rPr>
        <w:t>y reintegro de costas y gastos</w:t>
      </w:r>
      <w:bookmarkEnd w:id="1"/>
    </w:p>
    <w:p w14:paraId="5070259B" w14:textId="01308C6E" w:rsidR="00A22444" w:rsidRPr="00A22444" w:rsidRDefault="00A22444" w:rsidP="009B185C">
      <w:pPr>
        <w:ind w:firstLine="708"/>
        <w:jc w:val="both"/>
        <w:rPr>
          <w:i/>
          <w:iCs/>
          <w:sz w:val="20"/>
          <w:szCs w:val="20"/>
        </w:rPr>
      </w:pPr>
      <w:r w:rsidRPr="00A22444">
        <w:rPr>
          <w:i/>
          <w:iCs/>
          <w:sz w:val="20"/>
          <w:szCs w:val="20"/>
        </w:rPr>
        <w:t>A.1</w:t>
      </w:r>
      <w:r w:rsidR="009B185C">
        <w:rPr>
          <w:i/>
          <w:iCs/>
          <w:sz w:val="20"/>
          <w:szCs w:val="20"/>
        </w:rPr>
        <w:t>.</w:t>
      </w:r>
      <w:r w:rsidRPr="00A22444">
        <w:rPr>
          <w:i/>
          <w:iCs/>
          <w:sz w:val="20"/>
          <w:szCs w:val="20"/>
        </w:rPr>
        <w:t xml:space="preserve"> </w:t>
      </w:r>
      <w:r w:rsidRPr="00A22444">
        <w:rPr>
          <w:i/>
          <w:iCs/>
          <w:sz w:val="20"/>
          <w:szCs w:val="20"/>
        </w:rPr>
        <w:tab/>
        <w:t>Medida</w:t>
      </w:r>
      <w:r w:rsidR="00AF7D61">
        <w:rPr>
          <w:i/>
          <w:iCs/>
          <w:sz w:val="20"/>
          <w:szCs w:val="20"/>
        </w:rPr>
        <w:t>s</w:t>
      </w:r>
      <w:r w:rsidRPr="00A22444">
        <w:rPr>
          <w:i/>
          <w:iCs/>
          <w:sz w:val="20"/>
          <w:szCs w:val="20"/>
        </w:rPr>
        <w:t xml:space="preserve"> ordenada</w:t>
      </w:r>
      <w:r w:rsidR="00AF7D61">
        <w:rPr>
          <w:i/>
          <w:iCs/>
          <w:sz w:val="20"/>
          <w:szCs w:val="20"/>
        </w:rPr>
        <w:t>s</w:t>
      </w:r>
      <w:r w:rsidRPr="00A22444">
        <w:rPr>
          <w:i/>
          <w:iCs/>
          <w:sz w:val="20"/>
          <w:szCs w:val="20"/>
        </w:rPr>
        <w:t xml:space="preserve"> por la Corte</w:t>
      </w:r>
    </w:p>
    <w:p w14:paraId="3F904431" w14:textId="6DBC7D71" w:rsidR="00480B58" w:rsidRPr="0004203C" w:rsidRDefault="00412614" w:rsidP="00385CC7">
      <w:pPr>
        <w:pStyle w:val="Textoindependiente"/>
        <w:numPr>
          <w:ilvl w:val="0"/>
          <w:numId w:val="3"/>
        </w:numPr>
        <w:tabs>
          <w:tab w:val="left" w:pos="851"/>
        </w:tabs>
        <w:spacing w:before="120" w:after="120"/>
        <w:ind w:left="0" w:firstLine="0"/>
        <w:jc w:val="both"/>
        <w:rPr>
          <w:sz w:val="24"/>
          <w:szCs w:val="24"/>
        </w:rPr>
      </w:pPr>
      <w:r w:rsidRPr="00412614">
        <w:t xml:space="preserve">En </w:t>
      </w:r>
      <w:r w:rsidR="00B320C1">
        <w:t>los</w:t>
      </w:r>
      <w:r w:rsidRPr="00412614">
        <w:t xml:space="preserve"> punto</w:t>
      </w:r>
      <w:r w:rsidR="00B320C1">
        <w:t>s</w:t>
      </w:r>
      <w:r w:rsidRPr="00412614">
        <w:t xml:space="preserve"> resolutivo</w:t>
      </w:r>
      <w:r w:rsidR="00B320C1">
        <w:t>s</w:t>
      </w:r>
      <w:r w:rsidRPr="00412614">
        <w:t xml:space="preserve"> </w:t>
      </w:r>
      <w:r w:rsidR="006D3EEB">
        <w:t>cuarto</w:t>
      </w:r>
      <w:r w:rsidR="00B320C1">
        <w:t xml:space="preserve"> y séptimo</w:t>
      </w:r>
      <w:r w:rsidRPr="00412614">
        <w:t xml:space="preserve"> </w:t>
      </w:r>
      <w:r w:rsidR="00B320C1" w:rsidRPr="00412614">
        <w:t>de la Sentencia</w:t>
      </w:r>
      <w:r w:rsidR="002D169D">
        <w:t xml:space="preserve"> se dispuso que, en el plazo de un año</w:t>
      </w:r>
      <w:r w:rsidR="002D169D" w:rsidRPr="002D169D">
        <w:t xml:space="preserve"> contado a partir de la notificación de la Sentencia</w:t>
      </w:r>
      <w:r w:rsidR="002D169D">
        <w:t>, el Estado debía pagar</w:t>
      </w:r>
      <w:r w:rsidR="00346BE1">
        <w:t>:</w:t>
      </w:r>
      <w:r w:rsidR="00F81D59">
        <w:t xml:space="preserve"> </w:t>
      </w:r>
      <w:r w:rsidR="00346BE1">
        <w:t xml:space="preserve">(i) </w:t>
      </w:r>
      <w:r w:rsidR="00F81D59">
        <w:t>a</w:t>
      </w:r>
      <w:r w:rsidR="00346BE1">
        <w:t xml:space="preserve"> la víctima</w:t>
      </w:r>
      <w:r w:rsidR="00F81D59">
        <w:t xml:space="preserve"> Rufino Jorge Almeida</w:t>
      </w:r>
      <w:r w:rsidR="0004203C">
        <w:t>, “</w:t>
      </w:r>
      <w:r w:rsidR="00A8091F">
        <w:t>como medida de restitución</w:t>
      </w:r>
      <w:r w:rsidR="0004203C">
        <w:t>”,</w:t>
      </w:r>
      <w:r w:rsidR="00903AD5">
        <w:t xml:space="preserve"> </w:t>
      </w:r>
      <w:r w:rsidR="00346BE1">
        <w:t xml:space="preserve">la cantidad fijada en el párrafo 62 de la Sentencia </w:t>
      </w:r>
      <w:r w:rsidR="00A8091F">
        <w:t>“</w:t>
      </w:r>
      <w:r w:rsidR="00346BE1">
        <w:t xml:space="preserve">por concepto de indemnización por </w:t>
      </w:r>
      <w:r w:rsidR="00A8091F">
        <w:t xml:space="preserve">el tiempo que permaneció en un régimen de libertad vigilada </w:t>
      </w:r>
      <w:r w:rsidR="00A8091F" w:rsidRPr="00385CC7">
        <w:rPr>
          <w:i/>
          <w:iCs/>
        </w:rPr>
        <w:t>de facto</w:t>
      </w:r>
      <w:r w:rsidR="00A8091F">
        <w:t>”</w:t>
      </w:r>
      <w:r w:rsidR="00346BE1">
        <w:t>; (</w:t>
      </w:r>
      <w:proofErr w:type="spellStart"/>
      <w:r w:rsidR="00346BE1">
        <w:t>ii</w:t>
      </w:r>
      <w:proofErr w:type="spellEnd"/>
      <w:r w:rsidR="00346BE1">
        <w:t>) a la víctima Rufino Jorge Almeida</w:t>
      </w:r>
      <w:r w:rsidR="00A8091F">
        <w:t xml:space="preserve"> las indemnizaciones por concepto de daño</w:t>
      </w:r>
      <w:r w:rsidR="00346BE1">
        <w:t>s</w:t>
      </w:r>
      <w:r w:rsidR="00A8091F">
        <w:t xml:space="preserve"> material e inmaterial</w:t>
      </w:r>
      <w:r w:rsidR="00346BE1">
        <w:t xml:space="preserve"> fijadas en los párrafos 76 y 82 de la Sentencia</w:t>
      </w:r>
      <w:r w:rsidR="00A8091F">
        <w:t xml:space="preserve">, </w:t>
      </w:r>
      <w:r w:rsidR="00594C20" w:rsidRPr="006A36E2">
        <w:t>y (</w:t>
      </w:r>
      <w:proofErr w:type="spellStart"/>
      <w:r w:rsidR="00594C20" w:rsidRPr="006A36E2">
        <w:t>iii</w:t>
      </w:r>
      <w:proofErr w:type="spellEnd"/>
      <w:r w:rsidR="00594C20" w:rsidRPr="006A36E2">
        <w:t>)</w:t>
      </w:r>
      <w:r w:rsidR="00594C20">
        <w:rPr>
          <w:color w:val="00B050"/>
        </w:rPr>
        <w:t xml:space="preserve"> </w:t>
      </w:r>
      <w:r w:rsidR="00A8091F">
        <w:t xml:space="preserve">a la </w:t>
      </w:r>
      <w:r w:rsidR="00515C51">
        <w:t xml:space="preserve">señora Myriam </w:t>
      </w:r>
      <w:proofErr w:type="spellStart"/>
      <w:r w:rsidR="00515C51">
        <w:t>Carsen</w:t>
      </w:r>
      <w:proofErr w:type="spellEnd"/>
      <w:r w:rsidR="00515C51">
        <w:t xml:space="preserve">, representante legal de la víctima, la cantidad fijada </w:t>
      </w:r>
      <w:r w:rsidR="00594C20">
        <w:t xml:space="preserve">en el párrafo 86 de la Sentencia </w:t>
      </w:r>
      <w:r w:rsidR="00515C51">
        <w:t xml:space="preserve">por concepto de reintegro de costas y gastos. </w:t>
      </w:r>
    </w:p>
    <w:p w14:paraId="2E980E45" w14:textId="01492F0D" w:rsidR="00584285" w:rsidRPr="009B185C" w:rsidRDefault="002D169D" w:rsidP="00062478">
      <w:pPr>
        <w:pStyle w:val="Textoindependiente"/>
        <w:numPr>
          <w:ilvl w:val="0"/>
          <w:numId w:val="3"/>
        </w:numPr>
        <w:tabs>
          <w:tab w:val="left" w:pos="851"/>
        </w:tabs>
        <w:spacing w:before="120" w:after="120"/>
        <w:ind w:left="0" w:firstLine="0"/>
        <w:jc w:val="both"/>
        <w:rPr>
          <w:sz w:val="24"/>
          <w:szCs w:val="24"/>
        </w:rPr>
      </w:pPr>
      <w:r w:rsidRPr="0060409F">
        <w:t xml:space="preserve">En los párrafos 87 a 92 de la Sentencia se estableció la modalidad de cumplimiento de los </w:t>
      </w:r>
      <w:r w:rsidR="00515C51">
        <w:t xml:space="preserve">referidos </w:t>
      </w:r>
      <w:r w:rsidRPr="0060409F">
        <w:t>pagos</w:t>
      </w:r>
      <w:r w:rsidR="009B185C">
        <w:rPr>
          <w:rStyle w:val="Refdenotaalpie"/>
        </w:rPr>
        <w:footnoteReference w:id="4"/>
      </w:r>
      <w:r w:rsidRPr="0060409F">
        <w:t>.</w:t>
      </w:r>
      <w:r w:rsidR="00C24BBC" w:rsidRPr="0060409F">
        <w:t xml:space="preserve"> </w:t>
      </w:r>
    </w:p>
    <w:p w14:paraId="25D60E34" w14:textId="77777777" w:rsidR="009B185C" w:rsidRPr="009B185C" w:rsidRDefault="009B185C" w:rsidP="009B185C">
      <w:pPr>
        <w:pStyle w:val="Textoindependiente"/>
        <w:tabs>
          <w:tab w:val="left" w:pos="851"/>
        </w:tabs>
        <w:spacing w:before="120" w:after="120"/>
        <w:jc w:val="both"/>
        <w:rPr>
          <w:sz w:val="24"/>
          <w:szCs w:val="24"/>
        </w:rPr>
      </w:pPr>
    </w:p>
    <w:p w14:paraId="5EE754F0" w14:textId="0D4CA437" w:rsidR="00921B7E" w:rsidRDefault="005B123D" w:rsidP="009B185C">
      <w:pPr>
        <w:ind w:firstLine="708"/>
        <w:jc w:val="both"/>
        <w:rPr>
          <w:i/>
          <w:iCs/>
          <w:sz w:val="20"/>
          <w:szCs w:val="20"/>
        </w:rPr>
      </w:pPr>
      <w:r w:rsidRPr="00A22444">
        <w:rPr>
          <w:i/>
          <w:iCs/>
          <w:sz w:val="20"/>
          <w:szCs w:val="20"/>
        </w:rPr>
        <w:t>A.</w:t>
      </w:r>
      <w:r>
        <w:rPr>
          <w:i/>
          <w:iCs/>
          <w:sz w:val="20"/>
          <w:szCs w:val="20"/>
        </w:rPr>
        <w:t>2</w:t>
      </w:r>
      <w:r w:rsidR="009B185C">
        <w:rPr>
          <w:i/>
          <w:iCs/>
          <w:sz w:val="20"/>
          <w:szCs w:val="20"/>
        </w:rPr>
        <w:t>.</w:t>
      </w:r>
      <w:r w:rsidRPr="00A22444">
        <w:rPr>
          <w:i/>
          <w:iCs/>
          <w:sz w:val="20"/>
          <w:szCs w:val="20"/>
        </w:rPr>
        <w:t xml:space="preserve"> </w:t>
      </w:r>
      <w:r w:rsidRPr="00A22444">
        <w:rPr>
          <w:i/>
          <w:iCs/>
          <w:sz w:val="20"/>
          <w:szCs w:val="20"/>
        </w:rPr>
        <w:tab/>
      </w:r>
      <w:r>
        <w:rPr>
          <w:i/>
          <w:iCs/>
          <w:sz w:val="20"/>
          <w:szCs w:val="20"/>
        </w:rPr>
        <w:t>Consideraciones de</w:t>
      </w:r>
      <w:r w:rsidRPr="00A22444">
        <w:rPr>
          <w:i/>
          <w:iCs/>
          <w:sz w:val="20"/>
          <w:szCs w:val="20"/>
        </w:rPr>
        <w:t xml:space="preserve"> la Corte</w:t>
      </w:r>
    </w:p>
    <w:p w14:paraId="10CCC16A" w14:textId="2EA22312" w:rsidR="004E6078" w:rsidRDefault="004E6078" w:rsidP="00CF7716">
      <w:pPr>
        <w:pStyle w:val="Textoindependiente"/>
        <w:numPr>
          <w:ilvl w:val="0"/>
          <w:numId w:val="3"/>
        </w:numPr>
        <w:tabs>
          <w:tab w:val="left" w:pos="851"/>
        </w:tabs>
        <w:spacing w:before="120" w:after="120"/>
        <w:ind w:left="0" w:firstLine="0"/>
        <w:jc w:val="both"/>
      </w:pPr>
      <w:r>
        <w:t>Con base en la información aportada por Argentina</w:t>
      </w:r>
      <w:r w:rsidRPr="00CF7716">
        <w:rPr>
          <w:rStyle w:val="Refdenotaalpie"/>
        </w:rPr>
        <w:footnoteReference w:id="5"/>
      </w:r>
      <w:r>
        <w:t xml:space="preserve"> y lo observado por la representante</w:t>
      </w:r>
      <w:r w:rsidRPr="00CF7716">
        <w:rPr>
          <w:rStyle w:val="Refdenotaalpie"/>
        </w:rPr>
        <w:footnoteReference w:id="6"/>
      </w:r>
      <w:r>
        <w:t xml:space="preserve">, la Corte constata que </w:t>
      </w:r>
      <w:r w:rsidR="00594C20" w:rsidRPr="00CF7716">
        <w:t>el 20 de diciembre de 2021 se publicó el decreto</w:t>
      </w:r>
      <w:r w:rsidR="00594C20" w:rsidRPr="00CF7716">
        <w:rPr>
          <w:b/>
          <w:bCs/>
          <w:sz w:val="16"/>
          <w:szCs w:val="16"/>
        </w:rPr>
        <w:t xml:space="preserve"> </w:t>
      </w:r>
      <w:r w:rsidR="00594C20" w:rsidRPr="00CF7716">
        <w:t>que dispuso el pago de los montos ordenados en la Sentencia</w:t>
      </w:r>
      <w:r w:rsidR="00594C20" w:rsidRPr="00CF7716">
        <w:rPr>
          <w:rStyle w:val="Refdenotaalpie"/>
        </w:rPr>
        <w:footnoteReference w:id="7"/>
      </w:r>
      <w:r w:rsidR="00465984">
        <w:t>, el 25 de abril de 2022 se emitieron las respectivas órdenes de pago</w:t>
      </w:r>
      <w:r w:rsidR="00594C20">
        <w:t xml:space="preserve"> y </w:t>
      </w:r>
      <w:r>
        <w:t xml:space="preserve">el 26 de mayo de 2022 se efectuaron </w:t>
      </w:r>
      <w:r w:rsidR="00594C20">
        <w:t xml:space="preserve">los </w:t>
      </w:r>
      <w:r>
        <w:t xml:space="preserve">pagos a la víctima del caso por concepto de las indemnizaciones dispuestas a su favor en la Sentencia y a su representante por el reintegro de costas y gastos. </w:t>
      </w:r>
    </w:p>
    <w:p w14:paraId="5BA371A8" w14:textId="0E630CE4" w:rsidR="00584285" w:rsidRDefault="004E6078" w:rsidP="009B185C">
      <w:pPr>
        <w:pStyle w:val="Textoindependiente"/>
        <w:numPr>
          <w:ilvl w:val="0"/>
          <w:numId w:val="3"/>
        </w:numPr>
        <w:tabs>
          <w:tab w:val="left" w:pos="851"/>
        </w:tabs>
        <w:spacing w:before="120" w:after="120"/>
        <w:ind w:left="0" w:firstLine="0"/>
        <w:jc w:val="both"/>
      </w:pPr>
      <w:r>
        <w:t xml:space="preserve">Si bien la </w:t>
      </w:r>
      <w:r w:rsidRPr="00EC1B8D">
        <w:rPr>
          <w:i/>
          <w:iCs/>
        </w:rPr>
        <w:t>representante</w:t>
      </w:r>
      <w:r>
        <w:t xml:space="preserve"> confirmó que se habían realizado dichos pagos, </w:t>
      </w:r>
      <w:r w:rsidR="002302C2">
        <w:t xml:space="preserve">consideró que “no ha sido cumplida en su totalidad la obligación del Estado relativa a indemnizaciones, gastos y costas”, </w:t>
      </w:r>
      <w:r w:rsidR="00DE1086">
        <w:t xml:space="preserve">y </w:t>
      </w:r>
      <w:r>
        <w:t>present</w:t>
      </w:r>
      <w:r w:rsidR="00DE1086">
        <w:t>ó</w:t>
      </w:r>
      <w:r>
        <w:t xml:space="preserve"> algunas observaciones</w:t>
      </w:r>
      <w:r w:rsidR="00DE1086">
        <w:t>, las cuales se exponen en los párrafos siguientes</w:t>
      </w:r>
      <w:r>
        <w:t xml:space="preserve">. </w:t>
      </w:r>
      <w:r w:rsidR="00DE1086" w:rsidRPr="00F72F56">
        <w:t xml:space="preserve">El </w:t>
      </w:r>
      <w:r w:rsidR="00DE1086" w:rsidRPr="00EC1B8D">
        <w:rPr>
          <w:i/>
          <w:iCs/>
        </w:rPr>
        <w:t>Estado</w:t>
      </w:r>
      <w:r w:rsidR="00DE1086" w:rsidRPr="00F72F56">
        <w:t xml:space="preserve"> </w:t>
      </w:r>
      <w:r w:rsidR="00DE1086">
        <w:t>se refirió</w:t>
      </w:r>
      <w:r w:rsidR="00DE1086" w:rsidRPr="00F72F56">
        <w:t xml:space="preserve"> a </w:t>
      </w:r>
      <w:r w:rsidR="00DE1086">
        <w:t>dichas</w:t>
      </w:r>
      <w:r w:rsidR="00DE1086" w:rsidRPr="00F72F56">
        <w:t xml:space="preserve"> observaciones </w:t>
      </w:r>
      <w:r w:rsidR="00DE1086">
        <w:t>de la representante, “</w:t>
      </w:r>
      <w:proofErr w:type="spellStart"/>
      <w:r w:rsidR="00DE1086">
        <w:t>estim</w:t>
      </w:r>
      <w:proofErr w:type="spellEnd"/>
      <w:r w:rsidR="00DE1086">
        <w:t>[</w:t>
      </w:r>
      <w:proofErr w:type="spellStart"/>
      <w:r w:rsidR="00DE1086">
        <w:t>ó</w:t>
      </w:r>
      <w:proofErr w:type="spellEnd"/>
      <w:r w:rsidR="00DE1086">
        <w:t>] debidamente cumplido lo ordenado en los puntos resolutivos 4 y 7 de la Sentencia” y solicitó que se declare su “cumplimiento total”</w:t>
      </w:r>
      <w:r w:rsidR="00DE1086">
        <w:rPr>
          <w:rStyle w:val="Refdenotaalpie"/>
        </w:rPr>
        <w:footnoteReference w:id="8"/>
      </w:r>
      <w:r w:rsidR="00157A86">
        <w:t>.</w:t>
      </w:r>
    </w:p>
    <w:p w14:paraId="741086D3" w14:textId="1D3932FC" w:rsidR="0004203C" w:rsidRDefault="00DE1086" w:rsidP="0004203C">
      <w:pPr>
        <w:pStyle w:val="Textoindependiente"/>
        <w:numPr>
          <w:ilvl w:val="0"/>
          <w:numId w:val="3"/>
        </w:numPr>
        <w:tabs>
          <w:tab w:val="left" w:pos="851"/>
        </w:tabs>
        <w:spacing w:before="120" w:after="120"/>
        <w:ind w:left="0" w:firstLine="0"/>
        <w:jc w:val="both"/>
      </w:pPr>
      <w:r>
        <w:t xml:space="preserve">La </w:t>
      </w:r>
      <w:r w:rsidRPr="009B185C">
        <w:rPr>
          <w:i/>
          <w:iCs/>
        </w:rPr>
        <w:t>representante</w:t>
      </w:r>
      <w:r>
        <w:t xml:space="preserve"> objetó</w:t>
      </w:r>
      <w:r w:rsidR="002302C2">
        <w:t>, e</w:t>
      </w:r>
      <w:r w:rsidR="004E6078">
        <w:t>n cuanto “[al] pago efectuado al señor Rufino Jorge Almeida”</w:t>
      </w:r>
      <w:r>
        <w:t>,</w:t>
      </w:r>
      <w:r w:rsidR="004E6078">
        <w:t xml:space="preserve"> </w:t>
      </w:r>
      <w:r w:rsidR="009B185C">
        <w:t xml:space="preserve">que </w:t>
      </w:r>
      <w:r w:rsidR="004E6078">
        <w:t xml:space="preserve">no era “posible confirmar si […] resulta ajustado a [la] sentencia, ya que se abonó en pesos </w:t>
      </w:r>
      <w:r w:rsidR="009B185C">
        <w:t xml:space="preserve">[argentinos] </w:t>
      </w:r>
      <w:r w:rsidR="004E6078">
        <w:t xml:space="preserve">y con demora, sin haberse informado a la víctima la tasa de interés aplicada e intereses devengados, período computado, y fecha y cotización del dólar considerada para el cálculo del pago en pesos”. </w:t>
      </w:r>
    </w:p>
    <w:p w14:paraId="54DA62A7" w14:textId="57F52B8E" w:rsidR="00F72F56" w:rsidRDefault="001D2624" w:rsidP="0004203C">
      <w:pPr>
        <w:pStyle w:val="Textoindependiente"/>
        <w:numPr>
          <w:ilvl w:val="0"/>
          <w:numId w:val="3"/>
        </w:numPr>
        <w:tabs>
          <w:tab w:val="left" w:pos="851"/>
        </w:tabs>
        <w:spacing w:before="120" w:after="120"/>
        <w:ind w:left="0" w:firstLine="0"/>
        <w:jc w:val="both"/>
      </w:pPr>
      <w:r>
        <w:lastRenderedPageBreak/>
        <w:t>En cuanto a</w:t>
      </w:r>
      <w:r w:rsidR="002302C2">
        <w:t xml:space="preserve"> la observación sobre el </w:t>
      </w:r>
      <w:r>
        <w:t xml:space="preserve">tipo de cambio entre el dólar estadounidense y el peso argentino, </w:t>
      </w:r>
      <w:r w:rsidRPr="0004203C">
        <w:rPr>
          <w:i/>
          <w:iCs/>
        </w:rPr>
        <w:t>Argentina</w:t>
      </w:r>
      <w:r>
        <w:t xml:space="preserve"> informó que</w:t>
      </w:r>
      <w:r w:rsidR="00DE1086">
        <w:t>,</w:t>
      </w:r>
      <w:r>
        <w:t xml:space="preserve"> </w:t>
      </w:r>
      <w:r w:rsidR="00CB2FA1">
        <w:t xml:space="preserve">“como en todos los casos […], canceló los montos de las reparaciones previstas en moneda de curso legal vigente en el país, a la </w:t>
      </w:r>
      <w:r w:rsidR="00CB2FA1" w:rsidRPr="005443EB">
        <w:t>cotización del dólar estadounidense del Banco de la Nación Argentina, al cierre del día anterior al devengamiento</w:t>
      </w:r>
      <w:r w:rsidR="004B71A9">
        <w:t>”</w:t>
      </w:r>
      <w:r w:rsidR="00CB2FA1">
        <w:rPr>
          <w:rStyle w:val="Refdenotaalpie"/>
        </w:rPr>
        <w:footnoteReference w:id="9"/>
      </w:r>
      <w:r w:rsidR="009B185C">
        <w:t xml:space="preserve">. Asimismo, </w:t>
      </w:r>
      <w:r w:rsidR="00CB2FA1">
        <w:t>recordó la “jurisprudencia constante” en la cual la Corte</w:t>
      </w:r>
      <w:r w:rsidR="00741F96">
        <w:t xml:space="preserve"> Interamericana</w:t>
      </w:r>
      <w:r w:rsidR="00CB2FA1">
        <w:t xml:space="preserve"> ha aceptado la utilización de esta tasa de cambio para el cumplimiento de los pagos dispuestos en distintas sentencias cont</w:t>
      </w:r>
      <w:r w:rsidR="00DE1086">
        <w:t>r</w:t>
      </w:r>
      <w:r w:rsidR="00CB2FA1">
        <w:t>a Argentina.</w:t>
      </w:r>
    </w:p>
    <w:p w14:paraId="0E819C71" w14:textId="74733472" w:rsidR="00CB2FA1" w:rsidRPr="002E0A8D" w:rsidRDefault="00CB2FA1" w:rsidP="00170007">
      <w:pPr>
        <w:pStyle w:val="Textoindependiente"/>
        <w:numPr>
          <w:ilvl w:val="0"/>
          <w:numId w:val="3"/>
        </w:numPr>
        <w:tabs>
          <w:tab w:val="left" w:pos="851"/>
        </w:tabs>
        <w:spacing w:before="120" w:after="120"/>
        <w:ind w:left="0" w:firstLine="0"/>
        <w:jc w:val="both"/>
      </w:pPr>
      <w:r>
        <w:t>Respecto a las observaciones sobre el cálculo de los interese</w:t>
      </w:r>
      <w:r w:rsidR="00DE1086">
        <w:t>s</w:t>
      </w:r>
      <w:r>
        <w:t xml:space="preserve"> moratorios</w:t>
      </w:r>
      <w:r w:rsidR="004B71A9">
        <w:t xml:space="preserve">, el </w:t>
      </w:r>
      <w:r w:rsidR="004B71A9" w:rsidRPr="004B71A9">
        <w:rPr>
          <w:i/>
          <w:iCs/>
        </w:rPr>
        <w:t xml:space="preserve">Estado </w:t>
      </w:r>
      <w:r w:rsidR="004B71A9">
        <w:t xml:space="preserve">explicó que utilizó “la </w:t>
      </w:r>
      <w:r w:rsidR="00DE1086">
        <w:t>t</w:t>
      </w:r>
      <w:r w:rsidR="004B71A9">
        <w:t>asa activa del Banco de la Nación de la República Argentina sobre el valor en dólares</w:t>
      </w:r>
      <w:r w:rsidR="00FF4738">
        <w:t>” que es “la que está obligada a abonar el Tesoro”</w:t>
      </w:r>
      <w:r w:rsidR="004B71A9">
        <w:t>, indicando el monto de intereses moratorios que se pagó a la víctima y a la representante</w:t>
      </w:r>
      <w:r w:rsidR="004B71A9">
        <w:rPr>
          <w:rStyle w:val="Refdenotaalpie"/>
        </w:rPr>
        <w:footnoteReference w:id="10"/>
      </w:r>
      <w:r w:rsidR="004B71A9">
        <w:t>. Adicionalmente</w:t>
      </w:r>
      <w:r w:rsidR="00FF4738">
        <w:t xml:space="preserve">, </w:t>
      </w:r>
      <w:r w:rsidR="00A91EA0">
        <w:t xml:space="preserve">indicó que se pagaron </w:t>
      </w:r>
      <w:r w:rsidR="00170007">
        <w:t>cuatro</w:t>
      </w:r>
      <w:r w:rsidR="00A91EA0">
        <w:t xml:space="preserve"> meses de intereses moratorios, los cuales “se calcularon por el plazo transcurrido entre el 18 de diciembre de 2021</w:t>
      </w:r>
      <w:r w:rsidR="00170007">
        <w:t>[, fecha en que venció el plazo de un año dispuesto en la Sentencia, y el]</w:t>
      </w:r>
      <w:r w:rsidR="00A91EA0">
        <w:t xml:space="preserve"> 25 de abril de 2022, cuando se emitió la orden de pago”. </w:t>
      </w:r>
    </w:p>
    <w:p w14:paraId="5BE6B0F9" w14:textId="1810A40C" w:rsidR="002E0A8D" w:rsidRPr="0054420C" w:rsidRDefault="00DE1086" w:rsidP="002302C2">
      <w:pPr>
        <w:pStyle w:val="Textoindependiente"/>
        <w:numPr>
          <w:ilvl w:val="0"/>
          <w:numId w:val="3"/>
        </w:numPr>
        <w:tabs>
          <w:tab w:val="left" w:pos="851"/>
        </w:tabs>
        <w:spacing w:before="120" w:after="120"/>
        <w:ind w:left="0" w:firstLine="0"/>
        <w:jc w:val="both"/>
      </w:pPr>
      <w:r>
        <w:t xml:space="preserve">Respecto al reintegro de costas y gastos, la </w:t>
      </w:r>
      <w:r w:rsidRPr="0004203C">
        <w:rPr>
          <w:i/>
          <w:iCs/>
        </w:rPr>
        <w:t xml:space="preserve">representante </w:t>
      </w:r>
      <w:r>
        <w:t xml:space="preserve">presentó una solicitud de “aclaración” en cuanto a “los alcances de la Sentencia en lo referente a [este] pago”, por considerar que no se realizó de manera íntegra. Al respecto, señaló que, según el derecho interno, a dicho reintegro, que corresponde “al </w:t>
      </w:r>
      <w:proofErr w:type="gramStart"/>
      <w:r>
        <w:t>honorario[</w:t>
      </w:r>
      <w:proofErr w:type="gramEnd"/>
      <w:r>
        <w:t>,] debe adicionarse (cuando el/la abogado/a es responsable inscripto/a ante el Impuesto al Valor Agregado- IVA) el 21% correspondiente a dicho impuesto”, lo cual no fue realizado por el Estado al efectuar el reintegro de costas y gastos</w:t>
      </w:r>
      <w:r>
        <w:rPr>
          <w:rStyle w:val="Refdenotaalpie"/>
        </w:rPr>
        <w:footnoteReference w:id="11"/>
      </w:r>
      <w:r>
        <w:t xml:space="preserve">. </w:t>
      </w:r>
      <w:r w:rsidR="002E0A8D" w:rsidRPr="002E0A8D">
        <w:t xml:space="preserve">Sobre lo alegado por la representante en cuanto </w:t>
      </w:r>
      <w:r w:rsidR="002E0A8D">
        <w:t>a que no fue adicionado el monto del IVA al pago del reintegro de costas y gastos</w:t>
      </w:r>
      <w:r w:rsidR="0021527B">
        <w:t xml:space="preserve">, el </w:t>
      </w:r>
      <w:r w:rsidR="0021527B" w:rsidRPr="0004203C">
        <w:rPr>
          <w:i/>
          <w:iCs/>
        </w:rPr>
        <w:t>Estado</w:t>
      </w:r>
      <w:r w:rsidR="0021527B">
        <w:t xml:space="preserve"> </w:t>
      </w:r>
      <w:r>
        <w:t xml:space="preserve">informó que durante la implementación interna del pago </w:t>
      </w:r>
      <w:r w:rsidR="0021527B">
        <w:t>había respondido una comunicación electrónica a la representante indicándole que “no existen precedentes en la jurisprudencia de la Corte Interamericana en los que se haya ordenado adicionar IVA, dado que el Tribunal fija un capital determinado por concepto de honorarios, con más los intereses moratorios”, los cuales ya le habían sido cancelados</w:t>
      </w:r>
      <w:r w:rsidR="0054420C">
        <w:rPr>
          <w:rStyle w:val="Refdenotaalpie"/>
        </w:rPr>
        <w:footnoteReference w:id="12"/>
      </w:r>
      <w:r w:rsidR="0021527B">
        <w:t>.</w:t>
      </w:r>
      <w:r w:rsidR="0054420C">
        <w:t xml:space="preserve"> </w:t>
      </w:r>
    </w:p>
    <w:p w14:paraId="791B57A0" w14:textId="27F6C9A7" w:rsidR="001B5164" w:rsidRDefault="001B5164" w:rsidP="005F4E55">
      <w:pPr>
        <w:pStyle w:val="Textoindependiente"/>
        <w:numPr>
          <w:ilvl w:val="0"/>
          <w:numId w:val="3"/>
        </w:numPr>
        <w:tabs>
          <w:tab w:val="left" w:pos="851"/>
        </w:tabs>
        <w:spacing w:before="120" w:after="120"/>
        <w:ind w:left="0" w:firstLine="0"/>
        <w:jc w:val="both"/>
      </w:pPr>
      <w:bookmarkStart w:id="2" w:name="_Hlk160188697"/>
      <w:r w:rsidRPr="001B5164">
        <w:t xml:space="preserve">Con posterioridad a estas explicaciones del Estado, se otorgó </w:t>
      </w:r>
      <w:r w:rsidR="00E13558" w:rsidRPr="001B5164">
        <w:t xml:space="preserve">a la representante </w:t>
      </w:r>
      <w:r w:rsidRPr="001B5164">
        <w:t>un plazo para</w:t>
      </w:r>
      <w:r w:rsidR="00E13558">
        <w:t xml:space="preserve"> que presentara sus</w:t>
      </w:r>
      <w:r w:rsidRPr="001B5164">
        <w:t xml:space="preserve"> observaciones. En </w:t>
      </w:r>
      <w:r w:rsidR="00E13558">
        <w:t>éstas</w:t>
      </w:r>
      <w:r w:rsidRPr="001B5164">
        <w:t xml:space="preserve">, </w:t>
      </w:r>
      <w:r w:rsidRPr="001B5164">
        <w:rPr>
          <w:i/>
          <w:iCs/>
        </w:rPr>
        <w:t xml:space="preserve">la representante </w:t>
      </w:r>
      <w:r w:rsidRPr="001B5164">
        <w:t>únicamente insistió en que se adeudaba una diferencia por “30 días” de intereses moratorios, que se devengaron por el transcurso del tiempo entre la fecha de la orden de los pagos y el momento en que éstos se concretaron</w:t>
      </w:r>
      <w:r w:rsidR="00E13558">
        <w:t xml:space="preserve"> (</w:t>
      </w:r>
      <w:r w:rsidR="00E13558" w:rsidRPr="00E13558">
        <w:rPr>
          <w:i/>
          <w:iCs/>
        </w:rPr>
        <w:t>supra</w:t>
      </w:r>
      <w:r w:rsidR="00E13558">
        <w:t xml:space="preserve"> Considerandos 4 y 8)</w:t>
      </w:r>
      <w:r w:rsidRPr="001B5164">
        <w:t xml:space="preserve">, así como por el aumento en el </w:t>
      </w:r>
      <w:r w:rsidR="00E13558">
        <w:t xml:space="preserve">valor del </w:t>
      </w:r>
      <w:r w:rsidRPr="001B5164">
        <w:t xml:space="preserve">tipo de cambio </w:t>
      </w:r>
      <w:r w:rsidR="00E13558">
        <w:t xml:space="preserve">entre el peso argentino y el dólar que se presentó </w:t>
      </w:r>
      <w:r w:rsidRPr="001B5164">
        <w:t>durante esos 30 días. La representante no cuestionó la tasa de cambio entre el peso argentino y el dólar estadounidense que fue utilizada por el Estado para los pagos (</w:t>
      </w:r>
      <w:r w:rsidRPr="00E13558">
        <w:rPr>
          <w:i/>
          <w:iCs/>
        </w:rPr>
        <w:t>supra</w:t>
      </w:r>
      <w:r w:rsidRPr="001B5164">
        <w:t xml:space="preserve"> Considerando </w:t>
      </w:r>
      <w:r w:rsidR="005E2623">
        <w:t>7</w:t>
      </w:r>
      <w:r w:rsidRPr="001B5164">
        <w:t>)</w:t>
      </w:r>
      <w:r w:rsidR="00E13558">
        <w:t>,</w:t>
      </w:r>
      <w:r w:rsidRPr="001B5164">
        <w:t xml:space="preserve"> ni solicitó un reajuste por una afectación sustancial del valor adquisitivo de la moneda</w:t>
      </w:r>
      <w:r w:rsidR="00E13558">
        <w:t xml:space="preserve"> (</w:t>
      </w:r>
      <w:r w:rsidR="00E13558" w:rsidRPr="00E13558">
        <w:rPr>
          <w:i/>
          <w:iCs/>
        </w:rPr>
        <w:t xml:space="preserve">supra </w:t>
      </w:r>
      <w:r w:rsidR="00E13558">
        <w:t>nota al pie 4)</w:t>
      </w:r>
      <w:r>
        <w:t>.</w:t>
      </w:r>
      <w:r w:rsidRPr="001B5164">
        <w:rPr>
          <w:sz w:val="16"/>
          <w:szCs w:val="16"/>
        </w:rPr>
        <w:t xml:space="preserve"> </w:t>
      </w:r>
      <w:r>
        <w:t xml:space="preserve">También, reiteró que “nunca se adicionó el I[VA]” al reintegro de costas y gastos. </w:t>
      </w:r>
    </w:p>
    <w:p w14:paraId="12A3CF7A" w14:textId="77777777" w:rsidR="00465984" w:rsidRPr="001B5164" w:rsidRDefault="00465984" w:rsidP="00465984">
      <w:pPr>
        <w:pStyle w:val="Textoindependiente"/>
        <w:tabs>
          <w:tab w:val="left" w:pos="851"/>
        </w:tabs>
        <w:spacing w:before="120" w:after="120"/>
        <w:jc w:val="both"/>
      </w:pPr>
    </w:p>
    <w:p w14:paraId="6A7C6FDC" w14:textId="5286269B" w:rsidR="00AC1647" w:rsidRPr="00AC1647" w:rsidRDefault="00AC1647" w:rsidP="00AC1647">
      <w:pPr>
        <w:pStyle w:val="Textoindependiente"/>
        <w:numPr>
          <w:ilvl w:val="0"/>
          <w:numId w:val="3"/>
        </w:numPr>
        <w:tabs>
          <w:tab w:val="left" w:pos="851"/>
        </w:tabs>
        <w:spacing w:before="120" w:after="120"/>
        <w:ind w:left="0" w:firstLine="0"/>
        <w:jc w:val="both"/>
      </w:pPr>
      <w:r w:rsidRPr="00AC1647">
        <w:lastRenderedPageBreak/>
        <w:t>En cuanto al reclamo de la referida diferencia</w:t>
      </w:r>
      <w:r w:rsidR="00975DB5">
        <w:t xml:space="preserve"> por el aumento en </w:t>
      </w:r>
      <w:r w:rsidR="00755D61">
        <w:t>valor d</w:t>
      </w:r>
      <w:r w:rsidR="00975DB5">
        <w:t xml:space="preserve">el tipo de cambio </w:t>
      </w:r>
      <w:r w:rsidR="00F62020">
        <w:t>entre</w:t>
      </w:r>
      <w:r w:rsidR="00975DB5">
        <w:t xml:space="preserve"> moneda</w:t>
      </w:r>
      <w:r w:rsidR="00F62020">
        <w:t>s</w:t>
      </w:r>
      <w:r w:rsidR="00975DB5">
        <w:t xml:space="preserve"> y por </w:t>
      </w:r>
      <w:r w:rsidR="00F62020">
        <w:t>los</w:t>
      </w:r>
      <w:r w:rsidR="00975DB5">
        <w:t xml:space="preserve"> intereses moratorios</w:t>
      </w:r>
      <w:r w:rsidRPr="00AC1647">
        <w:t xml:space="preserve"> </w:t>
      </w:r>
      <w:r w:rsidR="00975DB5">
        <w:t xml:space="preserve">que se generaron entre la </w:t>
      </w:r>
      <w:r w:rsidR="00F62020">
        <w:t xml:space="preserve">fecha de la </w:t>
      </w:r>
      <w:r w:rsidR="00975DB5">
        <w:t xml:space="preserve">orden de pago y </w:t>
      </w:r>
      <w:r w:rsidR="00F62020">
        <w:t>la fecha</w:t>
      </w:r>
      <w:r w:rsidR="00975DB5">
        <w:t xml:space="preserve"> en que éstos se hicieron efectivos</w:t>
      </w:r>
      <w:r w:rsidR="00755D61">
        <w:t>, es decir entre el 25 de abril y el 26 de mayo de 2022</w:t>
      </w:r>
      <w:r w:rsidR="00975DB5">
        <w:t xml:space="preserve"> </w:t>
      </w:r>
      <w:r w:rsidRPr="00AC1647">
        <w:t>(</w:t>
      </w:r>
      <w:r w:rsidRPr="00AC1647">
        <w:rPr>
          <w:i/>
          <w:iCs/>
        </w:rPr>
        <w:t xml:space="preserve">supra </w:t>
      </w:r>
      <w:r w:rsidRPr="00AC1647">
        <w:t>Considerando</w:t>
      </w:r>
      <w:r w:rsidR="00755D61">
        <w:t>s 4, 8 y</w:t>
      </w:r>
      <w:r w:rsidRPr="00AC1647">
        <w:t xml:space="preserve"> </w:t>
      </w:r>
      <w:r w:rsidR="00975DB5">
        <w:t>10</w:t>
      </w:r>
      <w:r w:rsidRPr="00AC1647">
        <w:t>), la Corte considera que, en las circunstancias específicas del presente caso y como lo ha hecho para otros casos</w:t>
      </w:r>
      <w:r w:rsidRPr="00AC1647">
        <w:rPr>
          <w:rStyle w:val="Refdenotaalpie"/>
        </w:rPr>
        <w:footnoteReference w:id="13"/>
      </w:r>
      <w:r w:rsidRPr="00AC1647">
        <w:t xml:space="preserve">, es razonable aceptar el </w:t>
      </w:r>
      <w:r w:rsidR="004555A9" w:rsidRPr="00AC1647">
        <w:t>cálculo</w:t>
      </w:r>
      <w:r w:rsidRPr="00AC1647">
        <w:t xml:space="preserve"> </w:t>
      </w:r>
      <w:r w:rsidR="00694B9A">
        <w:t xml:space="preserve">entre el </w:t>
      </w:r>
      <w:r w:rsidR="001A75A6">
        <w:t>18 de diciembre de 2021 (</w:t>
      </w:r>
      <w:r w:rsidR="00694B9A">
        <w:t>fecha en que venció el plazo de un año dispuesto en la Sentencia</w:t>
      </w:r>
      <w:r w:rsidR="001A75A6">
        <w:t>)</w:t>
      </w:r>
      <w:r w:rsidR="00694B9A">
        <w:t xml:space="preserve"> y el </w:t>
      </w:r>
      <w:r w:rsidR="001A75A6">
        <w:t>25 de abril de 2022</w:t>
      </w:r>
      <w:r w:rsidR="00694B9A">
        <w:t xml:space="preserve"> </w:t>
      </w:r>
      <w:r w:rsidR="001A75A6">
        <w:t>(</w:t>
      </w:r>
      <w:r w:rsidRPr="00AC1647">
        <w:t>fecha en que se emitió la orden de pago</w:t>
      </w:r>
      <w:r w:rsidR="001A75A6">
        <w:t>)</w:t>
      </w:r>
      <w:r w:rsidRPr="00AC1647">
        <w:t xml:space="preserve">, debido a que el tiempo transcurrido hasta el pago efectivo </w:t>
      </w:r>
      <w:r w:rsidR="00B25698">
        <w:t xml:space="preserve">el 26 de mayo de ese mismo año </w:t>
      </w:r>
      <w:r w:rsidRPr="00AC1647">
        <w:t>no fue excesivo y no quedó demostrado que las demoras entre la orden de pago y la acreditación del mismo</w:t>
      </w:r>
      <w:r w:rsidR="00903AD5">
        <w:t xml:space="preserve"> aproximadamente un mes después</w:t>
      </w:r>
      <w:r w:rsidRPr="00AC1647">
        <w:t xml:space="preserve"> respondieran a un obrar claramente irrazonable por parte del Estado.</w:t>
      </w:r>
      <w:r w:rsidR="001A75A6">
        <w:t xml:space="preserve"> </w:t>
      </w:r>
      <w:r w:rsidR="002359C8" w:rsidRPr="002359C8">
        <w:t>Además, en el caso del reclamo de la diferencia por el aumento del tipo de cambio</w:t>
      </w:r>
      <w:r w:rsidR="002359C8">
        <w:t xml:space="preserve"> entre monedas</w:t>
      </w:r>
      <w:r w:rsidR="002359C8" w:rsidRPr="002359C8">
        <w:t>, la Corte observa que la diferencia entre ambas tasas (la vigente al momento de</w:t>
      </w:r>
      <w:r w:rsidR="00903AD5">
        <w:t xml:space="preserve"> la orden de los</w:t>
      </w:r>
      <w:r w:rsidR="002359C8">
        <w:t xml:space="preserve"> </w:t>
      </w:r>
      <w:r w:rsidR="002359C8" w:rsidRPr="002359C8">
        <w:t>pago</w:t>
      </w:r>
      <w:r w:rsidR="002359C8">
        <w:t>s</w:t>
      </w:r>
      <w:r w:rsidR="002359C8" w:rsidRPr="002359C8">
        <w:t xml:space="preserve"> y </w:t>
      </w:r>
      <w:r w:rsidR="002359C8">
        <w:t>aquella</w:t>
      </w:r>
      <w:r w:rsidR="002359C8" w:rsidRPr="002359C8">
        <w:t xml:space="preserve"> vigente al momento </w:t>
      </w:r>
      <w:r w:rsidR="002359C8">
        <w:t>en que éstos se efectivizaron</w:t>
      </w:r>
      <w:r w:rsidR="002359C8" w:rsidRPr="002359C8">
        <w:t>) es mínima, por lo cual estima que no es razonable ordenar al Estado un nuevo pago por dicha cantidad</w:t>
      </w:r>
      <w:r w:rsidR="002359C8" w:rsidRPr="002359C8">
        <w:rPr>
          <w:rStyle w:val="Refdenotaalpie"/>
        </w:rPr>
        <w:footnoteReference w:id="14"/>
      </w:r>
      <w:r w:rsidR="002359C8" w:rsidRPr="002359C8">
        <w:t>.</w:t>
      </w:r>
      <w:r w:rsidR="002359C8" w:rsidRPr="002359C8">
        <w:rPr>
          <w:color w:val="00B050"/>
          <w:sz w:val="16"/>
          <w:szCs w:val="16"/>
        </w:rPr>
        <w:t xml:space="preserve"> </w:t>
      </w:r>
    </w:p>
    <w:bookmarkEnd w:id="2"/>
    <w:p w14:paraId="546CC0C1" w14:textId="23A1D3F9" w:rsidR="00391862" w:rsidRPr="00FE6DE3" w:rsidRDefault="00AC1647" w:rsidP="002302C2">
      <w:pPr>
        <w:pStyle w:val="Textoindependiente"/>
        <w:numPr>
          <w:ilvl w:val="0"/>
          <w:numId w:val="3"/>
        </w:numPr>
        <w:tabs>
          <w:tab w:val="left" w:pos="851"/>
        </w:tabs>
        <w:spacing w:before="120" w:after="120"/>
        <w:ind w:left="0" w:firstLine="0"/>
        <w:jc w:val="both"/>
      </w:pPr>
      <w:r w:rsidRPr="00FE6DE3">
        <w:t>Respecto a la solicitud de la representante de que se adicione el Impuesto al Valor Agregado</w:t>
      </w:r>
      <w:r w:rsidR="005330B9">
        <w:t xml:space="preserve"> (IVA)</w:t>
      </w:r>
      <w:r w:rsidR="006E6DFA" w:rsidRPr="00FE6DE3">
        <w:t xml:space="preserve">, </w:t>
      </w:r>
      <w:r w:rsidR="008020FB" w:rsidRPr="00FE6DE3">
        <w:t>la Corte hace notar que el monto que el Estado debía pagar por concepto de reintegro de costas</w:t>
      </w:r>
      <w:r w:rsidR="00FE6DE3" w:rsidRPr="00FE6DE3">
        <w:t xml:space="preserve"> y gastos</w:t>
      </w:r>
      <w:r w:rsidR="008020FB" w:rsidRPr="00FE6DE3">
        <w:t xml:space="preserve"> era el indicado en el párrafo 86 de la Sentencia, el cual Argentina acreditó haber pagado de manera íntegra, sin deducción alguna, más los intereses moratorios correspondientes</w:t>
      </w:r>
      <w:r w:rsidR="00991306" w:rsidRPr="00FE6DE3">
        <w:rPr>
          <w:rStyle w:val="Refdenotaalpie"/>
        </w:rPr>
        <w:footnoteReference w:id="15"/>
      </w:r>
      <w:r w:rsidR="00FE6DE3" w:rsidRPr="00FE6DE3">
        <w:t xml:space="preserve">, por lo cual considera que el Estado cumplió con lo dispuesto en la Sentencia. </w:t>
      </w:r>
    </w:p>
    <w:p w14:paraId="0D6C5D77" w14:textId="7BD47058" w:rsidR="003C37E9" w:rsidRPr="00FE6DE3" w:rsidRDefault="003C37E9" w:rsidP="00FE6DE3">
      <w:pPr>
        <w:pStyle w:val="Textoindependiente"/>
        <w:numPr>
          <w:ilvl w:val="0"/>
          <w:numId w:val="3"/>
        </w:numPr>
        <w:tabs>
          <w:tab w:val="left" w:pos="851"/>
        </w:tabs>
        <w:spacing w:before="120" w:after="120"/>
        <w:ind w:left="0" w:firstLine="0"/>
        <w:jc w:val="both"/>
      </w:pPr>
      <w:r w:rsidRPr="00FE6DE3">
        <w:t xml:space="preserve">En virtud de lo anteriormente expuesto, la Corte considera que el Estado ha </w:t>
      </w:r>
      <w:r w:rsidR="00FE6DE3" w:rsidRPr="00FE6DE3">
        <w:t xml:space="preserve">dado cumplimiento total a las medidas de </w:t>
      </w:r>
      <w:r w:rsidRPr="00FE6DE3">
        <w:t xml:space="preserve">reparación ordenadas en los puntos resolutivos cuarto y séptimo de la Sentencia, relativas al pago a la víctima por </w:t>
      </w:r>
      <w:r w:rsidR="002B5BA1" w:rsidRPr="00FE6DE3">
        <w:t>concepto de restitución</w:t>
      </w:r>
      <w:r w:rsidR="001E76D4" w:rsidRPr="00FE6DE3">
        <w:t xml:space="preserve"> y</w:t>
      </w:r>
      <w:r w:rsidR="00FE6DE3" w:rsidRPr="00FE6DE3">
        <w:t xml:space="preserve"> por la indemnización de</w:t>
      </w:r>
      <w:r w:rsidR="002B5BA1" w:rsidRPr="00FE6DE3">
        <w:t xml:space="preserve"> daño</w:t>
      </w:r>
      <w:r w:rsidR="001E76D4" w:rsidRPr="00FE6DE3">
        <w:t>s</w:t>
      </w:r>
      <w:r w:rsidR="002B5BA1" w:rsidRPr="00FE6DE3">
        <w:t xml:space="preserve"> material </w:t>
      </w:r>
      <w:r w:rsidR="001E76D4" w:rsidRPr="00FE6DE3">
        <w:t>e</w:t>
      </w:r>
      <w:r w:rsidRPr="00FE6DE3">
        <w:t xml:space="preserve"> inmaterial</w:t>
      </w:r>
      <w:r w:rsidR="00FE6DE3" w:rsidRPr="00FE6DE3">
        <w:t xml:space="preserve">, </w:t>
      </w:r>
      <w:r w:rsidRPr="00FE6DE3">
        <w:t xml:space="preserve">y al reintegro de costas y gastos a su representante legal. </w:t>
      </w:r>
    </w:p>
    <w:p w14:paraId="095A3D8D" w14:textId="77777777" w:rsidR="00231BBF" w:rsidRPr="00391862" w:rsidRDefault="00231BBF" w:rsidP="00231BBF">
      <w:pPr>
        <w:pStyle w:val="Textoindependiente"/>
        <w:tabs>
          <w:tab w:val="left" w:pos="851"/>
        </w:tabs>
        <w:spacing w:before="120" w:after="120"/>
        <w:jc w:val="both"/>
        <w:rPr>
          <w:highlight w:val="cyan"/>
        </w:rPr>
      </w:pPr>
    </w:p>
    <w:p w14:paraId="6AC1A1A7" w14:textId="0577A3B6" w:rsidR="009F1E59" w:rsidRDefault="00B9739B" w:rsidP="00AB5A00">
      <w:pPr>
        <w:pStyle w:val="Ttulo1"/>
        <w:numPr>
          <w:ilvl w:val="0"/>
          <w:numId w:val="8"/>
        </w:numPr>
        <w:spacing w:before="120" w:after="120"/>
        <w:ind w:left="567" w:firstLine="0"/>
        <w:rPr>
          <w:i/>
        </w:rPr>
      </w:pPr>
      <w:bookmarkStart w:id="3" w:name="_Toc154651929"/>
      <w:r>
        <w:rPr>
          <w:i/>
        </w:rPr>
        <w:t>Publicación y difusión de la Sentencia y su resumen oficial</w:t>
      </w:r>
      <w:bookmarkEnd w:id="3"/>
    </w:p>
    <w:p w14:paraId="4CB22007" w14:textId="461508AD" w:rsidR="005330B9" w:rsidRPr="005330B9" w:rsidRDefault="005330B9" w:rsidP="005330B9">
      <w:pPr>
        <w:pStyle w:val="Prrafodelista"/>
        <w:ind w:left="928"/>
        <w:jc w:val="both"/>
        <w:rPr>
          <w:i/>
          <w:iCs/>
          <w:sz w:val="20"/>
          <w:szCs w:val="20"/>
        </w:rPr>
      </w:pPr>
      <w:r>
        <w:rPr>
          <w:i/>
          <w:iCs/>
          <w:sz w:val="20"/>
          <w:szCs w:val="20"/>
        </w:rPr>
        <w:t>B</w:t>
      </w:r>
      <w:r w:rsidRPr="005330B9">
        <w:rPr>
          <w:i/>
          <w:iCs/>
          <w:sz w:val="20"/>
          <w:szCs w:val="20"/>
        </w:rPr>
        <w:t>.1. Medida</w:t>
      </w:r>
      <w:r>
        <w:rPr>
          <w:i/>
          <w:iCs/>
          <w:sz w:val="20"/>
          <w:szCs w:val="20"/>
        </w:rPr>
        <w:t>s</w:t>
      </w:r>
      <w:r w:rsidRPr="005330B9">
        <w:rPr>
          <w:i/>
          <w:iCs/>
          <w:sz w:val="20"/>
          <w:szCs w:val="20"/>
        </w:rPr>
        <w:t xml:space="preserve"> ordenada</w:t>
      </w:r>
      <w:r>
        <w:rPr>
          <w:i/>
          <w:iCs/>
          <w:sz w:val="20"/>
          <w:szCs w:val="20"/>
        </w:rPr>
        <w:t>s</w:t>
      </w:r>
      <w:r w:rsidRPr="005330B9">
        <w:rPr>
          <w:i/>
          <w:iCs/>
          <w:sz w:val="20"/>
          <w:szCs w:val="20"/>
        </w:rPr>
        <w:t xml:space="preserve"> por la Corte</w:t>
      </w:r>
    </w:p>
    <w:p w14:paraId="4DEA68D8" w14:textId="6A5361FC" w:rsidR="005330B9" w:rsidRDefault="005330B9" w:rsidP="005330B9">
      <w:pPr>
        <w:pStyle w:val="Textoindependiente"/>
        <w:numPr>
          <w:ilvl w:val="0"/>
          <w:numId w:val="3"/>
        </w:numPr>
        <w:tabs>
          <w:tab w:val="left" w:pos="851"/>
        </w:tabs>
        <w:spacing w:before="120" w:after="120"/>
        <w:ind w:left="0" w:firstLine="0"/>
        <w:jc w:val="both"/>
        <w:rPr>
          <w:bCs/>
        </w:rPr>
      </w:pPr>
      <w:r w:rsidRPr="005330B9">
        <w:rPr>
          <w:bCs/>
        </w:rPr>
        <w:t xml:space="preserve">En el punto resolutivo quinto y el párrafo 65 de la Sentencia, se ordenó al Estado “publicar, en el plazo de seis meses, contado a partir de la notificación de la presente Sentencia: a) el resumen oficial de la presente Sentencia elaborado por la Corte, por una sola vez, en el Diario Oficial en un tamaño de letra legible y adecuado y b) la presente Sentencia en su integridad, disponible por un período de un año, en un sitio </w:t>
      </w:r>
      <w:r w:rsidRPr="00FA3C82">
        <w:rPr>
          <w:bCs/>
          <w:i/>
          <w:iCs/>
        </w:rPr>
        <w:t>web</w:t>
      </w:r>
      <w:r w:rsidRPr="005330B9">
        <w:rPr>
          <w:bCs/>
        </w:rPr>
        <w:t xml:space="preserve"> oficial del Estado”.</w:t>
      </w:r>
    </w:p>
    <w:p w14:paraId="4630EDA6" w14:textId="77777777" w:rsidR="00F84BC7" w:rsidRDefault="00F84BC7" w:rsidP="00F62020">
      <w:pPr>
        <w:pStyle w:val="Prrafodelista"/>
        <w:ind w:left="928"/>
        <w:jc w:val="both"/>
        <w:rPr>
          <w:i/>
          <w:iCs/>
          <w:sz w:val="20"/>
          <w:szCs w:val="20"/>
        </w:rPr>
      </w:pPr>
    </w:p>
    <w:p w14:paraId="017E1EB2" w14:textId="36BB3019" w:rsidR="005330B9" w:rsidRPr="00F62020" w:rsidRDefault="005330B9" w:rsidP="00F62020">
      <w:pPr>
        <w:pStyle w:val="Prrafodelista"/>
        <w:ind w:left="928"/>
        <w:jc w:val="both"/>
        <w:rPr>
          <w:i/>
          <w:iCs/>
          <w:sz w:val="20"/>
          <w:szCs w:val="20"/>
        </w:rPr>
      </w:pPr>
      <w:r>
        <w:rPr>
          <w:i/>
          <w:iCs/>
          <w:sz w:val="20"/>
          <w:szCs w:val="20"/>
        </w:rPr>
        <w:t>B</w:t>
      </w:r>
      <w:r w:rsidRPr="005330B9">
        <w:rPr>
          <w:i/>
          <w:iCs/>
          <w:sz w:val="20"/>
          <w:szCs w:val="20"/>
        </w:rPr>
        <w:t>.</w:t>
      </w:r>
      <w:r>
        <w:rPr>
          <w:i/>
          <w:iCs/>
          <w:sz w:val="20"/>
          <w:szCs w:val="20"/>
        </w:rPr>
        <w:t>2</w:t>
      </w:r>
      <w:r w:rsidRPr="005330B9">
        <w:rPr>
          <w:i/>
          <w:iCs/>
          <w:sz w:val="20"/>
          <w:szCs w:val="20"/>
        </w:rPr>
        <w:t xml:space="preserve">. </w:t>
      </w:r>
      <w:r>
        <w:rPr>
          <w:i/>
          <w:iCs/>
          <w:sz w:val="20"/>
          <w:szCs w:val="20"/>
        </w:rPr>
        <w:t>Consideraciones de la Corte</w:t>
      </w:r>
    </w:p>
    <w:p w14:paraId="1F88E288" w14:textId="7A180D26" w:rsidR="00D10D25" w:rsidRPr="00F037A5" w:rsidRDefault="00B9739B" w:rsidP="00F037A5">
      <w:pPr>
        <w:pStyle w:val="Textoindependiente"/>
        <w:numPr>
          <w:ilvl w:val="0"/>
          <w:numId w:val="3"/>
        </w:numPr>
        <w:tabs>
          <w:tab w:val="left" w:pos="851"/>
        </w:tabs>
        <w:spacing w:before="120" w:after="120"/>
        <w:ind w:left="0" w:firstLine="0"/>
        <w:jc w:val="both"/>
        <w:rPr>
          <w:b/>
        </w:rPr>
      </w:pPr>
      <w:r>
        <w:t>Con base en los comprobantes aportados por el Estado</w:t>
      </w:r>
      <w:r w:rsidR="00023931" w:rsidRPr="00245E77">
        <w:rPr>
          <w:rStyle w:val="Refdenotaalpie"/>
        </w:rPr>
        <w:footnoteReference w:id="16"/>
      </w:r>
      <w:r w:rsidRPr="00245E77">
        <w:t>,</w:t>
      </w:r>
      <w:r w:rsidR="00D10D25">
        <w:t xml:space="preserve"> la Corte constata que, dentro del plazo de seis meses otorgado en la Sentencia, el Estado </w:t>
      </w:r>
      <w:r w:rsidR="00ED33CB">
        <w:t xml:space="preserve">la </w:t>
      </w:r>
      <w:r w:rsidR="00D10D25">
        <w:t xml:space="preserve">publicó en su integridad en el sitio </w:t>
      </w:r>
      <w:r w:rsidR="00D10D25" w:rsidRPr="00F037A5">
        <w:rPr>
          <w:i/>
          <w:iCs/>
        </w:rPr>
        <w:t>web</w:t>
      </w:r>
      <w:r w:rsidR="00D10D25">
        <w:t xml:space="preserve"> oficial del Ministerio de Justicia y Derechos Humanos de la </w:t>
      </w:r>
      <w:r w:rsidR="00D10D25">
        <w:lastRenderedPageBreak/>
        <w:t>Nación</w:t>
      </w:r>
      <w:r w:rsidR="00F037A5">
        <w:rPr>
          <w:rStyle w:val="Refdenotaalpie"/>
        </w:rPr>
        <w:footnoteReference w:id="17"/>
      </w:r>
      <w:r w:rsidR="00D10D25">
        <w:t xml:space="preserve">, y </w:t>
      </w:r>
      <w:r w:rsidR="00ED33CB">
        <w:t xml:space="preserve">publicó </w:t>
      </w:r>
      <w:r w:rsidR="00D10D25">
        <w:t>el resumen oficial de la Sentencia en el Boletín Oficial de la República de</w:t>
      </w:r>
      <w:r w:rsidR="00F470CE">
        <w:t xml:space="preserve"> </w:t>
      </w:r>
      <w:r w:rsidR="00D10D25" w:rsidRPr="00D10D25">
        <w:t>Argentina</w:t>
      </w:r>
      <w:r w:rsidR="00B428EF">
        <w:rPr>
          <w:rStyle w:val="Refdenotaalpie"/>
        </w:rPr>
        <w:footnoteReference w:id="18"/>
      </w:r>
      <w:r w:rsidR="00B428EF">
        <w:t>.</w:t>
      </w:r>
      <w:r w:rsidR="00245E77">
        <w:t xml:space="preserve"> </w:t>
      </w:r>
      <w:r w:rsidR="005A06F3" w:rsidRPr="005A06F3">
        <w:t xml:space="preserve">La </w:t>
      </w:r>
      <w:r w:rsidR="005A06F3" w:rsidRPr="00EF12EE">
        <w:rPr>
          <w:i/>
          <w:iCs/>
        </w:rPr>
        <w:t>representante</w:t>
      </w:r>
      <w:r w:rsidR="005A06F3" w:rsidRPr="005A06F3">
        <w:t xml:space="preserve"> no presentó observaciones </w:t>
      </w:r>
      <w:r w:rsidR="00EF12EE">
        <w:t>r</w:t>
      </w:r>
      <w:r w:rsidR="005A06F3" w:rsidRPr="005A06F3">
        <w:t>especto</w:t>
      </w:r>
      <w:r w:rsidR="00EF12EE">
        <w:t xml:space="preserve"> a</w:t>
      </w:r>
      <w:r w:rsidR="00ED33CB">
        <w:t>l cumplimiento de</w:t>
      </w:r>
      <w:r w:rsidR="00EF12EE">
        <w:t xml:space="preserve"> </w:t>
      </w:r>
      <w:r w:rsidR="00224857">
        <w:t>dichas</w:t>
      </w:r>
      <w:r w:rsidR="00EF12EE">
        <w:t xml:space="preserve"> medida</w:t>
      </w:r>
      <w:r w:rsidR="00224857">
        <w:t>s</w:t>
      </w:r>
      <w:r w:rsidR="00EF12EE">
        <w:t xml:space="preserve"> de reparación</w:t>
      </w:r>
      <w:r w:rsidR="005A06F3" w:rsidRPr="005A06F3">
        <w:t>.</w:t>
      </w:r>
    </w:p>
    <w:p w14:paraId="1598504F" w14:textId="1E474AAA" w:rsidR="00CC41B0" w:rsidRPr="00FE6DE3" w:rsidRDefault="00184379" w:rsidP="00CC41B0">
      <w:pPr>
        <w:pStyle w:val="Textoindependiente"/>
        <w:numPr>
          <w:ilvl w:val="0"/>
          <w:numId w:val="3"/>
        </w:numPr>
        <w:tabs>
          <w:tab w:val="left" w:pos="851"/>
        </w:tabs>
        <w:spacing w:before="120" w:after="120"/>
        <w:ind w:left="0" w:firstLine="0"/>
        <w:jc w:val="both"/>
        <w:rPr>
          <w:b/>
        </w:rPr>
      </w:pPr>
      <w:r>
        <w:t xml:space="preserve">En consecuencia, la Corte considera que el Estado ha dado cumplimiento total a las medidas de publicación y difusión de la Sentencia y su resumen oficial, ordenadas en el punto resolutivo </w:t>
      </w:r>
      <w:r w:rsidR="001009C1">
        <w:t xml:space="preserve">quinto </w:t>
      </w:r>
      <w:r>
        <w:t>de la Sentencia.</w:t>
      </w:r>
    </w:p>
    <w:p w14:paraId="2DE4049C" w14:textId="77777777" w:rsidR="00FE6DE3" w:rsidRPr="001009C1" w:rsidRDefault="00FE6DE3" w:rsidP="00FE6DE3">
      <w:pPr>
        <w:pStyle w:val="Textoindependiente"/>
        <w:tabs>
          <w:tab w:val="left" w:pos="851"/>
        </w:tabs>
        <w:spacing w:before="120" w:after="120"/>
        <w:jc w:val="both"/>
        <w:rPr>
          <w:b/>
        </w:rPr>
      </w:pPr>
    </w:p>
    <w:p w14:paraId="1AF7E92C" w14:textId="3D32FF4A" w:rsidR="006B4EFE" w:rsidRDefault="006B4EFE" w:rsidP="006B4EFE">
      <w:pPr>
        <w:pStyle w:val="Ttulo1"/>
        <w:numPr>
          <w:ilvl w:val="0"/>
          <w:numId w:val="8"/>
        </w:numPr>
        <w:spacing w:before="120" w:after="120"/>
        <w:ind w:left="567" w:firstLine="0"/>
        <w:jc w:val="both"/>
        <w:rPr>
          <w:i/>
        </w:rPr>
      </w:pPr>
      <w:bookmarkStart w:id="4" w:name="_Toc154651930"/>
      <w:r>
        <w:rPr>
          <w:i/>
        </w:rPr>
        <w:t>G</w:t>
      </w:r>
      <w:r w:rsidRPr="006B4EFE">
        <w:rPr>
          <w:i/>
        </w:rPr>
        <w:t xml:space="preserve">arantizar en sede administrativa la revisión </w:t>
      </w:r>
      <w:r w:rsidR="00FE6DE3">
        <w:rPr>
          <w:i/>
        </w:rPr>
        <w:t>a</w:t>
      </w:r>
      <w:r w:rsidRPr="006B4EFE">
        <w:rPr>
          <w:i/>
        </w:rPr>
        <w:t xml:space="preserve"> personas que se encuentren en la misma situación fáctica que el señor Almeida </w:t>
      </w:r>
      <w:bookmarkEnd w:id="4"/>
    </w:p>
    <w:p w14:paraId="57564B86" w14:textId="34B35B5D" w:rsidR="006B4EFE" w:rsidRPr="006C74C3" w:rsidRDefault="006B4EFE" w:rsidP="00FA3C82">
      <w:pPr>
        <w:pStyle w:val="Prrafodelista"/>
        <w:ind w:left="928"/>
        <w:jc w:val="both"/>
        <w:rPr>
          <w:i/>
          <w:iCs/>
          <w:sz w:val="20"/>
          <w:szCs w:val="20"/>
        </w:rPr>
      </w:pPr>
      <w:r w:rsidRPr="006C74C3">
        <w:rPr>
          <w:i/>
          <w:iCs/>
          <w:sz w:val="20"/>
          <w:szCs w:val="20"/>
        </w:rPr>
        <w:t>C.1. Medida ordenada por la Corte</w:t>
      </w:r>
    </w:p>
    <w:p w14:paraId="35211481" w14:textId="7D86FCE6" w:rsidR="00172686" w:rsidRDefault="004E563F" w:rsidP="0017274C">
      <w:pPr>
        <w:pStyle w:val="Textoindependiente"/>
        <w:numPr>
          <w:ilvl w:val="0"/>
          <w:numId w:val="3"/>
        </w:numPr>
        <w:tabs>
          <w:tab w:val="left" w:pos="851"/>
        </w:tabs>
        <w:spacing w:before="120" w:after="120"/>
        <w:ind w:left="0" w:firstLine="0"/>
        <w:jc w:val="both"/>
      </w:pPr>
      <w:r w:rsidRPr="00172686">
        <w:t>La Corte recuerda que en este caso</w:t>
      </w:r>
      <w:bookmarkStart w:id="5" w:name="_Hlk162930373"/>
      <w:r w:rsidRPr="00172686">
        <w:t xml:space="preserve"> </w:t>
      </w:r>
      <w:r w:rsidR="0017274C">
        <w:t xml:space="preserve">aceptó el reconocimiento de </w:t>
      </w:r>
      <w:r w:rsidRPr="00172686">
        <w:t xml:space="preserve">responsabilidad internacional de Argentina </w:t>
      </w:r>
      <w:r w:rsidR="0017274C">
        <w:t xml:space="preserve">y declaró la violación </w:t>
      </w:r>
      <w:r w:rsidR="00E330DD">
        <w:t>a</w:t>
      </w:r>
      <w:r w:rsidR="0017274C">
        <w:t xml:space="preserve"> los derechos a las garantías judiciales, la protección judicial, la igualdad ante la ley</w:t>
      </w:r>
      <w:bookmarkEnd w:id="5"/>
      <w:r w:rsidR="0017274C">
        <w:t xml:space="preserve"> y el deber de adoptar disposiciones de derecho interno</w:t>
      </w:r>
      <w:r w:rsidR="00ED6CDD" w:rsidRPr="00172686">
        <w:t>, en perjuicio del señor Rufino Jorge Al</w:t>
      </w:r>
      <w:r w:rsidR="00E70291">
        <w:t>m</w:t>
      </w:r>
      <w:r w:rsidR="00ED6CDD" w:rsidRPr="00172686">
        <w:t>eida</w:t>
      </w:r>
      <w:r w:rsidR="00E330DD">
        <w:t>,</w:t>
      </w:r>
      <w:r w:rsidR="007A6B46">
        <w:t xml:space="preserve"> debido a que “</w:t>
      </w:r>
      <w:bookmarkStart w:id="6" w:name="_Hlk163480457"/>
      <w:r w:rsidR="007A6B46" w:rsidRPr="007A6B46">
        <w:t xml:space="preserve">no tuvo acceso a un recurso o proceso efectivo que permitiera aplicar los nuevos criterios </w:t>
      </w:r>
      <w:r w:rsidR="00E330DD">
        <w:t xml:space="preserve">[jurisprudenciales] </w:t>
      </w:r>
      <w:r w:rsidR="007A6B46" w:rsidRPr="007A6B46">
        <w:t>interpretativos</w:t>
      </w:r>
      <w:r w:rsidR="007A6B46">
        <w:t xml:space="preserve"> [emitidos a partir de 1997 respecto de]</w:t>
      </w:r>
      <w:r w:rsidR="007A6B46" w:rsidRPr="007A6B46">
        <w:t xml:space="preserve"> la Ley No. 24.043 </w:t>
      </w:r>
      <w:r w:rsidR="007A6B46">
        <w:t xml:space="preserve">[de 1991] </w:t>
      </w:r>
      <w:r w:rsidR="007A6B46" w:rsidRPr="007A6B46">
        <w:t xml:space="preserve">a su caso y, en definitiva, poner fin a la </w:t>
      </w:r>
      <w:bookmarkStart w:id="7" w:name="_Hlk162930335"/>
      <w:r w:rsidR="007A6B46" w:rsidRPr="007A6B46">
        <w:t xml:space="preserve">desigualdad a la que se le había sometido al no tomar en cuenta los días en que estuvo bajo libertad vigilada </w:t>
      </w:r>
      <w:r w:rsidR="007A6B46" w:rsidRPr="00F468C1">
        <w:rPr>
          <w:i/>
          <w:iCs/>
        </w:rPr>
        <w:t>de facto</w:t>
      </w:r>
      <w:r w:rsidR="007A6B46" w:rsidRPr="007A6B46">
        <w:t xml:space="preserve"> </w:t>
      </w:r>
      <w:r w:rsidR="007A6B46">
        <w:t xml:space="preserve">[durante la dictadura] </w:t>
      </w:r>
      <w:r w:rsidR="007A6B46" w:rsidRPr="007A6B46">
        <w:t>para el cálculo de la indemnización prevista en dicha normativa</w:t>
      </w:r>
      <w:r w:rsidR="007A6B46">
        <w:t>”</w:t>
      </w:r>
      <w:r w:rsidR="007A6B46">
        <w:rPr>
          <w:rStyle w:val="Refdenotaalpie"/>
        </w:rPr>
        <w:footnoteReference w:id="19"/>
      </w:r>
      <w:r w:rsidR="00ED6CDD" w:rsidRPr="00172686">
        <w:t xml:space="preserve">. </w:t>
      </w:r>
      <w:bookmarkEnd w:id="7"/>
    </w:p>
    <w:bookmarkEnd w:id="6"/>
    <w:p w14:paraId="36723DEB" w14:textId="77777777" w:rsidR="00465984" w:rsidRDefault="00465984" w:rsidP="00465984">
      <w:pPr>
        <w:pStyle w:val="Textoindependiente"/>
        <w:numPr>
          <w:ilvl w:val="0"/>
          <w:numId w:val="3"/>
        </w:numPr>
        <w:tabs>
          <w:tab w:val="left" w:pos="851"/>
        </w:tabs>
        <w:spacing w:before="120" w:after="120"/>
        <w:ind w:left="0" w:firstLine="0"/>
        <w:jc w:val="both"/>
      </w:pPr>
      <w:r>
        <w:t xml:space="preserve">En la Sentencia, la Corte constató que, a partir de la década de los 1990, Argentina comenzó a desarrollar una política de medidas administrativas de reparación de las víctimas de la última dictadura. Entre estas medidas, la Ley No. 24.043 estableció un mecanismo de indemnización que, en un principio, se entendió que no resultaba aplicable a aquellas situaciones de libertad vigilada </w:t>
      </w:r>
      <w:r w:rsidRPr="00465984">
        <w:rPr>
          <w:i/>
          <w:iCs/>
        </w:rPr>
        <w:t>de facto</w:t>
      </w:r>
      <w:r>
        <w:t xml:space="preserve">. De este modo, cuando el señor Almeida presentó en el año 1995 su demanda administrativa por la privación de libertad sufrida durante el período de la dictadura, únicamente se le concedió una indemnización por el tiempo en que estuvo en un campo de detención ilegal, sin tomar en cuenta el tiempo que estuvo sometido a un régimen de libertad vigilada </w:t>
      </w:r>
      <w:r w:rsidRPr="00FA3C82">
        <w:rPr>
          <w:i/>
          <w:iCs/>
        </w:rPr>
        <w:t>de facto</w:t>
      </w:r>
      <w:r>
        <w:t xml:space="preserve">. </w:t>
      </w:r>
    </w:p>
    <w:p w14:paraId="247F5789" w14:textId="1DABC026" w:rsidR="00465984" w:rsidRPr="00172686" w:rsidRDefault="00465984" w:rsidP="00465984">
      <w:pPr>
        <w:pStyle w:val="Textoindependiente"/>
        <w:numPr>
          <w:ilvl w:val="0"/>
          <w:numId w:val="3"/>
        </w:numPr>
        <w:tabs>
          <w:tab w:val="left" w:pos="851"/>
        </w:tabs>
        <w:spacing w:before="120" w:after="120"/>
        <w:ind w:left="0" w:firstLine="0"/>
        <w:jc w:val="both"/>
      </w:pPr>
      <w:r w:rsidRPr="00AE7BA3">
        <w:t xml:space="preserve">No obstante, posteriormente esta interpretación fue modificada en sede judicial con el fallo de la Corte Suprema de Justicia en el caso </w:t>
      </w:r>
      <w:r w:rsidRPr="00AE7BA3">
        <w:rPr>
          <w:i/>
          <w:iCs/>
        </w:rPr>
        <w:t>Noro</w:t>
      </w:r>
      <w:r w:rsidRPr="00AE7BA3">
        <w:t xml:space="preserve"> de 1997 y con la adopción de esa interpretación por la Cámara Nacional en lo Contencioso Administrativo Federal a partir del caso </w:t>
      </w:r>
      <w:proofErr w:type="spellStart"/>
      <w:r w:rsidRPr="00AE7BA3">
        <w:rPr>
          <w:i/>
          <w:iCs/>
        </w:rPr>
        <w:t>Robasto</w:t>
      </w:r>
      <w:proofErr w:type="spellEnd"/>
      <w:r w:rsidRPr="00AE7BA3">
        <w:t xml:space="preserve"> en el 2003</w:t>
      </w:r>
      <w:r w:rsidRPr="00AE7BA3">
        <w:rPr>
          <w:rStyle w:val="Refdenotaalpie"/>
        </w:rPr>
        <w:footnoteReference w:id="20"/>
      </w:r>
      <w:r w:rsidRPr="00AE7BA3">
        <w:t>.</w:t>
      </w:r>
      <w:r>
        <w:t xml:space="preserve"> Por ello, el señor Almeida solicitó el reconocimiento del beneficio previsto en la Ley No. 24.043 con respecto al período en que estuvo sometido a un régimen de libertad vigilada </w:t>
      </w:r>
      <w:r w:rsidRPr="00AE7BA3">
        <w:rPr>
          <w:i/>
          <w:iCs/>
        </w:rPr>
        <w:t>de facto</w:t>
      </w:r>
      <w:r>
        <w:t xml:space="preserve">; sin embargo, “fue objeto de un trato diferenciado no justificado” y sus solicitudes fueron denegadas sin justificación razonable”. </w:t>
      </w:r>
    </w:p>
    <w:p w14:paraId="24A17618" w14:textId="2246E09D" w:rsidR="00E41F0E" w:rsidRDefault="00E41F0E" w:rsidP="00E41F0E">
      <w:pPr>
        <w:pStyle w:val="Textoindependiente"/>
        <w:numPr>
          <w:ilvl w:val="0"/>
          <w:numId w:val="3"/>
        </w:numPr>
        <w:tabs>
          <w:tab w:val="left" w:pos="851"/>
        </w:tabs>
        <w:spacing w:before="120" w:after="120"/>
        <w:ind w:left="0" w:firstLine="0"/>
        <w:jc w:val="both"/>
      </w:pPr>
      <w:r>
        <w:lastRenderedPageBreak/>
        <w:t xml:space="preserve">En la Sentencia, la Corte reconoció que “existe la posibilidad que otras personas pudieran encontrarse en el mismo supuesto fáctico del señor Almeida”. Entonces, </w:t>
      </w:r>
      <w:r w:rsidR="00D62C5B">
        <w:t xml:space="preserve">en el punto resolutivo sexto y en el párrafo 68 de la Sentencia, </w:t>
      </w:r>
      <w:r>
        <w:t>“como garantía de no repetición, se orden[</w:t>
      </w:r>
      <w:proofErr w:type="spellStart"/>
      <w:r>
        <w:t>ó</w:t>
      </w:r>
      <w:proofErr w:type="spellEnd"/>
      <w:r>
        <w:t xml:space="preserve">] al Estado que, en sede administrativa, revisara la situación de las personas que así lo soliciten y se </w:t>
      </w:r>
      <w:proofErr w:type="spellStart"/>
      <w:r>
        <w:t>enc</w:t>
      </w:r>
      <w:proofErr w:type="spellEnd"/>
      <w:r>
        <w:t>[</w:t>
      </w:r>
      <w:proofErr w:type="spellStart"/>
      <w:r>
        <w:t>ontraran</w:t>
      </w:r>
      <w:proofErr w:type="spellEnd"/>
      <w:r>
        <w:t xml:space="preserve">] en la misma situación fáctica del señor Almeida, a la luz de los criterios jurisprudenciales desarrollados a partir de los casos Noro y </w:t>
      </w:r>
      <w:proofErr w:type="spellStart"/>
      <w:r>
        <w:t>Robasto</w:t>
      </w:r>
      <w:proofErr w:type="spellEnd"/>
      <w:r w:rsidR="00D62C5B">
        <w:t>”</w:t>
      </w:r>
      <w:r w:rsidR="00FA3C82">
        <w:t xml:space="preserve"> (</w:t>
      </w:r>
      <w:r w:rsidR="00FA3C82" w:rsidRPr="00FA3C82">
        <w:rPr>
          <w:i/>
          <w:iCs/>
        </w:rPr>
        <w:t>infra</w:t>
      </w:r>
      <w:r w:rsidR="00FA3C82">
        <w:t xml:space="preserve"> Considerando 20)</w:t>
      </w:r>
      <w:r>
        <w:t xml:space="preserve">. Para ello, dispuso que “el Estado </w:t>
      </w:r>
      <w:proofErr w:type="spellStart"/>
      <w:r>
        <w:t>deb</w:t>
      </w:r>
      <w:proofErr w:type="spellEnd"/>
      <w:r>
        <w:t>[</w:t>
      </w:r>
      <w:proofErr w:type="spellStart"/>
      <w:r>
        <w:t>ía</w:t>
      </w:r>
      <w:proofErr w:type="spellEnd"/>
      <w:r>
        <w:t>] dar publicidad a esta medida para hacerla del conocimiento de las personas potencialmente interesadas</w:t>
      </w:r>
      <w:r w:rsidR="00D62C5B">
        <w:t>”</w:t>
      </w:r>
      <w:r>
        <w:t>. Al respecto, estableció que Argentina “</w:t>
      </w:r>
      <w:proofErr w:type="spellStart"/>
      <w:r>
        <w:t>deb</w:t>
      </w:r>
      <w:proofErr w:type="spellEnd"/>
      <w:r>
        <w:t>[</w:t>
      </w:r>
      <w:proofErr w:type="spellStart"/>
      <w:r>
        <w:t>ía</w:t>
      </w:r>
      <w:proofErr w:type="spellEnd"/>
      <w:r>
        <w:t xml:space="preserve">] mantener publicado, por un período de tres meses y de manera visible, un aviso en las páginas oficiales de internet de los órganos estatales que </w:t>
      </w:r>
      <w:proofErr w:type="spellStart"/>
      <w:r>
        <w:t>consider</w:t>
      </w:r>
      <w:proofErr w:type="spellEnd"/>
      <w:r>
        <w:t>[ara] pertinentes, en particular la página de la Secretaría de Derechos Humanos del Ministerio de Justicia y Derechos Humanos</w:t>
      </w:r>
      <w:r w:rsidR="00D62C5B">
        <w:t>”</w:t>
      </w:r>
      <w:r>
        <w:t xml:space="preserve">. Asimismo, </w:t>
      </w:r>
      <w:r w:rsidR="00D62C5B">
        <w:t>“</w:t>
      </w:r>
      <w:proofErr w:type="spellStart"/>
      <w:r>
        <w:t>deb</w:t>
      </w:r>
      <w:proofErr w:type="spellEnd"/>
      <w:r>
        <w:t>[</w:t>
      </w:r>
      <w:proofErr w:type="spellStart"/>
      <w:r>
        <w:t>ía</w:t>
      </w:r>
      <w:proofErr w:type="spellEnd"/>
      <w:r>
        <w:t>] notificar a las principales organizaciones no gubernamentales de derechos humanos”. También, señaló que “[l]as personas interesadas deberán presentar sus solicitudes de indemnización en un plazo de doce meses, plazo que empezará a correr cuando concluyan los tres meses desde la difusión de dicho aviso”</w:t>
      </w:r>
      <w:r>
        <w:rPr>
          <w:rStyle w:val="Refdenotaalpie"/>
        </w:rPr>
        <w:footnoteReference w:id="21"/>
      </w:r>
      <w:r>
        <w:t xml:space="preserve">. </w:t>
      </w:r>
    </w:p>
    <w:p w14:paraId="1E7BA3C4" w14:textId="77777777" w:rsidR="00FA3C82" w:rsidRDefault="00FA3C82" w:rsidP="00F84BC7">
      <w:pPr>
        <w:pStyle w:val="Textoindependiente"/>
        <w:tabs>
          <w:tab w:val="left" w:pos="851"/>
        </w:tabs>
        <w:spacing w:before="120" w:after="120"/>
        <w:jc w:val="both"/>
      </w:pPr>
    </w:p>
    <w:p w14:paraId="4D5FAA71" w14:textId="0055CD25" w:rsidR="001A5741" w:rsidRPr="001A5741" w:rsidRDefault="001A5741" w:rsidP="00FA3C82">
      <w:pPr>
        <w:pStyle w:val="Prrafodelista"/>
        <w:ind w:left="928"/>
        <w:jc w:val="both"/>
        <w:rPr>
          <w:i/>
          <w:iCs/>
          <w:sz w:val="20"/>
          <w:szCs w:val="20"/>
        </w:rPr>
      </w:pPr>
      <w:r w:rsidRPr="006C74C3">
        <w:rPr>
          <w:i/>
          <w:iCs/>
          <w:sz w:val="20"/>
          <w:szCs w:val="20"/>
        </w:rPr>
        <w:t>C.</w:t>
      </w:r>
      <w:r>
        <w:rPr>
          <w:i/>
          <w:iCs/>
          <w:sz w:val="20"/>
          <w:szCs w:val="20"/>
        </w:rPr>
        <w:t>2</w:t>
      </w:r>
      <w:r w:rsidRPr="006C74C3">
        <w:rPr>
          <w:i/>
          <w:iCs/>
          <w:sz w:val="20"/>
          <w:szCs w:val="20"/>
        </w:rPr>
        <w:t xml:space="preserve">. </w:t>
      </w:r>
      <w:r>
        <w:rPr>
          <w:i/>
          <w:iCs/>
          <w:sz w:val="20"/>
          <w:szCs w:val="20"/>
        </w:rPr>
        <w:t>Consideraciones de</w:t>
      </w:r>
      <w:r w:rsidRPr="006C74C3">
        <w:rPr>
          <w:i/>
          <w:iCs/>
          <w:sz w:val="20"/>
          <w:szCs w:val="20"/>
        </w:rPr>
        <w:t xml:space="preserve"> la Corte</w:t>
      </w:r>
    </w:p>
    <w:p w14:paraId="6345C552" w14:textId="069B1393" w:rsidR="00074461" w:rsidRPr="00465984" w:rsidRDefault="00AE7BA3" w:rsidP="008C5C55">
      <w:pPr>
        <w:pStyle w:val="Textoindependiente"/>
        <w:numPr>
          <w:ilvl w:val="0"/>
          <w:numId w:val="3"/>
        </w:numPr>
        <w:tabs>
          <w:tab w:val="left" w:pos="851"/>
        </w:tabs>
        <w:spacing w:before="120" w:after="120"/>
        <w:ind w:left="0" w:firstLine="0"/>
        <w:jc w:val="both"/>
      </w:pPr>
      <w:r w:rsidRPr="00465984">
        <w:t xml:space="preserve">Al informar sobre la implementación de </w:t>
      </w:r>
      <w:r w:rsidR="00E20CF2" w:rsidRPr="00465984">
        <w:t>la garantía de no repetición dispuesta en la Sentencia (</w:t>
      </w:r>
      <w:r w:rsidR="00E20CF2" w:rsidRPr="00465984">
        <w:rPr>
          <w:i/>
          <w:iCs/>
        </w:rPr>
        <w:t>supra</w:t>
      </w:r>
      <w:r w:rsidR="00E20CF2" w:rsidRPr="00465984">
        <w:t xml:space="preserve"> Considerando </w:t>
      </w:r>
      <w:r w:rsidR="00ED33CB" w:rsidRPr="00465984">
        <w:t>20</w:t>
      </w:r>
      <w:r w:rsidR="00E20CF2" w:rsidRPr="00465984">
        <w:t>)</w:t>
      </w:r>
      <w:r w:rsidRPr="00465984">
        <w:t>, e</w:t>
      </w:r>
      <w:r w:rsidR="00707C45" w:rsidRPr="00465984">
        <w:t xml:space="preserve">l </w:t>
      </w:r>
      <w:r w:rsidR="00707C45" w:rsidRPr="00465984">
        <w:rPr>
          <w:i/>
          <w:iCs/>
        </w:rPr>
        <w:t xml:space="preserve">Estado </w:t>
      </w:r>
      <w:r w:rsidRPr="00465984">
        <w:t xml:space="preserve">indicó </w:t>
      </w:r>
      <w:r w:rsidR="00E13A71" w:rsidRPr="00465984">
        <w:t xml:space="preserve">que desde el “6 de junio de 2023” se encuentra publicado en el sitio </w:t>
      </w:r>
      <w:r w:rsidR="00E13A71" w:rsidRPr="00465984">
        <w:rPr>
          <w:i/>
          <w:iCs/>
        </w:rPr>
        <w:t>web</w:t>
      </w:r>
      <w:r w:rsidR="00E13A71" w:rsidRPr="00465984">
        <w:t xml:space="preserve"> de la Secretaría de Derechos Humanos de la Nación un “aviso importante” </w:t>
      </w:r>
      <w:r w:rsidR="0067660E" w:rsidRPr="00465984">
        <w:t xml:space="preserve">para </w:t>
      </w:r>
      <w:r w:rsidR="008C5C55" w:rsidRPr="00465984">
        <w:t xml:space="preserve">que “toda persona </w:t>
      </w:r>
      <w:r w:rsidR="008C5C55" w:rsidRPr="00465984">
        <w:rPr>
          <w:rFonts w:cs="Arial"/>
          <w:shd w:val="clear" w:color="auto" w:fill="FFFFFF"/>
        </w:rPr>
        <w:t xml:space="preserve">que haya tramitado, oportunamente, un expediente administrativo en virtud de la reparación establecida en la Ley </w:t>
      </w:r>
      <w:proofErr w:type="spellStart"/>
      <w:r w:rsidR="008C5C55" w:rsidRPr="00465984">
        <w:rPr>
          <w:rFonts w:cs="Arial"/>
          <w:shd w:val="clear" w:color="auto" w:fill="FFFFFF"/>
        </w:rPr>
        <w:t>nº</w:t>
      </w:r>
      <w:proofErr w:type="spellEnd"/>
      <w:r w:rsidR="008C5C55" w:rsidRPr="00465984">
        <w:rPr>
          <w:rFonts w:cs="Arial"/>
          <w:shd w:val="clear" w:color="auto" w:fill="FFFFFF"/>
        </w:rPr>
        <w:t xml:space="preserve"> 24.043, para obtener una indemnización por el período en el que permaneció sujeta a un régimen de libertad vigilada durante la última dictadura cívico-militar, que fuera oportunamente denegado por las autoridades administrativas y/o judiciales”,</w:t>
      </w:r>
      <w:r w:rsidR="00D769AF" w:rsidRPr="00465984">
        <w:rPr>
          <w:rFonts w:cs="Arial"/>
          <w:shd w:val="clear" w:color="auto" w:fill="FFFFFF"/>
        </w:rPr>
        <w:t xml:space="preserve"> </w:t>
      </w:r>
      <w:r w:rsidR="0067660E" w:rsidRPr="00465984">
        <w:t xml:space="preserve">conozca sobre la posibilidad de solicitar la </w:t>
      </w:r>
      <w:r w:rsidR="00E13A71" w:rsidRPr="00465984">
        <w:t>“reapertura de expedientes relativos a la libertad vigilada en cumplimiento de la Sentencia de la Corte IDH en el [presente] caso”</w:t>
      </w:r>
      <w:r w:rsidR="00E13A71" w:rsidRPr="00465984">
        <w:rPr>
          <w:rStyle w:val="Refdenotaalpie"/>
        </w:rPr>
        <w:footnoteReference w:id="22"/>
      </w:r>
      <w:r w:rsidR="0067660E" w:rsidRPr="00465984">
        <w:t xml:space="preserve">. </w:t>
      </w:r>
      <w:r w:rsidR="00E95213" w:rsidRPr="00465984">
        <w:t>A</w:t>
      </w:r>
      <w:r w:rsidR="00755879" w:rsidRPr="00465984">
        <w:t xml:space="preserve">simismo, </w:t>
      </w:r>
      <w:r w:rsidR="00416F3F" w:rsidRPr="00465984">
        <w:t>“</w:t>
      </w:r>
      <w:proofErr w:type="spellStart"/>
      <w:r w:rsidR="009B4871" w:rsidRPr="00465984">
        <w:t>remiti</w:t>
      </w:r>
      <w:proofErr w:type="spellEnd"/>
      <w:r w:rsidR="00416F3F" w:rsidRPr="00465984">
        <w:t>[</w:t>
      </w:r>
      <w:proofErr w:type="spellStart"/>
      <w:r w:rsidR="00416F3F" w:rsidRPr="00465984">
        <w:t>ió</w:t>
      </w:r>
      <w:proofErr w:type="spellEnd"/>
      <w:r w:rsidR="00416F3F" w:rsidRPr="00465984">
        <w:t>]</w:t>
      </w:r>
      <w:r w:rsidR="009B4871" w:rsidRPr="00465984">
        <w:t xml:space="preserve"> las notificaciones efectuadas a las principales organizaciones no</w:t>
      </w:r>
      <w:r w:rsidR="00416F3F" w:rsidRPr="00465984">
        <w:t xml:space="preserve"> </w:t>
      </w:r>
      <w:r w:rsidR="009B4871" w:rsidRPr="00465984">
        <w:t>gubernamentales de derechos humanos</w:t>
      </w:r>
      <w:r w:rsidR="00416F3F" w:rsidRPr="00465984">
        <w:t>”</w:t>
      </w:r>
      <w:r w:rsidR="00E95213" w:rsidRPr="00465984">
        <w:t xml:space="preserve"> en Argentina</w:t>
      </w:r>
      <w:r w:rsidR="00977FB1" w:rsidRPr="00465984">
        <w:rPr>
          <w:rStyle w:val="Refdenotaalpie"/>
        </w:rPr>
        <w:footnoteReference w:id="23"/>
      </w:r>
      <w:r w:rsidR="00F8747B" w:rsidRPr="00465984">
        <w:t>.</w:t>
      </w:r>
      <w:r w:rsidR="00E95213" w:rsidRPr="00465984">
        <w:t xml:space="preserve"> </w:t>
      </w:r>
      <w:r w:rsidR="00FA685B" w:rsidRPr="00465984">
        <w:t>En el comunicado</w:t>
      </w:r>
      <w:r w:rsidR="00E95213" w:rsidRPr="00465984">
        <w:t xml:space="preserve"> realizado en la referida página </w:t>
      </w:r>
      <w:r w:rsidR="00E95213" w:rsidRPr="00465984">
        <w:rPr>
          <w:i/>
          <w:iCs/>
        </w:rPr>
        <w:t>web</w:t>
      </w:r>
      <w:r w:rsidR="009B2643" w:rsidRPr="00465984">
        <w:rPr>
          <w:i/>
          <w:iCs/>
        </w:rPr>
        <w:t xml:space="preserve"> </w:t>
      </w:r>
      <w:r w:rsidR="009B2643" w:rsidRPr="00465984">
        <w:t xml:space="preserve">y las notificaciones a </w:t>
      </w:r>
      <w:r w:rsidR="00E95213" w:rsidRPr="00465984">
        <w:t>las</w:t>
      </w:r>
      <w:r w:rsidR="009B2643" w:rsidRPr="00465984">
        <w:t xml:space="preserve"> organizaciones no gubernamentales</w:t>
      </w:r>
      <w:r w:rsidR="00FA685B" w:rsidRPr="00465984">
        <w:t xml:space="preserve"> se </w:t>
      </w:r>
      <w:r w:rsidR="00B50616" w:rsidRPr="00465984">
        <w:t>indicó</w:t>
      </w:r>
      <w:r w:rsidR="00FA685B" w:rsidRPr="00465984">
        <w:t xml:space="preserve"> que “[l]as personas interesadas en que sus trámites administrativos sean revisados deberán presentar sus solicitudes</w:t>
      </w:r>
      <w:r w:rsidR="008C5C55" w:rsidRPr="00465984">
        <w:t xml:space="preserve"> [</w:t>
      </w:r>
      <w:r w:rsidR="008C5C55" w:rsidRPr="00465984">
        <w:rPr>
          <w:rFonts w:cs="Arial"/>
          <w:shd w:val="clear" w:color="auto" w:fill="FFFFFF"/>
        </w:rPr>
        <w:t>ante la Dirección de Gestión de Políticas Reparatorias de la Secretaría de Derechos Humanos de la Nación]</w:t>
      </w:r>
      <w:r w:rsidR="00FA685B" w:rsidRPr="00465984">
        <w:t xml:space="preserve">, con las constancias respaldatorias, hasta el día 6 de septiembre de 2024”. </w:t>
      </w:r>
      <w:r w:rsidR="004904BA" w:rsidRPr="00465984">
        <w:t xml:space="preserve">El Estado aportó los comprobantes de estas difusiones. </w:t>
      </w:r>
      <w:r w:rsidR="00E95213" w:rsidRPr="00465984">
        <w:t>Con base en estas acciones,</w:t>
      </w:r>
      <w:r w:rsidR="00FA685B" w:rsidRPr="00465984">
        <w:t xml:space="preserve"> en su informe</w:t>
      </w:r>
      <w:r w:rsidR="008C5C55" w:rsidRPr="00465984">
        <w:t xml:space="preserve"> d</w:t>
      </w:r>
      <w:r w:rsidR="00C67D4F" w:rsidRPr="00465984">
        <w:t>e julio de 2023</w:t>
      </w:r>
      <w:r w:rsidR="00506222" w:rsidRPr="00465984">
        <w:t xml:space="preserve">, </w:t>
      </w:r>
      <w:r w:rsidR="004904BA" w:rsidRPr="00465984">
        <w:t>Argentina</w:t>
      </w:r>
      <w:r w:rsidR="00506222" w:rsidRPr="00465984">
        <w:t xml:space="preserve"> </w:t>
      </w:r>
      <w:r w:rsidR="00E20CF2" w:rsidRPr="00465984">
        <w:t>sostuvo</w:t>
      </w:r>
      <w:r w:rsidR="00506222" w:rsidRPr="00465984">
        <w:t xml:space="preserve"> que </w:t>
      </w:r>
      <w:r w:rsidR="00C67D4F" w:rsidRPr="00465984">
        <w:t>“</w:t>
      </w:r>
      <w:r w:rsidR="00074461" w:rsidRPr="00465984">
        <w:t xml:space="preserve">ha acreditado </w:t>
      </w:r>
      <w:r w:rsidR="00526012" w:rsidRPr="00465984">
        <w:t>[…]</w:t>
      </w:r>
      <w:r w:rsidR="00074461" w:rsidRPr="00465984">
        <w:t xml:space="preserve"> el cumplimiento </w:t>
      </w:r>
      <w:proofErr w:type="spellStart"/>
      <w:r w:rsidR="00074461" w:rsidRPr="00465984">
        <w:t xml:space="preserve">de </w:t>
      </w:r>
      <w:proofErr w:type="gramStart"/>
      <w:r w:rsidR="00074461" w:rsidRPr="00465984">
        <w:t>l</w:t>
      </w:r>
      <w:proofErr w:type="spellEnd"/>
      <w:r w:rsidR="00074461" w:rsidRPr="00465984">
        <w:t>[</w:t>
      </w:r>
      <w:proofErr w:type="gramEnd"/>
      <w:r w:rsidR="00074461" w:rsidRPr="00465984">
        <w:t>a …] medid[a</w:t>
      </w:r>
      <w:r w:rsidR="00506222" w:rsidRPr="00465984">
        <w:t>]</w:t>
      </w:r>
      <w:r w:rsidR="00074461" w:rsidRPr="00465984">
        <w:t xml:space="preserve">” </w:t>
      </w:r>
      <w:r w:rsidR="00506222" w:rsidRPr="00465984">
        <w:t xml:space="preserve">y solicitó que se declare su cumplimiento total. </w:t>
      </w:r>
      <w:r w:rsidR="00B112F6" w:rsidRPr="00465984">
        <w:t xml:space="preserve">La </w:t>
      </w:r>
      <w:r w:rsidR="00B112F6" w:rsidRPr="00465984">
        <w:rPr>
          <w:i/>
          <w:iCs/>
        </w:rPr>
        <w:t xml:space="preserve">representante </w:t>
      </w:r>
      <w:r w:rsidR="00B112F6" w:rsidRPr="00465984">
        <w:t>no presentó observaciones</w:t>
      </w:r>
      <w:r w:rsidR="00506222" w:rsidRPr="00465984">
        <w:t xml:space="preserve"> en cuanto a la implementación de esta reparación</w:t>
      </w:r>
      <w:r w:rsidR="00B112F6" w:rsidRPr="00465984">
        <w:t xml:space="preserve">. </w:t>
      </w:r>
    </w:p>
    <w:p w14:paraId="53199A99" w14:textId="77777777" w:rsidR="00465984" w:rsidRPr="00465984" w:rsidRDefault="00465984" w:rsidP="00465984">
      <w:pPr>
        <w:pStyle w:val="Textoindependiente"/>
        <w:tabs>
          <w:tab w:val="left" w:pos="851"/>
        </w:tabs>
        <w:spacing w:before="120" w:after="120"/>
        <w:jc w:val="both"/>
        <w:rPr>
          <w:sz w:val="16"/>
          <w:szCs w:val="16"/>
        </w:rPr>
      </w:pPr>
    </w:p>
    <w:p w14:paraId="1684C270" w14:textId="3BA20EAB" w:rsidR="00B03E60" w:rsidRPr="00465984" w:rsidRDefault="004904BA" w:rsidP="00B03E60">
      <w:pPr>
        <w:pStyle w:val="Textoindependiente"/>
        <w:numPr>
          <w:ilvl w:val="0"/>
          <w:numId w:val="3"/>
        </w:numPr>
        <w:tabs>
          <w:tab w:val="left" w:pos="851"/>
        </w:tabs>
        <w:spacing w:before="120" w:after="120"/>
        <w:ind w:left="0" w:firstLine="0"/>
        <w:jc w:val="both"/>
        <w:rPr>
          <w:sz w:val="16"/>
          <w:szCs w:val="16"/>
        </w:rPr>
      </w:pPr>
      <w:r w:rsidRPr="00465984">
        <w:t>Con base en lo informa</w:t>
      </w:r>
      <w:r w:rsidR="00EF12EE" w:rsidRPr="00465984">
        <w:t xml:space="preserve">ción y material probatorio aportado por el Estado, la Corte observa que </w:t>
      </w:r>
      <w:r w:rsidR="00977FB1" w:rsidRPr="00465984">
        <w:t>Argentina</w:t>
      </w:r>
      <w:r w:rsidR="00EF12EE" w:rsidRPr="00465984">
        <w:t xml:space="preserve"> cumplió con las medidas requeridas en el párrafo 68 de la Sentencia</w:t>
      </w:r>
      <w:r w:rsidR="00977FB1" w:rsidRPr="00465984">
        <w:t xml:space="preserve"> (</w:t>
      </w:r>
      <w:r w:rsidR="00977FB1" w:rsidRPr="00465984">
        <w:rPr>
          <w:i/>
          <w:iCs/>
        </w:rPr>
        <w:t>supra</w:t>
      </w:r>
      <w:r w:rsidR="00977FB1" w:rsidRPr="00465984">
        <w:t xml:space="preserve"> Considerando 18)</w:t>
      </w:r>
      <w:r w:rsidR="002610E0" w:rsidRPr="00465984">
        <w:t>,</w:t>
      </w:r>
      <w:r w:rsidR="00EF12EE" w:rsidRPr="00465984">
        <w:t xml:space="preserve"> </w:t>
      </w:r>
      <w:r w:rsidR="002610E0" w:rsidRPr="00465984">
        <w:t xml:space="preserve">ya que efectuó acciones para difundir que a través de sus instituciones internas se revisarán los expedientes de las personas a quienes se les negaron solicitudes de indemnización bajo la Ley </w:t>
      </w:r>
      <w:proofErr w:type="spellStart"/>
      <w:r w:rsidR="002610E0" w:rsidRPr="00465984">
        <w:rPr>
          <w:rFonts w:cs="Arial"/>
          <w:shd w:val="clear" w:color="auto" w:fill="FFFFFF"/>
        </w:rPr>
        <w:t>Nº</w:t>
      </w:r>
      <w:proofErr w:type="spellEnd"/>
      <w:r w:rsidR="002610E0" w:rsidRPr="00465984">
        <w:rPr>
          <w:rFonts w:cs="Arial"/>
          <w:shd w:val="clear" w:color="auto" w:fill="FFFFFF"/>
        </w:rPr>
        <w:t xml:space="preserve"> 24.043 y que </w:t>
      </w:r>
      <w:r w:rsidR="00EF00A1" w:rsidRPr="00465984">
        <w:rPr>
          <w:rFonts w:cs="Arial"/>
          <w:shd w:val="clear" w:color="auto" w:fill="FFFFFF"/>
        </w:rPr>
        <w:t xml:space="preserve">presenten una solicitud en ese sentido, </w:t>
      </w:r>
      <w:r w:rsidR="002610E0" w:rsidRPr="00465984">
        <w:rPr>
          <w:rFonts w:cs="Arial"/>
          <w:shd w:val="clear" w:color="auto" w:fill="FFFFFF"/>
        </w:rPr>
        <w:t>acredit</w:t>
      </w:r>
      <w:r w:rsidR="00EF00A1" w:rsidRPr="00465984">
        <w:rPr>
          <w:rFonts w:cs="Arial"/>
          <w:shd w:val="clear" w:color="auto" w:fill="FFFFFF"/>
        </w:rPr>
        <w:t>ando</w:t>
      </w:r>
      <w:r w:rsidR="002610E0" w:rsidRPr="00465984">
        <w:rPr>
          <w:rFonts w:cs="Arial"/>
          <w:shd w:val="clear" w:color="auto" w:fill="FFFFFF"/>
        </w:rPr>
        <w:t xml:space="preserve"> estar en la misma situación fáctica que el señor Al</w:t>
      </w:r>
      <w:r w:rsidR="00157A86" w:rsidRPr="00465984">
        <w:rPr>
          <w:rFonts w:cs="Arial"/>
          <w:shd w:val="clear" w:color="auto" w:fill="FFFFFF"/>
        </w:rPr>
        <w:t>m</w:t>
      </w:r>
      <w:r w:rsidR="002610E0" w:rsidRPr="00465984">
        <w:rPr>
          <w:rFonts w:cs="Arial"/>
          <w:shd w:val="clear" w:color="auto" w:fill="FFFFFF"/>
        </w:rPr>
        <w:t>eida</w:t>
      </w:r>
      <w:r w:rsidR="0063209E" w:rsidRPr="00465984">
        <w:t xml:space="preserve">. </w:t>
      </w:r>
    </w:p>
    <w:p w14:paraId="5F1B6B94" w14:textId="4C8BF850" w:rsidR="00EF00A1" w:rsidRPr="00465984" w:rsidRDefault="00EF00A1" w:rsidP="00B03E60">
      <w:pPr>
        <w:pStyle w:val="Textoindependiente"/>
        <w:numPr>
          <w:ilvl w:val="0"/>
          <w:numId w:val="3"/>
        </w:numPr>
        <w:tabs>
          <w:tab w:val="left" w:pos="851"/>
        </w:tabs>
        <w:spacing w:before="120" w:after="120"/>
        <w:ind w:left="0" w:firstLine="0"/>
        <w:jc w:val="both"/>
        <w:rPr>
          <w:sz w:val="16"/>
          <w:szCs w:val="16"/>
        </w:rPr>
      </w:pPr>
      <w:r w:rsidRPr="00465984">
        <w:t>El anterior análisis del cumplimiento de esta garantía de no repetición es realizado por esta Corte en el marco de sus facultades de supervisión de cumplimiento de sentencia, que no equivalen a un pronunciamiento de fondo, por lo que ello no precluye la posibilidad de este Tribunal para pronunciarse si se le llegare a someter otro caso contencioso por hechos similares.</w:t>
      </w:r>
    </w:p>
    <w:p w14:paraId="5702EAC3" w14:textId="0364FDB2" w:rsidR="00B03E60" w:rsidRPr="001E731E" w:rsidRDefault="00EF12EE" w:rsidP="001E731E">
      <w:pPr>
        <w:pStyle w:val="Textoindependiente"/>
        <w:numPr>
          <w:ilvl w:val="0"/>
          <w:numId w:val="3"/>
        </w:numPr>
        <w:tabs>
          <w:tab w:val="left" w:pos="851"/>
        </w:tabs>
        <w:spacing w:before="120" w:after="120"/>
        <w:ind w:left="0" w:firstLine="0"/>
        <w:jc w:val="both"/>
      </w:pPr>
      <w:r w:rsidRPr="00EF12EE">
        <w:t>Si bien la medida de reparación ordenada no se limita a la referida difusión</w:t>
      </w:r>
      <w:r w:rsidR="00B03E60">
        <w:t>, pues</w:t>
      </w:r>
      <w:r w:rsidRPr="00EF12EE">
        <w:t xml:space="preserve"> </w:t>
      </w:r>
      <w:r>
        <w:t>comprend</w:t>
      </w:r>
      <w:r w:rsidR="00B03E60">
        <w:t>e</w:t>
      </w:r>
      <w:r>
        <w:t xml:space="preserve"> también el deber que tiene el Estado de garantizar en sede administrativa la realización de los reclamos que le sean presentados, </w:t>
      </w:r>
      <w:r w:rsidRPr="00EF12EE">
        <w:t>la Corte entiende que</w:t>
      </w:r>
      <w:r w:rsidR="000F4C37">
        <w:t xml:space="preserve"> Argentina cumplirá de buena fe sus obligaciones internacionales, en caso de recibir</w:t>
      </w:r>
      <w:r w:rsidR="00D769AF">
        <w:t xml:space="preserve"> </w:t>
      </w:r>
      <w:r w:rsidR="00D769AF" w:rsidRPr="008C5C55">
        <w:rPr>
          <w:rFonts w:cs="Arial"/>
          <w:color w:val="333333"/>
          <w:shd w:val="clear" w:color="auto" w:fill="FFFFFF"/>
        </w:rPr>
        <w:t>ante la Dirección de Gestión de Políticas Reparatorias</w:t>
      </w:r>
      <w:r w:rsidR="00D769AF">
        <w:rPr>
          <w:rFonts w:cs="Arial"/>
          <w:color w:val="333333"/>
          <w:shd w:val="clear" w:color="auto" w:fill="FFFFFF"/>
        </w:rPr>
        <w:t xml:space="preserve"> de la Secretaría de Derechos Humanos de la Nación</w:t>
      </w:r>
      <w:r w:rsidR="00D769AF">
        <w:t xml:space="preserve"> (</w:t>
      </w:r>
      <w:r w:rsidR="00D769AF" w:rsidRPr="00465984">
        <w:rPr>
          <w:i/>
          <w:iCs/>
        </w:rPr>
        <w:t>supra</w:t>
      </w:r>
      <w:r w:rsidR="00D769AF">
        <w:t xml:space="preserve"> Considerando 21)</w:t>
      </w:r>
      <w:r w:rsidR="000F4C37">
        <w:t xml:space="preserve"> el reclamo de alguna persona interesada en la misma situación fáctica</w:t>
      </w:r>
      <w:r w:rsidR="003D5FE1">
        <w:t xml:space="preserve"> que el señor Almeida, garantizándole la</w:t>
      </w:r>
      <w:r w:rsidR="00977FB1">
        <w:t xml:space="preserve"> reapertura del expediente y la</w:t>
      </w:r>
      <w:r w:rsidR="003D5FE1">
        <w:t xml:space="preserve"> revisión correspondiente en sede administrativa. Al respecto</w:t>
      </w:r>
      <w:r w:rsidR="00157A86">
        <w:t>,</w:t>
      </w:r>
      <w:r w:rsidR="003D5FE1">
        <w:t xml:space="preserve"> la Corte recuerda lo indicado en la Sentencia en cuanto a que “no ser[á] oponible la situación de cosa juzgada a las reclamaciones presentadas y [a que] debe[</w:t>
      </w:r>
      <w:proofErr w:type="spellStart"/>
      <w:r w:rsidR="003D5FE1">
        <w:t>rá</w:t>
      </w:r>
      <w:proofErr w:type="spellEnd"/>
      <w:r w:rsidR="003D5FE1">
        <w:t xml:space="preserve">] permitir a los interesados presentar toda la información necesaria para acreditar sus reclamos”. </w:t>
      </w:r>
      <w:r w:rsidR="001E731E">
        <w:t xml:space="preserve">En consecuencia, el Tribunal considera que el Estado ha dado cumplimiento total a la medida ordenada en el punto resolutivo sexto y el párrafo 68 de la Sentencia. </w:t>
      </w:r>
    </w:p>
    <w:p w14:paraId="1456D667" w14:textId="77777777" w:rsidR="006B4EFE" w:rsidRPr="00296F43" w:rsidRDefault="006B4EFE" w:rsidP="00AB5A00">
      <w:pPr>
        <w:pStyle w:val="Textoindependiente"/>
        <w:tabs>
          <w:tab w:val="left" w:pos="851"/>
        </w:tabs>
        <w:spacing w:before="120" w:after="120"/>
        <w:jc w:val="both"/>
        <w:rPr>
          <w:b/>
        </w:rPr>
      </w:pPr>
    </w:p>
    <w:p w14:paraId="0E40E226" w14:textId="290E6F7D" w:rsidR="001E08B5" w:rsidRPr="00296F43" w:rsidRDefault="001E08B5" w:rsidP="00AB5A00">
      <w:pPr>
        <w:pStyle w:val="Textoindependiente"/>
        <w:tabs>
          <w:tab w:val="left" w:pos="851"/>
        </w:tabs>
        <w:spacing w:before="120" w:after="120"/>
        <w:jc w:val="both"/>
        <w:rPr>
          <w:b/>
        </w:rPr>
      </w:pPr>
      <w:r w:rsidRPr="00296F43">
        <w:rPr>
          <w:b/>
        </w:rPr>
        <w:t>POR TANTO:</w:t>
      </w:r>
    </w:p>
    <w:p w14:paraId="6A307FBA" w14:textId="77777777" w:rsidR="001E08B5" w:rsidRPr="00296F43" w:rsidRDefault="001E08B5" w:rsidP="00AB5A00">
      <w:pPr>
        <w:pStyle w:val="Textoindependiente"/>
        <w:tabs>
          <w:tab w:val="left" w:pos="851"/>
        </w:tabs>
        <w:spacing w:before="120" w:after="120"/>
        <w:jc w:val="both"/>
        <w:rPr>
          <w:b/>
        </w:rPr>
      </w:pPr>
      <w:r w:rsidRPr="00296F43">
        <w:rPr>
          <w:b/>
        </w:rPr>
        <w:t>LA CORTE INTE</w:t>
      </w:r>
      <w:r w:rsidR="00682E52" w:rsidRPr="00296F43">
        <w:rPr>
          <w:b/>
        </w:rPr>
        <w:t xml:space="preserve">RAMERICANA DE DERECHOS HUMANOS </w:t>
      </w:r>
    </w:p>
    <w:p w14:paraId="61A0FE0D" w14:textId="77777777" w:rsidR="001E08B5" w:rsidRPr="00296F43" w:rsidRDefault="00682E52" w:rsidP="00AB5A00">
      <w:pPr>
        <w:pStyle w:val="Textoindependiente"/>
        <w:tabs>
          <w:tab w:val="left" w:pos="851"/>
        </w:tabs>
        <w:spacing w:before="120" w:after="120"/>
        <w:jc w:val="both"/>
      </w:pPr>
      <w:r w:rsidRPr="00296F43">
        <w:t xml:space="preserve">en el ejercicio de sus atribuciones de supervisión del cumplimiento de sus decisiones y de conformidad con los artículos 33, 62.1, 62.3, 65, 67 y 68.1 de la Convención Americana sobre Derechos Humanos, 24, 25 y 30 del Estatuto, y 31.2 y 69 de su Reglamento, </w:t>
      </w:r>
    </w:p>
    <w:p w14:paraId="22DBB57F" w14:textId="77777777" w:rsidR="0063209E" w:rsidRDefault="0063209E" w:rsidP="00AB5A00">
      <w:pPr>
        <w:pStyle w:val="Textoindependiente"/>
        <w:tabs>
          <w:tab w:val="left" w:pos="851"/>
        </w:tabs>
        <w:spacing w:before="120" w:after="120"/>
        <w:jc w:val="both"/>
        <w:rPr>
          <w:b/>
        </w:rPr>
      </w:pPr>
    </w:p>
    <w:p w14:paraId="28B1D93A" w14:textId="2A97029C" w:rsidR="00682E52" w:rsidRDefault="00682E52" w:rsidP="00AB5A00">
      <w:pPr>
        <w:pStyle w:val="Textoindependiente"/>
        <w:tabs>
          <w:tab w:val="left" w:pos="851"/>
        </w:tabs>
        <w:spacing w:before="120" w:after="120"/>
        <w:jc w:val="both"/>
        <w:rPr>
          <w:b/>
        </w:rPr>
      </w:pPr>
      <w:r w:rsidRPr="00296F43">
        <w:rPr>
          <w:b/>
        </w:rPr>
        <w:t xml:space="preserve">RESUELVE: </w:t>
      </w:r>
    </w:p>
    <w:p w14:paraId="0C1518AE" w14:textId="64CBFD25" w:rsidR="005376B3" w:rsidRDefault="000E671C" w:rsidP="00084490">
      <w:pPr>
        <w:pStyle w:val="Textoindependiente"/>
        <w:numPr>
          <w:ilvl w:val="0"/>
          <w:numId w:val="4"/>
        </w:numPr>
        <w:tabs>
          <w:tab w:val="left" w:pos="851"/>
        </w:tabs>
        <w:spacing w:before="120" w:after="120"/>
        <w:ind w:left="0" w:firstLine="0"/>
        <w:jc w:val="both"/>
      </w:pPr>
      <w:r w:rsidRPr="00021126">
        <w:t xml:space="preserve">Declarar, de conformidad con lo señalado en </w:t>
      </w:r>
      <w:r w:rsidR="005376B3">
        <w:t>los</w:t>
      </w:r>
      <w:r w:rsidRPr="00021126">
        <w:t xml:space="preserve"> Considerando</w:t>
      </w:r>
      <w:r w:rsidR="005376B3">
        <w:t>s</w:t>
      </w:r>
      <w:r w:rsidRPr="00021126">
        <w:t xml:space="preserve"> </w:t>
      </w:r>
      <w:r w:rsidR="001E5D5D">
        <w:t>13, 16 y 24</w:t>
      </w:r>
      <w:r w:rsidRPr="00021126">
        <w:t xml:space="preserve">, que </w:t>
      </w:r>
      <w:r w:rsidR="00CA335E" w:rsidRPr="00021126">
        <w:t>el Estado ha dado cumplimiento total</w:t>
      </w:r>
      <w:r w:rsidR="000827D1" w:rsidRPr="00021126">
        <w:t xml:space="preserve"> </w:t>
      </w:r>
      <w:r w:rsidR="008461EE">
        <w:t>a las siguientes reparaciones:</w:t>
      </w:r>
    </w:p>
    <w:p w14:paraId="2570E7E4" w14:textId="6F60B904" w:rsidR="008461EE" w:rsidRPr="00850C01" w:rsidRDefault="008461EE" w:rsidP="00977FB1">
      <w:pPr>
        <w:pStyle w:val="Textoindependiente"/>
        <w:numPr>
          <w:ilvl w:val="1"/>
          <w:numId w:val="2"/>
        </w:numPr>
        <w:tabs>
          <w:tab w:val="left" w:pos="851"/>
        </w:tabs>
        <w:spacing w:before="120" w:after="120"/>
        <w:ind w:left="815"/>
        <w:jc w:val="both"/>
      </w:pPr>
      <w:r w:rsidRPr="00850C01">
        <w:t xml:space="preserve">pagar a la víctima la suma </w:t>
      </w:r>
      <w:r w:rsidR="008751E9">
        <w:t>dispuesta</w:t>
      </w:r>
      <w:r w:rsidRPr="00850C01">
        <w:t xml:space="preserve"> en el párrafo 62 de la Sentencia, “por concepto de indemnización por el tiempo que permaneció en un régimen de libertad vigilada </w:t>
      </w:r>
      <w:r w:rsidRPr="00850C01">
        <w:rPr>
          <w:i/>
          <w:iCs/>
        </w:rPr>
        <w:t>de facto</w:t>
      </w:r>
      <w:r w:rsidRPr="00850C01">
        <w:t xml:space="preserve">” </w:t>
      </w:r>
      <w:r w:rsidRPr="00850C01">
        <w:rPr>
          <w:i/>
          <w:iCs/>
        </w:rPr>
        <w:t>(punto resolutivo cuarto de la Sentencia)</w:t>
      </w:r>
      <w:r w:rsidRPr="00850C01">
        <w:t>;</w:t>
      </w:r>
    </w:p>
    <w:p w14:paraId="27AD256F" w14:textId="56B49061" w:rsidR="00850C01" w:rsidRPr="00850C01" w:rsidRDefault="008461EE" w:rsidP="00977FB1">
      <w:pPr>
        <w:pStyle w:val="Textoindependiente"/>
        <w:numPr>
          <w:ilvl w:val="1"/>
          <w:numId w:val="2"/>
        </w:numPr>
        <w:tabs>
          <w:tab w:val="left" w:pos="851"/>
        </w:tabs>
        <w:spacing w:before="120" w:after="120"/>
        <w:ind w:left="815"/>
        <w:jc w:val="both"/>
      </w:pPr>
      <w:r w:rsidRPr="00850C01">
        <w:t>realizar la publicación de la Sentencia y de su resumen oficial</w:t>
      </w:r>
      <w:r w:rsidR="00850C01" w:rsidRPr="00850C01">
        <w:t xml:space="preserve"> indicadas en el párrafo 65 de la </w:t>
      </w:r>
      <w:r w:rsidR="00182EAA">
        <w:t>misma</w:t>
      </w:r>
      <w:r w:rsidR="00850C01" w:rsidRPr="00850C01">
        <w:t xml:space="preserve"> </w:t>
      </w:r>
      <w:r w:rsidR="00850C01" w:rsidRPr="00850C01">
        <w:rPr>
          <w:i/>
          <w:iCs/>
        </w:rPr>
        <w:t>(punto resolutivo quinto de la Sentencia)</w:t>
      </w:r>
      <w:r w:rsidR="00850C01" w:rsidRPr="00850C01">
        <w:t>;</w:t>
      </w:r>
    </w:p>
    <w:p w14:paraId="1FFD3481" w14:textId="4347127A" w:rsidR="00850C01" w:rsidRPr="00465984" w:rsidRDefault="00850C01" w:rsidP="00977FB1">
      <w:pPr>
        <w:pStyle w:val="Textoindependiente"/>
        <w:numPr>
          <w:ilvl w:val="1"/>
          <w:numId w:val="2"/>
        </w:numPr>
        <w:tabs>
          <w:tab w:val="left" w:pos="851"/>
        </w:tabs>
        <w:spacing w:before="120" w:after="120"/>
        <w:ind w:left="815"/>
        <w:jc w:val="both"/>
      </w:pPr>
      <w:r w:rsidRPr="00850C01">
        <w:t>garantizar</w:t>
      </w:r>
      <w:r w:rsidR="00307D57">
        <w:t>,</w:t>
      </w:r>
      <w:r w:rsidRPr="00850C01">
        <w:t xml:space="preserve"> en sede administrativa</w:t>
      </w:r>
      <w:r w:rsidR="00307D57">
        <w:t>,</w:t>
      </w:r>
      <w:r w:rsidRPr="00850C01">
        <w:t xml:space="preserve"> la revisión de </w:t>
      </w:r>
      <w:r w:rsidR="00307D57">
        <w:t xml:space="preserve">la situación de </w:t>
      </w:r>
      <w:r w:rsidRPr="00850C01">
        <w:t xml:space="preserve">las personas que se encuentren en la misma situación fáctica que el señor Almeida y que así lo soliciten </w:t>
      </w:r>
      <w:r w:rsidRPr="00850C01">
        <w:rPr>
          <w:i/>
          <w:iCs/>
        </w:rPr>
        <w:t>(punto resolutivo sexto de la Sentencia)</w:t>
      </w:r>
      <w:r>
        <w:rPr>
          <w:i/>
          <w:iCs/>
        </w:rPr>
        <w:t>;</w:t>
      </w:r>
    </w:p>
    <w:p w14:paraId="4C354171" w14:textId="77777777" w:rsidR="00465984" w:rsidRPr="00850C01" w:rsidRDefault="00465984" w:rsidP="00465984">
      <w:pPr>
        <w:pStyle w:val="Textoindependiente"/>
        <w:tabs>
          <w:tab w:val="left" w:pos="851"/>
        </w:tabs>
        <w:spacing w:before="120" w:after="120"/>
        <w:ind w:left="815"/>
        <w:jc w:val="both"/>
      </w:pPr>
    </w:p>
    <w:p w14:paraId="4427F95E" w14:textId="77777777" w:rsidR="001E5D5D" w:rsidRDefault="00850C01" w:rsidP="001E5D5D">
      <w:pPr>
        <w:pStyle w:val="Textoindependiente"/>
        <w:numPr>
          <w:ilvl w:val="1"/>
          <w:numId w:val="2"/>
        </w:numPr>
        <w:tabs>
          <w:tab w:val="left" w:pos="851"/>
        </w:tabs>
        <w:spacing w:before="120" w:after="120"/>
        <w:ind w:left="815"/>
        <w:jc w:val="both"/>
      </w:pPr>
      <w:r w:rsidRPr="00850C01">
        <w:lastRenderedPageBreak/>
        <w:t>pagar a la víctima las cantidades fijadas en los párrafos 76 y 82 de la Sentencia, por concepto de indemnizaci</w:t>
      </w:r>
      <w:r w:rsidR="00307D57">
        <w:t>ones</w:t>
      </w:r>
      <w:r w:rsidRPr="00850C01">
        <w:t xml:space="preserve"> de</w:t>
      </w:r>
      <w:r w:rsidR="00307D57">
        <w:t xml:space="preserve"> </w:t>
      </w:r>
      <w:r w:rsidRPr="00850C01">
        <w:t>l</w:t>
      </w:r>
      <w:r w:rsidR="00307D57">
        <w:t>os</w:t>
      </w:r>
      <w:r w:rsidRPr="00850C01">
        <w:t xml:space="preserve"> daño</w:t>
      </w:r>
      <w:r w:rsidR="00307D57">
        <w:t>s</w:t>
      </w:r>
      <w:r w:rsidRPr="00850C01">
        <w:t xml:space="preserve"> material e inmaterial </w:t>
      </w:r>
      <w:r w:rsidRPr="00850C01">
        <w:rPr>
          <w:i/>
          <w:iCs/>
        </w:rPr>
        <w:t>(punto resolutivo séptimo de la Sentencia)</w:t>
      </w:r>
      <w:r w:rsidRPr="00850C01">
        <w:t>, y</w:t>
      </w:r>
    </w:p>
    <w:p w14:paraId="0E570931" w14:textId="7C8CE487" w:rsidR="006A36E2" w:rsidRDefault="00850C01" w:rsidP="001E5D5D">
      <w:pPr>
        <w:pStyle w:val="Textoindependiente"/>
        <w:numPr>
          <w:ilvl w:val="1"/>
          <w:numId w:val="2"/>
        </w:numPr>
        <w:tabs>
          <w:tab w:val="left" w:pos="851"/>
        </w:tabs>
        <w:spacing w:before="120" w:after="120"/>
        <w:ind w:left="815"/>
        <w:jc w:val="both"/>
      </w:pPr>
      <w:r w:rsidRPr="00850C01">
        <w:t xml:space="preserve">pagar a la representante de la víctima la cantidad fijada en el párrafo 86 de la Sentencia por concepto de reintegro de costas y gastos </w:t>
      </w:r>
      <w:r w:rsidRPr="001E5D5D">
        <w:rPr>
          <w:i/>
          <w:iCs/>
        </w:rPr>
        <w:t>(punto resolutivo séptimo de la Sentencia)</w:t>
      </w:r>
      <w:r w:rsidRPr="00850C01">
        <w:t>.</w:t>
      </w:r>
    </w:p>
    <w:p w14:paraId="04DA0063" w14:textId="77777777" w:rsidR="00465984" w:rsidRPr="00850C01" w:rsidRDefault="00465984" w:rsidP="00465984">
      <w:pPr>
        <w:pStyle w:val="Textoindependiente"/>
        <w:tabs>
          <w:tab w:val="left" w:pos="851"/>
        </w:tabs>
        <w:spacing w:before="120" w:after="120"/>
        <w:ind w:left="815"/>
        <w:jc w:val="both"/>
      </w:pPr>
    </w:p>
    <w:p w14:paraId="09781EAF" w14:textId="5E7F8BC9" w:rsidR="008461EE" w:rsidRDefault="00850C01" w:rsidP="00084490">
      <w:pPr>
        <w:pStyle w:val="Textoindependiente"/>
        <w:numPr>
          <w:ilvl w:val="0"/>
          <w:numId w:val="4"/>
        </w:numPr>
        <w:tabs>
          <w:tab w:val="left" w:pos="851"/>
        </w:tabs>
        <w:spacing w:before="120" w:after="120"/>
        <w:ind w:left="0" w:firstLine="0"/>
        <w:jc w:val="both"/>
      </w:pPr>
      <w:r>
        <w:t xml:space="preserve">Dar por concluido el </w:t>
      </w:r>
      <w:r w:rsidRPr="00465984">
        <w:rPr>
          <w:i/>
          <w:iCs/>
        </w:rPr>
        <w:t>caso Almeida</w:t>
      </w:r>
      <w:r>
        <w:t xml:space="preserve"> debido a que Argentina ha dado cumplimiento total a las medidas de reparación dispuestas en la Sentencia de fondo, reparaciones y costas emitida por la Corte el 17 de noviembre de 2020.</w:t>
      </w:r>
    </w:p>
    <w:p w14:paraId="1B3376A3" w14:textId="6813C702" w:rsidR="00850C01" w:rsidRDefault="00850C01" w:rsidP="00084490">
      <w:pPr>
        <w:pStyle w:val="Textoindependiente"/>
        <w:numPr>
          <w:ilvl w:val="0"/>
          <w:numId w:val="4"/>
        </w:numPr>
        <w:tabs>
          <w:tab w:val="left" w:pos="851"/>
        </w:tabs>
        <w:spacing w:before="120" w:after="120"/>
        <w:ind w:left="0" w:firstLine="0"/>
        <w:jc w:val="both"/>
      </w:pPr>
      <w:r>
        <w:t xml:space="preserve">Archivar el expediente del </w:t>
      </w:r>
      <w:r w:rsidR="00182EAA">
        <w:rPr>
          <w:i/>
          <w:iCs/>
        </w:rPr>
        <w:t>c</w:t>
      </w:r>
      <w:r w:rsidRPr="001E5D5D">
        <w:rPr>
          <w:i/>
          <w:iCs/>
        </w:rPr>
        <w:t>aso Almeida Vs. Argentina</w:t>
      </w:r>
      <w:r>
        <w:t xml:space="preserve">. </w:t>
      </w:r>
    </w:p>
    <w:p w14:paraId="19C8FF19" w14:textId="6514A041" w:rsidR="00850C01" w:rsidRDefault="00850C01" w:rsidP="005376B3">
      <w:pPr>
        <w:pStyle w:val="Textoindependiente"/>
        <w:numPr>
          <w:ilvl w:val="0"/>
          <w:numId w:val="4"/>
        </w:numPr>
        <w:tabs>
          <w:tab w:val="left" w:pos="851"/>
        </w:tabs>
        <w:spacing w:before="120" w:after="120"/>
        <w:ind w:left="0" w:firstLine="0"/>
        <w:jc w:val="both"/>
      </w:pPr>
      <w:r>
        <w:t xml:space="preserve">Comunicar esta </w:t>
      </w:r>
      <w:r w:rsidR="00E842B2">
        <w:t>R</w:t>
      </w:r>
      <w:r>
        <w:t>esolución a la Asamblea General de la Organización de los Estados Americanos por conducto del Informe Anual de la Corte Interamericana de Derechos Humanos del año 2024.</w:t>
      </w:r>
    </w:p>
    <w:p w14:paraId="6D2AA78F" w14:textId="0099282E" w:rsidR="005F7C06" w:rsidRDefault="00850C01" w:rsidP="006A36E2">
      <w:pPr>
        <w:pStyle w:val="Textoindependiente"/>
        <w:numPr>
          <w:ilvl w:val="0"/>
          <w:numId w:val="4"/>
        </w:numPr>
        <w:tabs>
          <w:tab w:val="left" w:pos="851"/>
        </w:tabs>
        <w:spacing w:before="120" w:after="120"/>
        <w:ind w:left="0" w:firstLine="0"/>
        <w:jc w:val="both"/>
      </w:pPr>
      <w:r>
        <w:t>Disponer que la Secretaría de la Corte Interamericana de Derechos Humanos notifique la presente Resolución al Estado, a la representante de la víctima y a la Comisión Interamericana de Derechos Humanos.</w:t>
      </w:r>
    </w:p>
    <w:p w14:paraId="79EC4BA0" w14:textId="77777777" w:rsidR="001A1D37" w:rsidRDefault="001A1D37" w:rsidP="001A1D37">
      <w:pPr>
        <w:pStyle w:val="Textoindependiente"/>
        <w:tabs>
          <w:tab w:val="left" w:pos="851"/>
        </w:tabs>
        <w:spacing w:before="120" w:after="120"/>
        <w:jc w:val="both"/>
      </w:pPr>
    </w:p>
    <w:p w14:paraId="6C9E2536" w14:textId="77777777" w:rsidR="001A1D37" w:rsidRPr="004602BB" w:rsidRDefault="001A1D37" w:rsidP="001A1D37">
      <w:pPr>
        <w:jc w:val="both"/>
        <w:rPr>
          <w:sz w:val="20"/>
          <w:lang w:val="es-ES"/>
        </w:rPr>
      </w:pPr>
      <w:r w:rsidRPr="003B7884">
        <w:rPr>
          <w:sz w:val="20"/>
          <w:lang w:val="pt-BR"/>
        </w:rPr>
        <w:t xml:space="preserve">Corte IDH. </w:t>
      </w:r>
      <w:r w:rsidRPr="007E14D4">
        <w:rPr>
          <w:i/>
          <w:iCs/>
          <w:sz w:val="20"/>
          <w:lang w:val="pt-BR"/>
        </w:rPr>
        <w:t>Caso Almeida Vs</w:t>
      </w:r>
      <w:r w:rsidRPr="007E14D4">
        <w:rPr>
          <w:i/>
          <w:sz w:val="20"/>
          <w:lang w:val="pt-BR"/>
        </w:rPr>
        <w:t xml:space="preserve">. </w:t>
      </w:r>
      <w:r>
        <w:rPr>
          <w:i/>
          <w:sz w:val="20"/>
        </w:rPr>
        <w:t xml:space="preserve">Argentina. </w:t>
      </w:r>
      <w:r>
        <w:rPr>
          <w:iCs/>
          <w:sz w:val="20"/>
        </w:rPr>
        <w:t>Supervisión de Cumplimiento de Sentencia</w:t>
      </w:r>
      <w:r w:rsidRPr="002D12F9">
        <w:rPr>
          <w:sz w:val="20"/>
          <w:lang w:val="es-ES"/>
        </w:rPr>
        <w:t xml:space="preserve">. </w:t>
      </w:r>
      <w:r w:rsidRPr="00E262EB">
        <w:rPr>
          <w:iCs/>
          <w:sz w:val="20"/>
        </w:rPr>
        <w:t>Resolución de la Corte Interamericana de Derechos Humanos</w:t>
      </w:r>
      <w:r>
        <w:rPr>
          <w:iCs/>
          <w:sz w:val="20"/>
        </w:rPr>
        <w:t xml:space="preserve"> </w:t>
      </w:r>
      <w:r w:rsidRPr="004602BB">
        <w:rPr>
          <w:sz w:val="20"/>
          <w:lang w:val="es-ES"/>
        </w:rPr>
        <w:t>de</w:t>
      </w:r>
      <w:r>
        <w:rPr>
          <w:sz w:val="20"/>
          <w:lang w:val="es-ES"/>
        </w:rPr>
        <w:t xml:space="preserve"> 14 de marzo</w:t>
      </w:r>
      <w:r w:rsidRPr="004602BB">
        <w:rPr>
          <w:sz w:val="20"/>
          <w:lang w:val="es-ES"/>
        </w:rPr>
        <w:t xml:space="preserve"> de 202</w:t>
      </w:r>
      <w:r>
        <w:rPr>
          <w:sz w:val="20"/>
          <w:lang w:val="es-ES"/>
        </w:rPr>
        <w:t>4</w:t>
      </w:r>
      <w:r w:rsidRPr="004602BB">
        <w:rPr>
          <w:sz w:val="20"/>
          <w:lang w:val="es-ES"/>
        </w:rPr>
        <w:t>.</w:t>
      </w:r>
      <w:r>
        <w:rPr>
          <w:sz w:val="20"/>
          <w:lang w:val="es-ES"/>
        </w:rPr>
        <w:t xml:space="preserve"> </w:t>
      </w:r>
      <w:r>
        <w:rPr>
          <w:iCs/>
          <w:sz w:val="20"/>
        </w:rPr>
        <w:t>Resolución adoptada en San José de Costa Rica</w:t>
      </w:r>
      <w:r w:rsidRPr="00E262EB">
        <w:rPr>
          <w:iCs/>
          <w:sz w:val="20"/>
        </w:rPr>
        <w:t>.</w:t>
      </w:r>
    </w:p>
    <w:p w14:paraId="0A067B56" w14:textId="77777777" w:rsidR="001A1D37" w:rsidRPr="004602BB" w:rsidRDefault="001A1D37" w:rsidP="001A1D37">
      <w:pPr>
        <w:jc w:val="center"/>
        <w:rPr>
          <w:sz w:val="20"/>
          <w:lang w:val="es-ES"/>
        </w:rPr>
      </w:pPr>
    </w:p>
    <w:p w14:paraId="7E2B61EC" w14:textId="77777777" w:rsidR="001A1D37" w:rsidRPr="004602BB" w:rsidRDefault="001A1D37" w:rsidP="001A1D37">
      <w:pPr>
        <w:jc w:val="center"/>
        <w:rPr>
          <w:sz w:val="20"/>
          <w:lang w:val="es-ES"/>
        </w:rPr>
      </w:pPr>
    </w:p>
    <w:p w14:paraId="6158A3A0" w14:textId="77777777" w:rsidR="001A1D37" w:rsidRDefault="001A1D37" w:rsidP="001A1D37">
      <w:pPr>
        <w:jc w:val="center"/>
        <w:rPr>
          <w:sz w:val="20"/>
        </w:rPr>
      </w:pPr>
      <w:r>
        <w:rPr>
          <w:sz w:val="20"/>
        </w:rPr>
        <w:t>Nancy Hernández López</w:t>
      </w:r>
    </w:p>
    <w:p w14:paraId="208A2BEF" w14:textId="77777777" w:rsidR="001A1D37" w:rsidRPr="007E14D4" w:rsidRDefault="001A1D37" w:rsidP="001A1D37">
      <w:pPr>
        <w:jc w:val="center"/>
        <w:rPr>
          <w:sz w:val="20"/>
          <w:lang w:val="pt-BR"/>
        </w:rPr>
      </w:pPr>
      <w:r w:rsidRPr="007E14D4">
        <w:rPr>
          <w:sz w:val="20"/>
          <w:lang w:val="pt-BR"/>
        </w:rPr>
        <w:t>Presidenta</w:t>
      </w:r>
    </w:p>
    <w:p w14:paraId="6FC43E7F" w14:textId="77777777" w:rsidR="001A1D37" w:rsidRPr="007E14D4" w:rsidRDefault="001A1D37" w:rsidP="001A1D37">
      <w:pPr>
        <w:jc w:val="center"/>
        <w:rPr>
          <w:sz w:val="20"/>
          <w:lang w:val="pt-BR"/>
        </w:rPr>
      </w:pPr>
    </w:p>
    <w:p w14:paraId="2245AD95" w14:textId="77777777" w:rsidR="001A1D37" w:rsidRPr="007E14D4" w:rsidRDefault="001A1D37" w:rsidP="001A1D37">
      <w:pPr>
        <w:rPr>
          <w:sz w:val="20"/>
          <w:lang w:val="pt-BR"/>
        </w:rPr>
      </w:pPr>
    </w:p>
    <w:p w14:paraId="6620E865" w14:textId="5B2C8922" w:rsidR="001A1D37" w:rsidRPr="005B2339" w:rsidRDefault="001A1D37" w:rsidP="001A1D37">
      <w:pPr>
        <w:rPr>
          <w:sz w:val="20"/>
          <w:lang w:val="pt-BR"/>
        </w:rPr>
      </w:pPr>
      <w:r w:rsidRPr="005B2339">
        <w:rPr>
          <w:sz w:val="20"/>
          <w:lang w:val="pt-BR"/>
        </w:rPr>
        <w:t xml:space="preserve">Rodrigo </w:t>
      </w:r>
      <w:proofErr w:type="spellStart"/>
      <w:r w:rsidRPr="005B2339">
        <w:rPr>
          <w:sz w:val="20"/>
          <w:lang w:val="pt-BR"/>
        </w:rPr>
        <w:t>Mudrovitsch</w:t>
      </w:r>
      <w:proofErr w:type="spellEnd"/>
      <w:r w:rsidRPr="005B2339">
        <w:rPr>
          <w:sz w:val="20"/>
          <w:lang w:val="pt-BR"/>
        </w:rPr>
        <w:t xml:space="preserve">                                              </w:t>
      </w:r>
      <w:r>
        <w:rPr>
          <w:sz w:val="20"/>
          <w:lang w:val="pt-BR"/>
        </w:rPr>
        <w:t xml:space="preserve">            Humberto A. </w:t>
      </w:r>
      <w:proofErr w:type="spellStart"/>
      <w:r>
        <w:rPr>
          <w:sz w:val="20"/>
          <w:lang w:val="pt-BR"/>
        </w:rPr>
        <w:t>Sierra</w:t>
      </w:r>
      <w:proofErr w:type="spellEnd"/>
      <w:r w:rsidRPr="005B2339">
        <w:rPr>
          <w:sz w:val="20"/>
          <w:lang w:val="pt-BR"/>
        </w:rPr>
        <w:t xml:space="preserve"> </w:t>
      </w:r>
      <w:r>
        <w:rPr>
          <w:sz w:val="20"/>
          <w:lang w:val="pt-BR"/>
        </w:rPr>
        <w:t>Port</w:t>
      </w:r>
      <w:r w:rsidR="00EA6934">
        <w:rPr>
          <w:sz w:val="20"/>
          <w:lang w:val="pt-BR"/>
        </w:rPr>
        <w:t>o</w:t>
      </w:r>
    </w:p>
    <w:p w14:paraId="7CA2E6C4" w14:textId="77777777" w:rsidR="001A1D37" w:rsidRPr="005B2339" w:rsidRDefault="001A1D37" w:rsidP="001A1D37">
      <w:pPr>
        <w:rPr>
          <w:sz w:val="20"/>
          <w:lang w:val="pt-BR"/>
        </w:rPr>
      </w:pPr>
    </w:p>
    <w:p w14:paraId="107BF773" w14:textId="77777777" w:rsidR="001A1D37" w:rsidRPr="005B2339" w:rsidRDefault="001A1D37" w:rsidP="001A1D37">
      <w:pPr>
        <w:rPr>
          <w:sz w:val="20"/>
          <w:lang w:val="pt-BR"/>
        </w:rPr>
      </w:pPr>
    </w:p>
    <w:p w14:paraId="7ED0AF32" w14:textId="64309036" w:rsidR="001A1D37" w:rsidRPr="006C3A96" w:rsidRDefault="001A1D37" w:rsidP="001A1D37">
      <w:pPr>
        <w:rPr>
          <w:sz w:val="20"/>
          <w:lang w:val="pt-BR"/>
        </w:rPr>
      </w:pPr>
      <w:r>
        <w:rPr>
          <w:sz w:val="20"/>
          <w:lang w:val="pt-BR"/>
        </w:rPr>
        <w:t xml:space="preserve">Eduardo Ferrer </w:t>
      </w:r>
      <w:proofErr w:type="spellStart"/>
      <w:r>
        <w:rPr>
          <w:sz w:val="20"/>
          <w:lang w:val="pt-BR"/>
        </w:rPr>
        <w:t>Mac-Gregor</w:t>
      </w:r>
      <w:proofErr w:type="spellEnd"/>
      <w:r>
        <w:rPr>
          <w:sz w:val="20"/>
          <w:lang w:val="pt-BR"/>
        </w:rPr>
        <w:t xml:space="preserve"> Poisot                                       Ricardo C. Pérez </w:t>
      </w:r>
      <w:proofErr w:type="spellStart"/>
      <w:r>
        <w:rPr>
          <w:sz w:val="20"/>
          <w:lang w:val="pt-BR"/>
        </w:rPr>
        <w:t>Manrique</w:t>
      </w:r>
      <w:proofErr w:type="spellEnd"/>
    </w:p>
    <w:p w14:paraId="26DE08C0" w14:textId="77777777" w:rsidR="001A1D37" w:rsidRPr="006C3A96" w:rsidRDefault="001A1D37" w:rsidP="001A1D37">
      <w:pPr>
        <w:rPr>
          <w:sz w:val="20"/>
          <w:lang w:val="pt-BR"/>
        </w:rPr>
      </w:pPr>
    </w:p>
    <w:p w14:paraId="0922C8AB" w14:textId="77777777" w:rsidR="001A1D37" w:rsidRDefault="001A1D37" w:rsidP="001A1D37">
      <w:pPr>
        <w:rPr>
          <w:sz w:val="20"/>
          <w:lang w:val="pt-BR"/>
        </w:rPr>
      </w:pPr>
    </w:p>
    <w:p w14:paraId="1678EDF6" w14:textId="77777777" w:rsidR="001A1D37" w:rsidRPr="006C3A96" w:rsidRDefault="001A1D37" w:rsidP="001A1D37">
      <w:pPr>
        <w:jc w:val="center"/>
        <w:rPr>
          <w:sz w:val="20"/>
          <w:lang w:val="pt-BR"/>
        </w:rPr>
      </w:pPr>
      <w:proofErr w:type="spellStart"/>
      <w:r>
        <w:rPr>
          <w:sz w:val="20"/>
          <w:lang w:val="pt-BR"/>
        </w:rPr>
        <w:t>Patricia</w:t>
      </w:r>
      <w:proofErr w:type="spellEnd"/>
      <w:r>
        <w:rPr>
          <w:sz w:val="20"/>
          <w:lang w:val="pt-BR"/>
        </w:rPr>
        <w:t xml:space="preserve"> Pérez Goldberg</w:t>
      </w:r>
    </w:p>
    <w:p w14:paraId="384DC5CB" w14:textId="77777777" w:rsidR="001A1D37" w:rsidRDefault="001A1D37" w:rsidP="001A1D37">
      <w:pPr>
        <w:rPr>
          <w:rFonts w:cs="Arial"/>
          <w:color w:val="212529"/>
          <w:sz w:val="20"/>
          <w:lang w:val="pt-BR"/>
        </w:rPr>
      </w:pPr>
    </w:p>
    <w:p w14:paraId="1AA9C4E8" w14:textId="77777777" w:rsidR="001A1D37" w:rsidRDefault="001A1D37" w:rsidP="001A1D37">
      <w:pPr>
        <w:rPr>
          <w:rFonts w:cs="Arial"/>
          <w:color w:val="212529"/>
          <w:sz w:val="20"/>
          <w:lang w:val="pt-BR"/>
        </w:rPr>
      </w:pPr>
    </w:p>
    <w:p w14:paraId="7DF3A8AE" w14:textId="77777777" w:rsidR="001A1D37" w:rsidRDefault="001A1D37" w:rsidP="001A1D37">
      <w:pPr>
        <w:rPr>
          <w:rFonts w:cs="Arial"/>
          <w:color w:val="212529"/>
          <w:sz w:val="20"/>
          <w:lang w:val="pt-BR"/>
        </w:rPr>
      </w:pPr>
    </w:p>
    <w:p w14:paraId="662281D7" w14:textId="77777777" w:rsidR="001A1D37" w:rsidRDefault="001A1D37" w:rsidP="001A1D37">
      <w:pPr>
        <w:jc w:val="center"/>
        <w:rPr>
          <w:sz w:val="20"/>
          <w:lang w:val="pt-BR"/>
        </w:rPr>
      </w:pPr>
      <w:r>
        <w:rPr>
          <w:sz w:val="20"/>
        </w:rPr>
        <w:t>Pablo Saavedra Alessandri</w:t>
      </w:r>
    </w:p>
    <w:p w14:paraId="54DC08A5" w14:textId="77777777" w:rsidR="001A1D37" w:rsidRPr="009D40A6" w:rsidRDefault="001A1D37" w:rsidP="001A1D37">
      <w:pPr>
        <w:jc w:val="center"/>
        <w:rPr>
          <w:sz w:val="20"/>
          <w:lang w:val="pt-BR"/>
        </w:rPr>
      </w:pPr>
      <w:r w:rsidRPr="009D40A6">
        <w:rPr>
          <w:sz w:val="20"/>
          <w:lang w:val="pt-BR"/>
        </w:rPr>
        <w:t>Secretari</w:t>
      </w:r>
      <w:r>
        <w:rPr>
          <w:sz w:val="20"/>
          <w:lang w:val="pt-BR"/>
        </w:rPr>
        <w:t>o</w:t>
      </w:r>
    </w:p>
    <w:p w14:paraId="18447F3B" w14:textId="77777777" w:rsidR="001A1D37" w:rsidRPr="009D40A6" w:rsidRDefault="001A1D37" w:rsidP="001A1D37">
      <w:pPr>
        <w:pStyle w:val="Textonotapie"/>
        <w:rPr>
          <w:lang w:val="pt-BR"/>
        </w:rPr>
      </w:pPr>
    </w:p>
    <w:p w14:paraId="16D1B362" w14:textId="77777777" w:rsidR="001A1D37" w:rsidRPr="009C7839" w:rsidRDefault="001A1D37" w:rsidP="001A1D37">
      <w:pPr>
        <w:jc w:val="both"/>
        <w:rPr>
          <w:sz w:val="20"/>
          <w:lang w:val="pt-BR"/>
        </w:rPr>
      </w:pPr>
      <w:proofErr w:type="spellStart"/>
      <w:r w:rsidRPr="009C7839">
        <w:rPr>
          <w:sz w:val="20"/>
          <w:lang w:val="pt-BR"/>
        </w:rPr>
        <w:t>Comuníquese</w:t>
      </w:r>
      <w:proofErr w:type="spellEnd"/>
      <w:r w:rsidRPr="009C7839">
        <w:rPr>
          <w:sz w:val="20"/>
          <w:lang w:val="pt-BR"/>
        </w:rPr>
        <w:t xml:space="preserve"> y ejecútese,</w:t>
      </w:r>
    </w:p>
    <w:p w14:paraId="05DB6BE1" w14:textId="77777777" w:rsidR="001A1D37" w:rsidRPr="009C7839" w:rsidRDefault="001A1D37" w:rsidP="001A1D37">
      <w:pPr>
        <w:rPr>
          <w:sz w:val="20"/>
          <w:lang w:val="pt-BR"/>
        </w:rPr>
      </w:pPr>
    </w:p>
    <w:p w14:paraId="4BF187F4" w14:textId="77777777" w:rsidR="001A1D37" w:rsidRPr="009C7839" w:rsidRDefault="001A1D37" w:rsidP="001A1D37">
      <w:pPr>
        <w:jc w:val="right"/>
        <w:rPr>
          <w:sz w:val="20"/>
          <w:lang w:val="pt-BR"/>
        </w:rPr>
      </w:pPr>
    </w:p>
    <w:p w14:paraId="0BF972DC" w14:textId="5BEE0072" w:rsidR="001A1D37" w:rsidRPr="009C7839" w:rsidRDefault="001A1D37" w:rsidP="001A1D37">
      <w:pPr>
        <w:jc w:val="center"/>
        <w:rPr>
          <w:sz w:val="20"/>
          <w:lang w:val="pt-BR"/>
        </w:rPr>
      </w:pPr>
      <w:r w:rsidRPr="009C7839">
        <w:rPr>
          <w:sz w:val="20"/>
          <w:lang w:val="pt-BR"/>
        </w:rPr>
        <w:t xml:space="preserve">                                                                                         </w:t>
      </w:r>
      <w:r>
        <w:rPr>
          <w:sz w:val="20"/>
          <w:lang w:val="pt-BR"/>
        </w:rPr>
        <w:t>Nancy Hernández López</w:t>
      </w:r>
    </w:p>
    <w:p w14:paraId="7BB825E1" w14:textId="132A4221" w:rsidR="001A1D37" w:rsidRDefault="001A1D37" w:rsidP="001A1D37">
      <w:pPr>
        <w:ind w:left="5664" w:firstLine="708"/>
        <w:rPr>
          <w:sz w:val="20"/>
          <w:lang w:val="pt-BR"/>
        </w:rPr>
      </w:pPr>
      <w:r>
        <w:rPr>
          <w:sz w:val="20"/>
          <w:lang w:val="pt-BR"/>
        </w:rPr>
        <w:t xml:space="preserve">       </w:t>
      </w:r>
      <w:r w:rsidRPr="009C7839">
        <w:rPr>
          <w:sz w:val="20"/>
          <w:lang w:val="pt-BR"/>
        </w:rPr>
        <w:t xml:space="preserve"> President</w:t>
      </w:r>
      <w:r>
        <w:rPr>
          <w:sz w:val="20"/>
          <w:lang w:val="pt-BR"/>
        </w:rPr>
        <w:t>a</w:t>
      </w:r>
    </w:p>
    <w:p w14:paraId="1AC6A80F" w14:textId="77777777" w:rsidR="001A1D37" w:rsidRPr="009C7839" w:rsidRDefault="001A1D37" w:rsidP="001A1D37">
      <w:pPr>
        <w:ind w:left="6480" w:firstLine="720"/>
        <w:rPr>
          <w:sz w:val="20"/>
          <w:lang w:val="pt-BR"/>
        </w:rPr>
      </w:pPr>
    </w:p>
    <w:p w14:paraId="522A02F1" w14:textId="77777777" w:rsidR="001A1D37" w:rsidRDefault="001A1D37" w:rsidP="001A1D37">
      <w:pPr>
        <w:rPr>
          <w:sz w:val="20"/>
          <w:lang w:val="pt-BR"/>
        </w:rPr>
      </w:pPr>
      <w:r>
        <w:rPr>
          <w:sz w:val="20"/>
        </w:rPr>
        <w:t>Pablo Saavedra Alessandri</w:t>
      </w:r>
    </w:p>
    <w:p w14:paraId="30BFB9EF" w14:textId="77777777" w:rsidR="001A1D37" w:rsidRPr="009D40A6" w:rsidRDefault="001A1D37" w:rsidP="001A1D37">
      <w:pPr>
        <w:rPr>
          <w:sz w:val="20"/>
          <w:lang w:val="pt-BR"/>
        </w:rPr>
      </w:pPr>
      <w:r>
        <w:rPr>
          <w:sz w:val="20"/>
          <w:lang w:val="pt-BR"/>
        </w:rPr>
        <w:t xml:space="preserve">         </w:t>
      </w:r>
      <w:r w:rsidRPr="009D40A6">
        <w:rPr>
          <w:sz w:val="20"/>
          <w:lang w:val="pt-BR"/>
        </w:rPr>
        <w:t>Secretari</w:t>
      </w:r>
      <w:r>
        <w:rPr>
          <w:sz w:val="20"/>
          <w:lang w:val="pt-BR"/>
        </w:rPr>
        <w:t>o</w:t>
      </w:r>
    </w:p>
    <w:sectPr w:rsidR="001A1D37" w:rsidRPr="009D40A6" w:rsidSect="00EA69E7">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43BB7F" w14:textId="77777777" w:rsidR="00EA69E7" w:rsidRDefault="00EA69E7" w:rsidP="00026B50">
      <w:r>
        <w:separator/>
      </w:r>
    </w:p>
  </w:endnote>
  <w:endnote w:type="continuationSeparator" w:id="0">
    <w:p w14:paraId="3FA1A69B" w14:textId="77777777" w:rsidR="00EA69E7" w:rsidRDefault="00EA69E7" w:rsidP="00026B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Serif">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41281681"/>
      <w:docPartObj>
        <w:docPartGallery w:val="Page Numbers (Bottom of Page)"/>
        <w:docPartUnique/>
      </w:docPartObj>
    </w:sdtPr>
    <w:sdtContent>
      <w:p w14:paraId="325CC750" w14:textId="6E7394DA" w:rsidR="000E671C" w:rsidRDefault="000E671C" w:rsidP="007F0004">
        <w:pPr>
          <w:pStyle w:val="Piedepgina"/>
          <w:jc w:val="center"/>
        </w:pPr>
        <w:r>
          <w:t>-</w:t>
        </w:r>
        <w:r>
          <w:fldChar w:fldCharType="begin"/>
        </w:r>
        <w:r>
          <w:instrText>PAGE   \* MERGEFORMAT</w:instrText>
        </w:r>
        <w:r>
          <w:fldChar w:fldCharType="separate"/>
        </w:r>
        <w:r w:rsidR="002C2498" w:rsidRPr="002C2498">
          <w:rPr>
            <w:noProof/>
            <w:lang w:val="es-ES"/>
          </w:rPr>
          <w:t>12</w:t>
        </w:r>
        <w:r>
          <w:fldChar w:fldCharType="end"/>
        </w:r>
        <w:r>
          <w:t xml:space="preserve">- </w:t>
        </w:r>
      </w:p>
    </w:sdtContent>
  </w:sdt>
  <w:p w14:paraId="2C571444" w14:textId="77777777" w:rsidR="000E671C" w:rsidRDefault="000E671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CFA672" w14:textId="77777777" w:rsidR="00EA69E7" w:rsidRDefault="00EA69E7" w:rsidP="00026B50">
      <w:r>
        <w:separator/>
      </w:r>
    </w:p>
  </w:footnote>
  <w:footnote w:type="continuationSeparator" w:id="0">
    <w:p w14:paraId="3DAEF351" w14:textId="77777777" w:rsidR="00EA69E7" w:rsidRDefault="00EA69E7" w:rsidP="00026B50">
      <w:r>
        <w:continuationSeparator/>
      </w:r>
    </w:p>
  </w:footnote>
  <w:footnote w:id="1">
    <w:p w14:paraId="6A6AC7CA" w14:textId="74D681E5" w:rsidR="00C35EBF" w:rsidRPr="00D20B06" w:rsidRDefault="00C35EBF" w:rsidP="00C35EBF">
      <w:pPr>
        <w:pStyle w:val="Textonotapie"/>
        <w:tabs>
          <w:tab w:val="left" w:pos="567"/>
        </w:tabs>
        <w:contextualSpacing/>
        <w:jc w:val="both"/>
        <w:rPr>
          <w:sz w:val="16"/>
          <w:szCs w:val="16"/>
        </w:rPr>
      </w:pPr>
      <w:r w:rsidRPr="00D20B06">
        <w:rPr>
          <w:sz w:val="16"/>
          <w:szCs w:val="16"/>
          <w:vertAlign w:val="superscript"/>
        </w:rPr>
        <w:t>*</w:t>
      </w:r>
      <w:r w:rsidRPr="00D20B06">
        <w:rPr>
          <w:sz w:val="16"/>
          <w:szCs w:val="16"/>
        </w:rPr>
        <w:tab/>
      </w:r>
      <w:r w:rsidR="009278E6" w:rsidRPr="00D20B06">
        <w:rPr>
          <w:sz w:val="16"/>
          <w:szCs w:val="16"/>
        </w:rPr>
        <w:t>La Jueza Verónica Gómez, de nacionalidad argentina, no participó en la deliberación de la presente Resolución, de conformidad con lo dispuesto en el artículo 19.1 del Reglamento de la Corte.</w:t>
      </w:r>
    </w:p>
    <w:p w14:paraId="1D7F7563" w14:textId="7F081603" w:rsidR="00C35EBF" w:rsidRPr="00641B7D" w:rsidRDefault="00C35EBF" w:rsidP="00C35EBF">
      <w:pPr>
        <w:pStyle w:val="Textonotapie"/>
        <w:tabs>
          <w:tab w:val="left" w:pos="567"/>
        </w:tabs>
        <w:contextualSpacing/>
        <w:jc w:val="both"/>
        <w:rPr>
          <w:sz w:val="16"/>
          <w:szCs w:val="16"/>
        </w:rPr>
      </w:pPr>
      <w:r w:rsidRPr="00641B7D">
        <w:rPr>
          <w:rStyle w:val="Refdenotaalpie"/>
          <w:sz w:val="16"/>
          <w:szCs w:val="16"/>
        </w:rPr>
        <w:footnoteRef/>
      </w:r>
      <w:r w:rsidRPr="00641B7D">
        <w:rPr>
          <w:sz w:val="16"/>
          <w:szCs w:val="16"/>
        </w:rPr>
        <w:t xml:space="preserve"> </w:t>
      </w:r>
      <w:r w:rsidRPr="00641B7D">
        <w:rPr>
          <w:sz w:val="16"/>
          <w:szCs w:val="16"/>
        </w:rPr>
        <w:tab/>
      </w:r>
      <w:r w:rsidR="00EA5CB7" w:rsidRPr="00641B7D">
        <w:rPr>
          <w:i/>
          <w:iCs/>
          <w:sz w:val="16"/>
          <w:szCs w:val="16"/>
        </w:rPr>
        <w:t xml:space="preserve">Cfr. </w:t>
      </w:r>
      <w:r w:rsidR="00641B7D" w:rsidRPr="00641B7D">
        <w:rPr>
          <w:i/>
          <w:iCs/>
          <w:sz w:val="16"/>
          <w:szCs w:val="16"/>
        </w:rPr>
        <w:t xml:space="preserve">Caso Almeida Vs. Argentina. Fondo, Reparaciones y Costas. </w:t>
      </w:r>
      <w:r w:rsidR="00641B7D" w:rsidRPr="00641B7D">
        <w:rPr>
          <w:sz w:val="16"/>
          <w:szCs w:val="16"/>
        </w:rPr>
        <w:t>Sentencia de 17 de noviembre de 2020. Serie C No. 416</w:t>
      </w:r>
      <w:r w:rsidR="00EA5CB7" w:rsidRPr="00641B7D">
        <w:rPr>
          <w:sz w:val="16"/>
          <w:szCs w:val="16"/>
        </w:rPr>
        <w:t xml:space="preserve">. Disponible en: </w:t>
      </w:r>
      <w:hyperlink r:id="rId1" w:history="1">
        <w:r w:rsidR="00641B7D" w:rsidRPr="00641B7D">
          <w:rPr>
            <w:rStyle w:val="Hipervnculo"/>
            <w:sz w:val="16"/>
            <w:szCs w:val="16"/>
          </w:rPr>
          <w:t>https://www.corteidh.or.cr/docs/casos/articulos/seriec_416_esp.pdf</w:t>
        </w:r>
      </w:hyperlink>
      <w:r w:rsidR="00641B7D" w:rsidRPr="00641B7D">
        <w:rPr>
          <w:sz w:val="16"/>
          <w:szCs w:val="16"/>
        </w:rPr>
        <w:t xml:space="preserve">. </w:t>
      </w:r>
      <w:r w:rsidR="00EA5CB7" w:rsidRPr="00641B7D">
        <w:rPr>
          <w:sz w:val="16"/>
          <w:szCs w:val="16"/>
        </w:rPr>
        <w:t>La Sentencia fue notificada el 1</w:t>
      </w:r>
      <w:r w:rsidR="00641B7D">
        <w:rPr>
          <w:sz w:val="16"/>
          <w:szCs w:val="16"/>
        </w:rPr>
        <w:t>7</w:t>
      </w:r>
      <w:r w:rsidR="00EA5CB7" w:rsidRPr="00641B7D">
        <w:rPr>
          <w:sz w:val="16"/>
          <w:szCs w:val="16"/>
        </w:rPr>
        <w:t xml:space="preserve"> de </w:t>
      </w:r>
      <w:r w:rsidR="00641B7D">
        <w:rPr>
          <w:sz w:val="16"/>
          <w:szCs w:val="16"/>
        </w:rPr>
        <w:t>diciembre</w:t>
      </w:r>
      <w:r w:rsidR="00EA5CB7" w:rsidRPr="00641B7D">
        <w:rPr>
          <w:sz w:val="16"/>
          <w:szCs w:val="16"/>
        </w:rPr>
        <w:t xml:space="preserve"> de 202</w:t>
      </w:r>
      <w:r w:rsidR="00641B7D">
        <w:rPr>
          <w:sz w:val="16"/>
          <w:szCs w:val="16"/>
        </w:rPr>
        <w:t>0</w:t>
      </w:r>
      <w:r w:rsidR="00EA5CB7" w:rsidRPr="00641B7D">
        <w:rPr>
          <w:sz w:val="16"/>
          <w:szCs w:val="16"/>
        </w:rPr>
        <w:t>.</w:t>
      </w:r>
    </w:p>
  </w:footnote>
  <w:footnote w:id="2">
    <w:p w14:paraId="4A99EBC6" w14:textId="5F8FCBAF" w:rsidR="006E7B99" w:rsidRPr="00D20B06" w:rsidRDefault="006E7B99" w:rsidP="006E7B99">
      <w:pPr>
        <w:pStyle w:val="Textonotapie"/>
        <w:tabs>
          <w:tab w:val="left" w:pos="567"/>
        </w:tabs>
        <w:contextualSpacing/>
        <w:jc w:val="both"/>
        <w:rPr>
          <w:sz w:val="16"/>
          <w:szCs w:val="16"/>
        </w:rPr>
      </w:pPr>
      <w:r w:rsidRPr="00D20B06">
        <w:rPr>
          <w:rStyle w:val="Refdenotaalpie"/>
          <w:sz w:val="16"/>
          <w:szCs w:val="16"/>
        </w:rPr>
        <w:footnoteRef/>
      </w:r>
      <w:r w:rsidRPr="00D20B06">
        <w:rPr>
          <w:sz w:val="16"/>
          <w:szCs w:val="16"/>
        </w:rPr>
        <w:t xml:space="preserve"> </w:t>
      </w:r>
      <w:r w:rsidRPr="00D20B06">
        <w:rPr>
          <w:sz w:val="16"/>
          <w:szCs w:val="16"/>
        </w:rPr>
        <w:tab/>
      </w:r>
      <w:r w:rsidRPr="00EA5CB7">
        <w:rPr>
          <w:sz w:val="16"/>
          <w:szCs w:val="16"/>
        </w:rPr>
        <w:t>La</w:t>
      </w:r>
      <w:r w:rsidR="00641B7D">
        <w:rPr>
          <w:sz w:val="16"/>
          <w:szCs w:val="16"/>
        </w:rPr>
        <w:t xml:space="preserve"> señora Myriam </w:t>
      </w:r>
      <w:proofErr w:type="spellStart"/>
      <w:r w:rsidR="00641B7D">
        <w:rPr>
          <w:sz w:val="16"/>
          <w:szCs w:val="16"/>
        </w:rPr>
        <w:t>Carsen</w:t>
      </w:r>
      <w:proofErr w:type="spellEnd"/>
      <w:r w:rsidR="00641B7D">
        <w:rPr>
          <w:sz w:val="16"/>
          <w:szCs w:val="16"/>
        </w:rPr>
        <w:t>.</w:t>
      </w:r>
    </w:p>
  </w:footnote>
  <w:footnote w:id="3">
    <w:p w14:paraId="659F21B2" w14:textId="7FB8CD57" w:rsidR="00255F18" w:rsidRPr="00D20B06" w:rsidRDefault="00255F18" w:rsidP="00255F18">
      <w:pPr>
        <w:pStyle w:val="Textonotapie"/>
        <w:tabs>
          <w:tab w:val="left" w:pos="567"/>
        </w:tabs>
        <w:contextualSpacing/>
        <w:jc w:val="both"/>
        <w:rPr>
          <w:sz w:val="16"/>
          <w:szCs w:val="16"/>
        </w:rPr>
      </w:pPr>
      <w:r w:rsidRPr="00D20B06">
        <w:rPr>
          <w:rStyle w:val="Refdenotaalpie"/>
          <w:sz w:val="16"/>
          <w:szCs w:val="16"/>
        </w:rPr>
        <w:footnoteRef/>
      </w:r>
      <w:r w:rsidRPr="00D20B06">
        <w:rPr>
          <w:sz w:val="16"/>
          <w:szCs w:val="16"/>
        </w:rPr>
        <w:t xml:space="preserve"> </w:t>
      </w:r>
      <w:r w:rsidRPr="00D20B06">
        <w:rPr>
          <w:sz w:val="16"/>
          <w:szCs w:val="16"/>
        </w:rPr>
        <w:tab/>
        <w:t>Facultad que se desprende de lo dispuesto en los artículos 33, 62.1, 62.3 y 65 de la Convención Americana sobre Derechos Humanos y 30 de su Estatuto y se encuentra regulada en el artículo 69 de su Reglamento.</w:t>
      </w:r>
    </w:p>
  </w:footnote>
  <w:footnote w:id="4">
    <w:p w14:paraId="6F9EABEF" w14:textId="3C21DD2A" w:rsidR="009B185C" w:rsidRPr="009B185C" w:rsidRDefault="009B185C" w:rsidP="009B185C">
      <w:pPr>
        <w:pStyle w:val="Textoindependiente"/>
        <w:tabs>
          <w:tab w:val="left" w:pos="851"/>
        </w:tabs>
        <w:jc w:val="both"/>
        <w:rPr>
          <w:sz w:val="16"/>
          <w:szCs w:val="16"/>
        </w:rPr>
      </w:pPr>
      <w:r w:rsidRPr="009B185C">
        <w:rPr>
          <w:rStyle w:val="Refdenotaalpie"/>
          <w:sz w:val="16"/>
          <w:szCs w:val="16"/>
        </w:rPr>
        <w:footnoteRef/>
      </w:r>
      <w:r w:rsidRPr="009B185C">
        <w:rPr>
          <w:sz w:val="16"/>
          <w:szCs w:val="16"/>
        </w:rPr>
        <w:t xml:space="preserve"> </w:t>
      </w:r>
      <w:r w:rsidRPr="009B185C">
        <w:rPr>
          <w:sz w:val="16"/>
          <w:szCs w:val="16"/>
        </w:rPr>
        <w:tab/>
        <w:t>Entre otras disposiciones, la Corte indicó que “[e]l Estado debe cumplir sus obligaciones monetarias mediante el pago en dólares de los Estados Unidos de América o, de no ser esto posible, en su equivalente en moneda argentina, utilizando para el cálculo respectivo la tasa más alta y más beneficiosa para las personas beneficiarias que permita su ordenamiento interno, vigente al momento del pago” y que  “[d]</w:t>
      </w:r>
      <w:proofErr w:type="spellStart"/>
      <w:r w:rsidRPr="009B185C">
        <w:rPr>
          <w:sz w:val="16"/>
          <w:szCs w:val="16"/>
        </w:rPr>
        <w:t>urante</w:t>
      </w:r>
      <w:proofErr w:type="spellEnd"/>
      <w:r w:rsidRPr="009B185C">
        <w:rPr>
          <w:sz w:val="16"/>
          <w:szCs w:val="16"/>
        </w:rPr>
        <w:t xml:space="preserve"> la etapa de supervisión de cumplimento de la sentencia, la Corte podrá reajustar prudentemente el equivalente de estas cifras en moneda argentina, con el objeto de evitar que las variaciones cambiarias afecten sustancialmente el valor adquisitivo de esos montos”. Adicionalmente, dispuso que “[e]n caso de que el Estado incurriera en mora, deberá pagar un interés sobre la cantidad adeudada correspondiente al interés bancario moratorio en la República Argentina”.</w:t>
      </w:r>
    </w:p>
  </w:footnote>
  <w:footnote w:id="5">
    <w:p w14:paraId="6C24070B" w14:textId="31E3896A" w:rsidR="004E6078" w:rsidRPr="009B185C" w:rsidRDefault="004E6078" w:rsidP="009B185C">
      <w:pPr>
        <w:pStyle w:val="Textonotapie"/>
        <w:jc w:val="both"/>
        <w:rPr>
          <w:sz w:val="16"/>
          <w:szCs w:val="16"/>
          <w:lang w:val="es-ES"/>
        </w:rPr>
      </w:pPr>
      <w:r w:rsidRPr="009B185C">
        <w:rPr>
          <w:rStyle w:val="Refdenotaalpie"/>
          <w:sz w:val="16"/>
          <w:szCs w:val="16"/>
        </w:rPr>
        <w:footnoteRef/>
      </w:r>
      <w:r w:rsidRPr="009B185C">
        <w:rPr>
          <w:sz w:val="16"/>
          <w:szCs w:val="16"/>
        </w:rPr>
        <w:t xml:space="preserve"> </w:t>
      </w:r>
      <w:r w:rsidRPr="009B185C">
        <w:rPr>
          <w:sz w:val="16"/>
          <w:szCs w:val="16"/>
          <w:lang w:val="es-ES"/>
        </w:rPr>
        <w:tab/>
      </w:r>
      <w:r w:rsidRPr="009B185C">
        <w:rPr>
          <w:i/>
          <w:iCs/>
          <w:sz w:val="16"/>
          <w:szCs w:val="16"/>
          <w:lang w:val="es-ES"/>
        </w:rPr>
        <w:t>Cfr</w:t>
      </w:r>
      <w:r w:rsidR="0004203C" w:rsidRPr="009B185C">
        <w:rPr>
          <w:i/>
          <w:iCs/>
          <w:sz w:val="16"/>
          <w:szCs w:val="16"/>
          <w:lang w:val="es-ES"/>
        </w:rPr>
        <w:t>.</w:t>
      </w:r>
      <w:r w:rsidRPr="009B185C">
        <w:rPr>
          <w:sz w:val="16"/>
          <w:szCs w:val="16"/>
          <w:lang w:val="es-ES"/>
        </w:rPr>
        <w:t xml:space="preserve"> Informes estatales de 21 de junio y 18 de julio de 2022. </w:t>
      </w:r>
    </w:p>
  </w:footnote>
  <w:footnote w:id="6">
    <w:p w14:paraId="33A79F30" w14:textId="1A11DC69" w:rsidR="004E6078" w:rsidRPr="00B1322E" w:rsidRDefault="004E6078" w:rsidP="009B185C">
      <w:pPr>
        <w:pStyle w:val="Textonotapie"/>
        <w:jc w:val="both"/>
        <w:rPr>
          <w:sz w:val="16"/>
          <w:szCs w:val="16"/>
          <w:lang w:val="es-ES"/>
        </w:rPr>
      </w:pPr>
      <w:r w:rsidRPr="009B185C">
        <w:rPr>
          <w:rStyle w:val="Refdenotaalpie"/>
          <w:sz w:val="16"/>
          <w:szCs w:val="16"/>
        </w:rPr>
        <w:footnoteRef/>
      </w:r>
      <w:r w:rsidRPr="009B185C">
        <w:rPr>
          <w:sz w:val="16"/>
          <w:szCs w:val="16"/>
        </w:rPr>
        <w:t xml:space="preserve"> </w:t>
      </w:r>
      <w:r w:rsidRPr="009B185C">
        <w:rPr>
          <w:sz w:val="16"/>
          <w:szCs w:val="16"/>
          <w:lang w:val="es-ES"/>
        </w:rPr>
        <w:tab/>
      </w:r>
      <w:r w:rsidRPr="009B185C">
        <w:rPr>
          <w:rFonts w:cs="LiberationSerif"/>
          <w:i/>
          <w:iCs/>
          <w:sz w:val="16"/>
          <w:szCs w:val="16"/>
        </w:rPr>
        <w:t>Cfr</w:t>
      </w:r>
      <w:r w:rsidRPr="009B185C">
        <w:rPr>
          <w:rFonts w:cs="LiberationSerif"/>
          <w:sz w:val="16"/>
          <w:szCs w:val="16"/>
        </w:rPr>
        <w:t>. Escrito de observaciones</w:t>
      </w:r>
      <w:r w:rsidRPr="00B1322E">
        <w:rPr>
          <w:rFonts w:cs="LiberationSerif"/>
          <w:sz w:val="16"/>
          <w:szCs w:val="16"/>
        </w:rPr>
        <w:t xml:space="preserve"> de la representante de 31 de enero, 5 de abril y 25 de octubre de 2023.</w:t>
      </w:r>
    </w:p>
  </w:footnote>
  <w:footnote w:id="7">
    <w:p w14:paraId="173F415E" w14:textId="6D904333" w:rsidR="00594C20" w:rsidRPr="00BC3D54" w:rsidRDefault="00594C20" w:rsidP="00594C20">
      <w:pPr>
        <w:pStyle w:val="Textonotapie"/>
        <w:jc w:val="both"/>
        <w:rPr>
          <w:sz w:val="16"/>
          <w:szCs w:val="16"/>
        </w:rPr>
      </w:pPr>
      <w:r w:rsidRPr="00BC3D54">
        <w:rPr>
          <w:rStyle w:val="Refdenotaalpie"/>
          <w:sz w:val="16"/>
          <w:szCs w:val="16"/>
        </w:rPr>
        <w:footnoteRef/>
      </w:r>
      <w:r w:rsidRPr="00BC3D54">
        <w:rPr>
          <w:sz w:val="16"/>
          <w:szCs w:val="16"/>
        </w:rPr>
        <w:t xml:space="preserve"> </w:t>
      </w:r>
      <w:r w:rsidRPr="00BC3D54">
        <w:rPr>
          <w:sz w:val="16"/>
          <w:szCs w:val="16"/>
        </w:rPr>
        <w:tab/>
      </w:r>
      <w:r>
        <w:rPr>
          <w:sz w:val="16"/>
          <w:szCs w:val="16"/>
        </w:rPr>
        <w:t xml:space="preserve">El </w:t>
      </w:r>
      <w:r w:rsidRPr="009B185C">
        <w:rPr>
          <w:i/>
          <w:iCs/>
          <w:sz w:val="16"/>
          <w:szCs w:val="16"/>
        </w:rPr>
        <w:t>Estado</w:t>
      </w:r>
      <w:r>
        <w:rPr>
          <w:sz w:val="16"/>
          <w:szCs w:val="16"/>
        </w:rPr>
        <w:t xml:space="preserve"> a</w:t>
      </w:r>
      <w:r w:rsidRPr="00BC3D54">
        <w:rPr>
          <w:sz w:val="16"/>
          <w:szCs w:val="16"/>
        </w:rPr>
        <w:t xml:space="preserve">portó copia del Decreto que ordenó los pagos de las indemnizaciones y el reintegro de costas y gastos. </w:t>
      </w:r>
      <w:r w:rsidRPr="00BC3D54">
        <w:rPr>
          <w:i/>
          <w:iCs/>
          <w:sz w:val="16"/>
          <w:szCs w:val="16"/>
        </w:rPr>
        <w:t>Cfr</w:t>
      </w:r>
      <w:r w:rsidRPr="00BC3D54">
        <w:rPr>
          <w:sz w:val="16"/>
          <w:szCs w:val="16"/>
        </w:rPr>
        <w:t xml:space="preserve">. Decreto No. 864 de 20 de diciembre de 2021 (anexo al informe estatal de 28 de diciembre de 2021). </w:t>
      </w:r>
    </w:p>
  </w:footnote>
  <w:footnote w:id="8">
    <w:p w14:paraId="748BDF23" w14:textId="526EF656" w:rsidR="00DE1086" w:rsidRPr="004C6A8A" w:rsidRDefault="00DE1086" w:rsidP="00DE1086">
      <w:pPr>
        <w:pStyle w:val="Textonotapie"/>
        <w:jc w:val="both"/>
        <w:rPr>
          <w:sz w:val="16"/>
          <w:szCs w:val="16"/>
          <w:lang w:val="es-ES"/>
        </w:rPr>
      </w:pPr>
      <w:r w:rsidRPr="004C6A8A">
        <w:rPr>
          <w:rStyle w:val="Refdenotaalpie"/>
          <w:sz w:val="16"/>
          <w:szCs w:val="16"/>
        </w:rPr>
        <w:footnoteRef/>
      </w:r>
      <w:r w:rsidRPr="004C6A8A">
        <w:rPr>
          <w:sz w:val="16"/>
          <w:szCs w:val="16"/>
        </w:rPr>
        <w:t xml:space="preserve"> </w:t>
      </w:r>
      <w:r w:rsidRPr="004C6A8A">
        <w:rPr>
          <w:sz w:val="16"/>
          <w:szCs w:val="16"/>
          <w:lang w:val="es-ES"/>
        </w:rPr>
        <w:tab/>
      </w:r>
      <w:r>
        <w:rPr>
          <w:sz w:val="16"/>
          <w:szCs w:val="16"/>
          <w:lang w:val="es-ES"/>
        </w:rPr>
        <w:t xml:space="preserve">Mediante nota de la Secretaría de la Corte de 22 de julio de 2022, se solicitó al Estado, siguiendo instrucciones del </w:t>
      </w:r>
      <w:proofErr w:type="gramStart"/>
      <w:r>
        <w:rPr>
          <w:sz w:val="16"/>
          <w:szCs w:val="16"/>
          <w:lang w:val="es-ES"/>
        </w:rPr>
        <w:t>Presidente</w:t>
      </w:r>
      <w:proofErr w:type="gramEnd"/>
      <w:r>
        <w:rPr>
          <w:sz w:val="16"/>
          <w:szCs w:val="16"/>
          <w:lang w:val="es-ES"/>
        </w:rPr>
        <w:t xml:space="preserve"> del Tribunal, que se refiriera a lo planteado por la representante en cuanto al cumplimiento de estas medidas. </w:t>
      </w:r>
    </w:p>
  </w:footnote>
  <w:footnote w:id="9">
    <w:p w14:paraId="1CA025A3" w14:textId="7DA82E47" w:rsidR="00CB2FA1" w:rsidRPr="00150E08" w:rsidRDefault="00CB2FA1" w:rsidP="00CB2FA1">
      <w:pPr>
        <w:pStyle w:val="Textonotapie"/>
        <w:rPr>
          <w:sz w:val="16"/>
          <w:szCs w:val="16"/>
          <w:lang w:val="es-ES"/>
        </w:rPr>
      </w:pPr>
      <w:r w:rsidRPr="00150E08">
        <w:rPr>
          <w:rStyle w:val="Refdenotaalpie"/>
          <w:sz w:val="16"/>
          <w:szCs w:val="16"/>
        </w:rPr>
        <w:footnoteRef/>
      </w:r>
      <w:r w:rsidRPr="00150E08">
        <w:rPr>
          <w:sz w:val="16"/>
          <w:szCs w:val="16"/>
        </w:rPr>
        <w:t xml:space="preserve"> </w:t>
      </w:r>
      <w:r w:rsidRPr="00150E08">
        <w:rPr>
          <w:sz w:val="16"/>
          <w:szCs w:val="16"/>
          <w:lang w:val="es-ES"/>
        </w:rPr>
        <w:tab/>
      </w:r>
      <w:r w:rsidR="00391862">
        <w:rPr>
          <w:sz w:val="16"/>
          <w:szCs w:val="16"/>
          <w:lang w:val="es-ES"/>
        </w:rPr>
        <w:t xml:space="preserve">El </w:t>
      </w:r>
      <w:r w:rsidR="00391862" w:rsidRPr="00231BBF">
        <w:rPr>
          <w:i/>
          <w:iCs/>
          <w:sz w:val="16"/>
          <w:szCs w:val="16"/>
          <w:lang w:val="es-ES"/>
        </w:rPr>
        <w:t>Estado</w:t>
      </w:r>
      <w:r w:rsidR="00391862">
        <w:rPr>
          <w:sz w:val="16"/>
          <w:szCs w:val="16"/>
          <w:lang w:val="es-ES"/>
        </w:rPr>
        <w:t xml:space="preserve"> indicó la dirección electrónica en el sitio </w:t>
      </w:r>
      <w:r w:rsidR="00391862" w:rsidRPr="0004203C">
        <w:rPr>
          <w:i/>
          <w:iCs/>
          <w:sz w:val="16"/>
          <w:szCs w:val="16"/>
          <w:lang w:val="es-ES"/>
        </w:rPr>
        <w:t>web</w:t>
      </w:r>
      <w:r w:rsidR="00391862">
        <w:rPr>
          <w:sz w:val="16"/>
          <w:szCs w:val="16"/>
          <w:lang w:val="es-ES"/>
        </w:rPr>
        <w:t xml:space="preserve"> del Banco Central de la República Argentina en el cual se pueden consultar por fecha las cotizaciones entre el dólar estadounidense y el peso argentino. </w:t>
      </w:r>
      <w:r w:rsidRPr="00150E08">
        <w:rPr>
          <w:i/>
          <w:iCs/>
          <w:sz w:val="16"/>
          <w:szCs w:val="16"/>
          <w:lang w:val="es-ES"/>
        </w:rPr>
        <w:t>Cfr</w:t>
      </w:r>
      <w:r w:rsidRPr="00150E08">
        <w:rPr>
          <w:sz w:val="16"/>
          <w:szCs w:val="16"/>
          <w:lang w:val="es-ES"/>
        </w:rPr>
        <w:t>. Informe</w:t>
      </w:r>
      <w:r>
        <w:rPr>
          <w:sz w:val="16"/>
          <w:szCs w:val="16"/>
          <w:lang w:val="es-ES"/>
        </w:rPr>
        <w:t>s</w:t>
      </w:r>
      <w:r w:rsidRPr="00150E08">
        <w:rPr>
          <w:sz w:val="16"/>
          <w:szCs w:val="16"/>
          <w:lang w:val="es-ES"/>
        </w:rPr>
        <w:t xml:space="preserve"> estatal</w:t>
      </w:r>
      <w:r>
        <w:rPr>
          <w:sz w:val="16"/>
          <w:szCs w:val="16"/>
          <w:lang w:val="es-ES"/>
        </w:rPr>
        <w:t>es</w:t>
      </w:r>
      <w:r w:rsidRPr="00150E08">
        <w:rPr>
          <w:sz w:val="16"/>
          <w:szCs w:val="16"/>
          <w:lang w:val="es-ES"/>
        </w:rPr>
        <w:t xml:space="preserve"> de 18 de noviembre de 2022</w:t>
      </w:r>
      <w:r>
        <w:rPr>
          <w:sz w:val="16"/>
          <w:szCs w:val="16"/>
          <w:lang w:val="es-ES"/>
        </w:rPr>
        <w:t xml:space="preserve"> y 8 de marzo de 2023</w:t>
      </w:r>
      <w:r w:rsidRPr="00150E08">
        <w:rPr>
          <w:sz w:val="16"/>
          <w:szCs w:val="16"/>
          <w:lang w:val="es-ES"/>
        </w:rPr>
        <w:t>.</w:t>
      </w:r>
    </w:p>
  </w:footnote>
  <w:footnote w:id="10">
    <w:p w14:paraId="7BA414CF" w14:textId="6CF30857" w:rsidR="004B71A9" w:rsidRPr="00127B2D" w:rsidRDefault="004B71A9" w:rsidP="002E0A8D">
      <w:pPr>
        <w:pStyle w:val="Textonotapie"/>
        <w:jc w:val="both"/>
        <w:rPr>
          <w:sz w:val="16"/>
          <w:szCs w:val="16"/>
        </w:rPr>
      </w:pPr>
      <w:r w:rsidRPr="00127B2D">
        <w:rPr>
          <w:rStyle w:val="Refdenotaalpie"/>
          <w:sz w:val="16"/>
          <w:szCs w:val="16"/>
        </w:rPr>
        <w:footnoteRef/>
      </w:r>
      <w:r w:rsidRPr="00127B2D">
        <w:rPr>
          <w:sz w:val="16"/>
          <w:szCs w:val="16"/>
        </w:rPr>
        <w:t xml:space="preserve"> </w:t>
      </w:r>
      <w:r w:rsidR="002E0A8D" w:rsidRPr="00127B2D">
        <w:rPr>
          <w:sz w:val="16"/>
          <w:szCs w:val="16"/>
        </w:rPr>
        <w:tab/>
        <w:t>Indicó que “por una mora por parte del Estado de cuatro meses” se pagó a la víctima “un interés moratorio de US$28.368,60” y a la representante “US$3.782,48”.</w:t>
      </w:r>
    </w:p>
  </w:footnote>
  <w:footnote w:id="11">
    <w:p w14:paraId="5F2F1ED5" w14:textId="209108A6" w:rsidR="00DE1086" w:rsidRPr="00127B2D" w:rsidRDefault="00DE1086" w:rsidP="00DE1086">
      <w:pPr>
        <w:pStyle w:val="Textonotapie"/>
        <w:jc w:val="both"/>
        <w:rPr>
          <w:sz w:val="16"/>
          <w:szCs w:val="16"/>
          <w:lang w:val="es-ES"/>
        </w:rPr>
      </w:pPr>
      <w:r w:rsidRPr="00127B2D">
        <w:rPr>
          <w:rStyle w:val="Refdenotaalpie"/>
          <w:sz w:val="16"/>
          <w:szCs w:val="16"/>
        </w:rPr>
        <w:footnoteRef/>
      </w:r>
      <w:r w:rsidRPr="00127B2D">
        <w:rPr>
          <w:sz w:val="16"/>
          <w:szCs w:val="16"/>
        </w:rPr>
        <w:t xml:space="preserve"> </w:t>
      </w:r>
      <w:r w:rsidRPr="00127B2D">
        <w:rPr>
          <w:sz w:val="16"/>
          <w:szCs w:val="16"/>
          <w:lang w:val="es-ES"/>
        </w:rPr>
        <w:tab/>
        <w:t>Agregó que “oportunamente” solicitó “a la representación estatal […] la adición del pago del IVA recibiendo como respuesta que no existen precedentes en que la […] Corte haya ordenado adicionar el IVA”. Por ello, la representante requirió a la Corte “aclarar si la interpretación de [su] parte acerca de que debe [adicionarse el] IVA es la correcta […] o si le asiste razón al Estado en su interpretación y el pago se encontraría cancelado”.</w:t>
      </w:r>
      <w:r w:rsidRPr="00127B2D">
        <w:rPr>
          <w:b/>
          <w:bCs/>
          <w:sz w:val="16"/>
          <w:szCs w:val="16"/>
          <w:lang w:val="es-ES"/>
        </w:rPr>
        <w:t xml:space="preserve"> </w:t>
      </w:r>
      <w:r w:rsidRPr="00127B2D">
        <w:rPr>
          <w:i/>
          <w:iCs/>
          <w:sz w:val="16"/>
          <w:szCs w:val="16"/>
          <w:lang w:val="es-ES"/>
        </w:rPr>
        <w:t>Cfr.</w:t>
      </w:r>
      <w:r w:rsidRPr="00127B2D">
        <w:rPr>
          <w:sz w:val="16"/>
          <w:szCs w:val="16"/>
          <w:lang w:val="es-ES"/>
        </w:rPr>
        <w:t xml:space="preserve"> Escrito de observaciones de la representante de 24 de junio de 2022.</w:t>
      </w:r>
    </w:p>
  </w:footnote>
  <w:footnote w:id="12">
    <w:p w14:paraId="21F1749E" w14:textId="77059B66" w:rsidR="0054420C" w:rsidRPr="00127B2D" w:rsidRDefault="0054420C" w:rsidP="00E13558">
      <w:pPr>
        <w:pStyle w:val="Textonotapie"/>
        <w:jc w:val="both"/>
        <w:rPr>
          <w:sz w:val="16"/>
          <w:szCs w:val="16"/>
          <w:lang w:val="es-ES"/>
        </w:rPr>
      </w:pPr>
      <w:r w:rsidRPr="00127B2D">
        <w:rPr>
          <w:rStyle w:val="Refdenotaalpie"/>
          <w:sz w:val="16"/>
          <w:szCs w:val="16"/>
        </w:rPr>
        <w:footnoteRef/>
      </w:r>
      <w:r w:rsidRPr="00127B2D">
        <w:rPr>
          <w:sz w:val="16"/>
          <w:szCs w:val="16"/>
        </w:rPr>
        <w:t xml:space="preserve"> </w:t>
      </w:r>
      <w:r w:rsidRPr="00127B2D">
        <w:rPr>
          <w:sz w:val="16"/>
          <w:szCs w:val="16"/>
          <w:lang w:val="es-ES"/>
        </w:rPr>
        <w:tab/>
      </w:r>
      <w:r w:rsidRPr="00127B2D">
        <w:rPr>
          <w:i/>
          <w:iCs/>
          <w:sz w:val="16"/>
          <w:szCs w:val="16"/>
          <w:lang w:val="es-ES"/>
        </w:rPr>
        <w:t>Cfr.</w:t>
      </w:r>
      <w:r w:rsidRPr="00127B2D">
        <w:rPr>
          <w:sz w:val="16"/>
          <w:szCs w:val="16"/>
          <w:lang w:val="es-ES"/>
        </w:rPr>
        <w:t xml:space="preserve"> </w:t>
      </w:r>
      <w:r w:rsidR="005E2623">
        <w:rPr>
          <w:sz w:val="16"/>
          <w:szCs w:val="16"/>
          <w:lang w:val="es-ES"/>
        </w:rPr>
        <w:t>Correo electrónico de 15 de junio de 2022 (anexo al e</w:t>
      </w:r>
      <w:r w:rsidRPr="00127B2D">
        <w:rPr>
          <w:sz w:val="16"/>
          <w:szCs w:val="16"/>
          <w:lang w:val="es-ES"/>
        </w:rPr>
        <w:t>scrito de observaciones de la representante de 24 de junio de 2022</w:t>
      </w:r>
      <w:r w:rsidR="005E2623">
        <w:rPr>
          <w:sz w:val="16"/>
          <w:szCs w:val="16"/>
          <w:lang w:val="es-ES"/>
        </w:rPr>
        <w:t>)</w:t>
      </w:r>
      <w:r w:rsidRPr="00127B2D">
        <w:rPr>
          <w:sz w:val="16"/>
          <w:szCs w:val="16"/>
          <w:lang w:val="es-ES"/>
        </w:rPr>
        <w:t>.</w:t>
      </w:r>
    </w:p>
  </w:footnote>
  <w:footnote w:id="13">
    <w:p w14:paraId="52FCF1F6" w14:textId="77777777" w:rsidR="00AC1647" w:rsidRPr="00991306" w:rsidRDefault="00AC1647" w:rsidP="00991306">
      <w:pPr>
        <w:pStyle w:val="Textonotapie"/>
        <w:jc w:val="both"/>
        <w:rPr>
          <w:sz w:val="16"/>
          <w:szCs w:val="16"/>
          <w:lang w:val="es-ES"/>
        </w:rPr>
      </w:pPr>
      <w:r w:rsidRPr="00127B2D">
        <w:rPr>
          <w:rStyle w:val="Refdenotaalpie"/>
          <w:sz w:val="16"/>
          <w:szCs w:val="16"/>
        </w:rPr>
        <w:footnoteRef/>
      </w:r>
      <w:r w:rsidRPr="00127B2D">
        <w:rPr>
          <w:sz w:val="16"/>
          <w:szCs w:val="16"/>
        </w:rPr>
        <w:t xml:space="preserve"> </w:t>
      </w:r>
      <w:r w:rsidRPr="00127B2D">
        <w:rPr>
          <w:sz w:val="16"/>
          <w:szCs w:val="16"/>
          <w:lang w:val="es-ES"/>
        </w:rPr>
        <w:tab/>
      </w:r>
      <w:r w:rsidRPr="00127B2D">
        <w:rPr>
          <w:i/>
          <w:iCs/>
          <w:sz w:val="16"/>
          <w:szCs w:val="16"/>
          <w:lang w:val="es-ES"/>
        </w:rPr>
        <w:t>Cfr. Caso Bueno Alves Vs. Argentina. Supervisión de Cumplimiento de Sentencia.</w:t>
      </w:r>
      <w:r w:rsidRPr="00127B2D">
        <w:rPr>
          <w:sz w:val="16"/>
          <w:szCs w:val="16"/>
          <w:lang w:val="es-ES"/>
        </w:rPr>
        <w:t xml:space="preserve"> Resolución de la Corte Interamericana de Derechos Humanos de 5 de julio de 2011, Considerando 17, y </w:t>
      </w:r>
      <w:r w:rsidRPr="00127B2D">
        <w:rPr>
          <w:i/>
          <w:iCs/>
          <w:sz w:val="16"/>
          <w:szCs w:val="16"/>
          <w:lang w:val="es-ES"/>
        </w:rPr>
        <w:t xml:space="preserve">Caso Perrone y </w:t>
      </w:r>
      <w:proofErr w:type="spellStart"/>
      <w:r w:rsidRPr="00127B2D">
        <w:rPr>
          <w:i/>
          <w:iCs/>
          <w:sz w:val="16"/>
          <w:szCs w:val="16"/>
          <w:lang w:val="es-ES"/>
        </w:rPr>
        <w:t>Preckel</w:t>
      </w:r>
      <w:proofErr w:type="spellEnd"/>
      <w:r w:rsidRPr="00991306">
        <w:rPr>
          <w:i/>
          <w:iCs/>
          <w:sz w:val="16"/>
          <w:szCs w:val="16"/>
          <w:lang w:val="es-ES"/>
        </w:rPr>
        <w:t xml:space="preserve"> Vs. Argentina. Supervisión de Cumplimiento de Sentencia. </w:t>
      </w:r>
      <w:r w:rsidRPr="00991306">
        <w:rPr>
          <w:sz w:val="16"/>
          <w:szCs w:val="16"/>
          <w:lang w:val="es-ES"/>
        </w:rPr>
        <w:t>Resolución de la Corte Interamericana de Derechos Humanos de 17 de noviembre de 2021, Considerando 11.</w:t>
      </w:r>
    </w:p>
  </w:footnote>
  <w:footnote w:id="14">
    <w:p w14:paraId="6322E8A2" w14:textId="0A3E11EC" w:rsidR="002359C8" w:rsidRPr="002359C8" w:rsidRDefault="002359C8">
      <w:pPr>
        <w:pStyle w:val="Textonotapie"/>
      </w:pPr>
      <w:r>
        <w:rPr>
          <w:rStyle w:val="Refdenotaalpie"/>
        </w:rPr>
        <w:footnoteRef/>
      </w:r>
      <w:r>
        <w:t xml:space="preserve"> </w:t>
      </w:r>
      <w:r>
        <w:tab/>
      </w:r>
      <w:r w:rsidRPr="00127B2D">
        <w:rPr>
          <w:i/>
          <w:iCs/>
          <w:sz w:val="16"/>
          <w:szCs w:val="16"/>
          <w:lang w:val="es-ES"/>
        </w:rPr>
        <w:t>Cfr. Caso Bueno Alves Vs. Argentina. Supervisión de Cumplimiento de Sentencia.</w:t>
      </w:r>
      <w:r w:rsidRPr="00127B2D">
        <w:rPr>
          <w:sz w:val="16"/>
          <w:szCs w:val="16"/>
          <w:lang w:val="es-ES"/>
        </w:rPr>
        <w:t xml:space="preserve"> Resolución de la Corte Interamericana de Derechos Humanos de 5 de julio de 2011, Considerando </w:t>
      </w:r>
      <w:r>
        <w:rPr>
          <w:sz w:val="16"/>
          <w:szCs w:val="16"/>
          <w:lang w:val="es-ES"/>
        </w:rPr>
        <w:t>14.</w:t>
      </w:r>
    </w:p>
  </w:footnote>
  <w:footnote w:id="15">
    <w:p w14:paraId="62CFC759" w14:textId="46281613" w:rsidR="00991306" w:rsidRPr="00991306" w:rsidRDefault="00991306" w:rsidP="00991306">
      <w:pPr>
        <w:pStyle w:val="Textonotapie"/>
        <w:jc w:val="both"/>
        <w:rPr>
          <w:sz w:val="16"/>
          <w:szCs w:val="16"/>
        </w:rPr>
      </w:pPr>
      <w:r w:rsidRPr="00991306">
        <w:rPr>
          <w:rStyle w:val="Refdenotaalpie"/>
          <w:sz w:val="16"/>
          <w:szCs w:val="16"/>
        </w:rPr>
        <w:footnoteRef/>
      </w:r>
      <w:r w:rsidRPr="00991306">
        <w:rPr>
          <w:sz w:val="16"/>
          <w:szCs w:val="16"/>
        </w:rPr>
        <w:t xml:space="preserve"> </w:t>
      </w:r>
      <w:r w:rsidRPr="00991306">
        <w:rPr>
          <w:sz w:val="16"/>
          <w:szCs w:val="16"/>
        </w:rPr>
        <w:tab/>
      </w:r>
      <w:r w:rsidRPr="00991306">
        <w:rPr>
          <w:i/>
          <w:iCs/>
          <w:sz w:val="16"/>
          <w:szCs w:val="16"/>
          <w:lang w:val="es-ES"/>
        </w:rPr>
        <w:t>Cfr</w:t>
      </w:r>
      <w:r w:rsidRPr="00991306">
        <w:rPr>
          <w:sz w:val="16"/>
          <w:szCs w:val="16"/>
          <w:lang w:val="es-ES"/>
        </w:rPr>
        <w:t xml:space="preserve">. Orden de pago presupuestaria a favor de la señora Myriam </w:t>
      </w:r>
      <w:proofErr w:type="spellStart"/>
      <w:r w:rsidRPr="00991306">
        <w:rPr>
          <w:sz w:val="16"/>
          <w:szCs w:val="16"/>
          <w:lang w:val="es-ES"/>
        </w:rPr>
        <w:t>Carsen</w:t>
      </w:r>
      <w:proofErr w:type="spellEnd"/>
      <w:r w:rsidRPr="00991306">
        <w:rPr>
          <w:sz w:val="16"/>
          <w:szCs w:val="16"/>
          <w:lang w:val="es-ES"/>
        </w:rPr>
        <w:t xml:space="preserve"> de 25 de abril de 2022 (anexo al informe estatal de 18 de julio de 2022). </w:t>
      </w:r>
    </w:p>
  </w:footnote>
  <w:footnote w:id="16">
    <w:p w14:paraId="36AF7A32" w14:textId="4BF94F8A" w:rsidR="00023931" w:rsidRPr="00E57238" w:rsidRDefault="00023931">
      <w:pPr>
        <w:pStyle w:val="Textonotapie"/>
        <w:rPr>
          <w:sz w:val="16"/>
          <w:szCs w:val="16"/>
          <w:lang w:val="es-ES"/>
        </w:rPr>
      </w:pPr>
      <w:r w:rsidRPr="00E57238">
        <w:rPr>
          <w:rStyle w:val="Refdenotaalpie"/>
          <w:sz w:val="16"/>
          <w:szCs w:val="16"/>
        </w:rPr>
        <w:footnoteRef/>
      </w:r>
      <w:r w:rsidRPr="00E57238">
        <w:rPr>
          <w:sz w:val="16"/>
          <w:szCs w:val="16"/>
        </w:rPr>
        <w:t xml:space="preserve"> </w:t>
      </w:r>
      <w:r w:rsidRPr="00E57238">
        <w:rPr>
          <w:sz w:val="16"/>
          <w:szCs w:val="16"/>
          <w:lang w:val="es-ES"/>
        </w:rPr>
        <w:tab/>
      </w:r>
      <w:r w:rsidR="00E57238" w:rsidRPr="00E57238">
        <w:rPr>
          <w:i/>
          <w:iCs/>
          <w:sz w:val="16"/>
          <w:szCs w:val="16"/>
          <w:lang w:val="es-ES"/>
        </w:rPr>
        <w:t>Cfr</w:t>
      </w:r>
      <w:r w:rsidR="00E57238" w:rsidRPr="00E57238">
        <w:rPr>
          <w:sz w:val="16"/>
          <w:szCs w:val="16"/>
          <w:lang w:val="es-ES"/>
        </w:rPr>
        <w:t>. Informe</w:t>
      </w:r>
      <w:r w:rsidR="002C3D43">
        <w:rPr>
          <w:sz w:val="16"/>
          <w:szCs w:val="16"/>
          <w:lang w:val="es-ES"/>
        </w:rPr>
        <w:t>s</w:t>
      </w:r>
      <w:r w:rsidR="00E57238" w:rsidRPr="00E57238">
        <w:rPr>
          <w:sz w:val="16"/>
          <w:szCs w:val="16"/>
          <w:lang w:val="es-ES"/>
        </w:rPr>
        <w:t xml:space="preserve"> estatal</w:t>
      </w:r>
      <w:r w:rsidR="002C3D43">
        <w:rPr>
          <w:sz w:val="16"/>
          <w:szCs w:val="16"/>
          <w:lang w:val="es-ES"/>
        </w:rPr>
        <w:t>es</w:t>
      </w:r>
      <w:r w:rsidR="00E57238" w:rsidRPr="00E57238">
        <w:rPr>
          <w:sz w:val="16"/>
          <w:szCs w:val="16"/>
          <w:lang w:val="es-ES"/>
        </w:rPr>
        <w:t xml:space="preserve"> de 7 de junio </w:t>
      </w:r>
      <w:r w:rsidR="002C3D43">
        <w:rPr>
          <w:sz w:val="16"/>
          <w:szCs w:val="16"/>
          <w:lang w:val="es-ES"/>
        </w:rPr>
        <w:t xml:space="preserve">y 20 de diciembre </w:t>
      </w:r>
      <w:r w:rsidR="00E57238" w:rsidRPr="00E57238">
        <w:rPr>
          <w:sz w:val="16"/>
          <w:szCs w:val="16"/>
          <w:lang w:val="es-ES"/>
        </w:rPr>
        <w:t>de 2021.</w:t>
      </w:r>
    </w:p>
  </w:footnote>
  <w:footnote w:id="17">
    <w:p w14:paraId="0A7BC893" w14:textId="724016DE" w:rsidR="00F037A5" w:rsidRPr="00346DB6" w:rsidRDefault="00F037A5" w:rsidP="004F5A75">
      <w:pPr>
        <w:pStyle w:val="Textonotapie"/>
        <w:jc w:val="both"/>
        <w:rPr>
          <w:sz w:val="16"/>
          <w:szCs w:val="16"/>
          <w:lang w:val="es-ES"/>
        </w:rPr>
      </w:pPr>
      <w:r w:rsidRPr="00346DB6">
        <w:rPr>
          <w:rStyle w:val="Refdenotaalpie"/>
          <w:sz w:val="16"/>
          <w:szCs w:val="16"/>
        </w:rPr>
        <w:footnoteRef/>
      </w:r>
      <w:r w:rsidRPr="00346DB6">
        <w:rPr>
          <w:sz w:val="16"/>
          <w:szCs w:val="16"/>
        </w:rPr>
        <w:t xml:space="preserve"> </w:t>
      </w:r>
      <w:r w:rsidRPr="00346DB6">
        <w:rPr>
          <w:sz w:val="16"/>
          <w:szCs w:val="16"/>
          <w:lang w:val="es-ES"/>
        </w:rPr>
        <w:tab/>
      </w:r>
      <w:r w:rsidR="00011A1C" w:rsidRPr="00346DB6">
        <w:rPr>
          <w:sz w:val="16"/>
          <w:szCs w:val="16"/>
          <w:lang w:val="es-ES"/>
        </w:rPr>
        <w:t xml:space="preserve">El </w:t>
      </w:r>
      <w:r w:rsidR="00011A1C" w:rsidRPr="00FA3C82">
        <w:rPr>
          <w:i/>
          <w:iCs/>
          <w:sz w:val="16"/>
          <w:szCs w:val="16"/>
          <w:lang w:val="es-ES"/>
        </w:rPr>
        <w:t>Estado</w:t>
      </w:r>
      <w:r w:rsidR="00011A1C" w:rsidRPr="00346DB6">
        <w:rPr>
          <w:sz w:val="16"/>
          <w:szCs w:val="16"/>
          <w:lang w:val="es-ES"/>
        </w:rPr>
        <w:t xml:space="preserve"> indicó que, desde el </w:t>
      </w:r>
      <w:r w:rsidR="004F5A75" w:rsidRPr="00346DB6">
        <w:rPr>
          <w:sz w:val="16"/>
          <w:szCs w:val="16"/>
          <w:lang w:val="es-ES"/>
        </w:rPr>
        <w:t>3</w:t>
      </w:r>
      <w:r w:rsidR="00011A1C" w:rsidRPr="00346DB6">
        <w:rPr>
          <w:sz w:val="16"/>
          <w:szCs w:val="16"/>
          <w:lang w:val="es-ES"/>
        </w:rPr>
        <w:t xml:space="preserve"> de junio de 202</w:t>
      </w:r>
      <w:r w:rsidR="004F5A75" w:rsidRPr="00346DB6">
        <w:rPr>
          <w:sz w:val="16"/>
          <w:szCs w:val="16"/>
          <w:lang w:val="es-ES"/>
        </w:rPr>
        <w:t>1</w:t>
      </w:r>
      <w:r w:rsidR="00011A1C" w:rsidRPr="00346DB6">
        <w:rPr>
          <w:sz w:val="16"/>
          <w:szCs w:val="16"/>
          <w:lang w:val="es-ES"/>
        </w:rPr>
        <w:t>, se encuentra publicada la Sentencia de este caso</w:t>
      </w:r>
      <w:r w:rsidR="004F5A75" w:rsidRPr="00346DB6">
        <w:rPr>
          <w:sz w:val="16"/>
          <w:szCs w:val="16"/>
          <w:lang w:val="es-ES"/>
        </w:rPr>
        <w:t xml:space="preserve"> </w:t>
      </w:r>
      <w:r w:rsidR="00011A1C" w:rsidRPr="00346DB6">
        <w:rPr>
          <w:sz w:val="16"/>
          <w:szCs w:val="16"/>
          <w:lang w:val="es-ES"/>
        </w:rPr>
        <w:t>en el siguiente enlace:</w:t>
      </w:r>
      <w:r w:rsidR="004F5A75" w:rsidRPr="00346DB6">
        <w:rPr>
          <w:sz w:val="16"/>
          <w:szCs w:val="16"/>
          <w:lang w:val="es-ES"/>
        </w:rPr>
        <w:t xml:space="preserve"> </w:t>
      </w:r>
      <w:hyperlink r:id="rId2" w:history="1">
        <w:r w:rsidR="004F5A75" w:rsidRPr="00346DB6">
          <w:rPr>
            <w:rStyle w:val="Hipervnculo"/>
            <w:sz w:val="16"/>
            <w:szCs w:val="16"/>
            <w:lang w:val="es-ES"/>
          </w:rPr>
          <w:t>https://www.argentina.gob.ar/justicia/Publicaciones-CIDH</w:t>
        </w:r>
      </w:hyperlink>
      <w:r w:rsidR="00011A1C" w:rsidRPr="00346DB6">
        <w:rPr>
          <w:sz w:val="16"/>
          <w:szCs w:val="16"/>
          <w:lang w:val="es-ES"/>
        </w:rPr>
        <w:t xml:space="preserve">. </w:t>
      </w:r>
      <w:r w:rsidR="00011A1C" w:rsidRPr="00346DB6">
        <w:rPr>
          <w:i/>
          <w:iCs/>
          <w:sz w:val="16"/>
          <w:szCs w:val="16"/>
          <w:lang w:val="es-ES"/>
        </w:rPr>
        <w:t>Cfr</w:t>
      </w:r>
      <w:r w:rsidR="00011A1C" w:rsidRPr="00346DB6">
        <w:rPr>
          <w:sz w:val="16"/>
          <w:szCs w:val="16"/>
          <w:lang w:val="es-ES"/>
        </w:rPr>
        <w:t xml:space="preserve">. Informe estatal de </w:t>
      </w:r>
      <w:r w:rsidR="004F5A75" w:rsidRPr="00346DB6">
        <w:rPr>
          <w:sz w:val="16"/>
          <w:szCs w:val="16"/>
          <w:lang w:val="es-ES"/>
        </w:rPr>
        <w:t>7 de junio de 2021</w:t>
      </w:r>
      <w:r w:rsidR="00011A1C" w:rsidRPr="00346DB6">
        <w:rPr>
          <w:sz w:val="16"/>
          <w:szCs w:val="16"/>
          <w:lang w:val="es-ES"/>
        </w:rPr>
        <w:t>. La última vez que la Corte consultó el referido enlace electrónico, se</w:t>
      </w:r>
      <w:r w:rsidR="004F5A75" w:rsidRPr="00346DB6">
        <w:rPr>
          <w:sz w:val="16"/>
          <w:szCs w:val="16"/>
          <w:lang w:val="es-ES"/>
        </w:rPr>
        <w:t xml:space="preserve"> </w:t>
      </w:r>
      <w:r w:rsidR="00011A1C" w:rsidRPr="00346DB6">
        <w:rPr>
          <w:sz w:val="16"/>
          <w:szCs w:val="16"/>
          <w:lang w:val="es-ES"/>
        </w:rPr>
        <w:t>pudo constatar que la</w:t>
      </w:r>
      <w:r w:rsidR="00346DB6" w:rsidRPr="00346DB6">
        <w:rPr>
          <w:sz w:val="16"/>
          <w:szCs w:val="16"/>
          <w:lang w:val="es-ES"/>
        </w:rPr>
        <w:t xml:space="preserve"> Sentencia seguía disponible (visitado por última vez el </w:t>
      </w:r>
      <w:r w:rsidR="00CA59F0">
        <w:rPr>
          <w:sz w:val="16"/>
          <w:szCs w:val="16"/>
          <w:lang w:val="es-ES"/>
        </w:rPr>
        <w:t>14</w:t>
      </w:r>
      <w:r w:rsidR="00346DB6" w:rsidRPr="00346DB6">
        <w:rPr>
          <w:sz w:val="16"/>
          <w:szCs w:val="16"/>
          <w:lang w:val="es-ES"/>
        </w:rPr>
        <w:t xml:space="preserve"> de </w:t>
      </w:r>
      <w:r w:rsidR="00CA59F0">
        <w:rPr>
          <w:sz w:val="16"/>
          <w:szCs w:val="16"/>
          <w:lang w:val="es-ES"/>
        </w:rPr>
        <w:t>marzo</w:t>
      </w:r>
      <w:r w:rsidR="00346DB6" w:rsidRPr="00346DB6">
        <w:rPr>
          <w:sz w:val="16"/>
          <w:szCs w:val="16"/>
          <w:lang w:val="es-ES"/>
        </w:rPr>
        <w:t xml:space="preserve"> de 2024).</w:t>
      </w:r>
    </w:p>
  </w:footnote>
  <w:footnote w:id="18">
    <w:p w14:paraId="7E76EC7A" w14:textId="6F1E3BBB" w:rsidR="00B428EF" w:rsidRPr="00AF7AB8" w:rsidRDefault="00B428EF" w:rsidP="00AF7AB8">
      <w:pPr>
        <w:pStyle w:val="Textonotapie"/>
        <w:jc w:val="both"/>
        <w:rPr>
          <w:sz w:val="16"/>
          <w:szCs w:val="16"/>
          <w:lang w:val="es-ES"/>
        </w:rPr>
      </w:pPr>
      <w:r w:rsidRPr="00AF7AB8">
        <w:rPr>
          <w:rStyle w:val="Refdenotaalpie"/>
          <w:sz w:val="16"/>
          <w:szCs w:val="16"/>
        </w:rPr>
        <w:footnoteRef/>
      </w:r>
      <w:r w:rsidRPr="00AF7AB8">
        <w:rPr>
          <w:sz w:val="16"/>
          <w:szCs w:val="16"/>
        </w:rPr>
        <w:t xml:space="preserve"> </w:t>
      </w:r>
      <w:r w:rsidRPr="00AF7AB8">
        <w:rPr>
          <w:sz w:val="16"/>
          <w:szCs w:val="16"/>
          <w:lang w:val="es-ES"/>
        </w:rPr>
        <w:tab/>
      </w:r>
      <w:r w:rsidR="00AF7AB8" w:rsidRPr="00AF7AB8">
        <w:rPr>
          <w:i/>
          <w:iCs/>
          <w:sz w:val="16"/>
          <w:szCs w:val="16"/>
          <w:lang w:val="es-ES"/>
        </w:rPr>
        <w:t>Cfr</w:t>
      </w:r>
      <w:r w:rsidR="00AF7AB8" w:rsidRPr="00AF7AB8">
        <w:rPr>
          <w:sz w:val="16"/>
          <w:szCs w:val="16"/>
          <w:lang w:val="es-ES"/>
        </w:rPr>
        <w:t xml:space="preserve">. Copia del resumen oficial de la Sentencia publicado en el Boletín Oficial de la República Argentina No. </w:t>
      </w:r>
      <w:r w:rsidR="004E6A09" w:rsidRPr="004E6A09">
        <w:rPr>
          <w:sz w:val="16"/>
          <w:szCs w:val="16"/>
          <w:lang w:val="es-ES"/>
        </w:rPr>
        <w:t>37226/21</w:t>
      </w:r>
      <w:r w:rsidR="00AF7AB8" w:rsidRPr="00AF7AB8">
        <w:rPr>
          <w:sz w:val="16"/>
          <w:szCs w:val="16"/>
          <w:lang w:val="es-ES"/>
        </w:rPr>
        <w:t xml:space="preserve"> el </w:t>
      </w:r>
      <w:r w:rsidR="004E6A09">
        <w:rPr>
          <w:sz w:val="16"/>
          <w:szCs w:val="16"/>
          <w:lang w:val="es-ES"/>
        </w:rPr>
        <w:t>3</w:t>
      </w:r>
      <w:r w:rsidR="00AF7AB8" w:rsidRPr="00AF7AB8">
        <w:rPr>
          <w:sz w:val="16"/>
          <w:szCs w:val="16"/>
          <w:lang w:val="es-ES"/>
        </w:rPr>
        <w:t xml:space="preserve"> de junio de 202</w:t>
      </w:r>
      <w:r w:rsidR="004E6A09">
        <w:rPr>
          <w:sz w:val="16"/>
          <w:szCs w:val="16"/>
          <w:lang w:val="es-ES"/>
        </w:rPr>
        <w:t>1</w:t>
      </w:r>
      <w:r w:rsidR="00AF7AB8" w:rsidRPr="00AF7AB8">
        <w:rPr>
          <w:sz w:val="16"/>
          <w:szCs w:val="16"/>
          <w:lang w:val="es-ES"/>
        </w:rPr>
        <w:t xml:space="preserve"> (anexo al informe estatal de </w:t>
      </w:r>
      <w:r w:rsidR="004E6A09" w:rsidRPr="00E57238">
        <w:rPr>
          <w:sz w:val="16"/>
          <w:szCs w:val="16"/>
          <w:lang w:val="es-ES"/>
        </w:rPr>
        <w:t>7 de junio de 2021</w:t>
      </w:r>
      <w:r w:rsidR="00AF7AB8" w:rsidRPr="00AF7AB8">
        <w:rPr>
          <w:sz w:val="16"/>
          <w:szCs w:val="16"/>
          <w:lang w:val="es-ES"/>
        </w:rPr>
        <w:t>).</w:t>
      </w:r>
    </w:p>
  </w:footnote>
  <w:footnote w:id="19">
    <w:p w14:paraId="54FCE430" w14:textId="5206F7B8" w:rsidR="007A6B46" w:rsidRPr="00922CB9" w:rsidRDefault="007A6B46" w:rsidP="00922CB9">
      <w:pPr>
        <w:pStyle w:val="Textonotapie"/>
        <w:jc w:val="both"/>
        <w:rPr>
          <w:sz w:val="16"/>
          <w:szCs w:val="16"/>
        </w:rPr>
      </w:pPr>
      <w:r w:rsidRPr="00922CB9">
        <w:rPr>
          <w:rStyle w:val="Refdenotaalpie"/>
          <w:sz w:val="16"/>
          <w:szCs w:val="16"/>
        </w:rPr>
        <w:footnoteRef/>
      </w:r>
      <w:r w:rsidRPr="00922CB9">
        <w:rPr>
          <w:sz w:val="16"/>
          <w:szCs w:val="16"/>
        </w:rPr>
        <w:t xml:space="preserve"> </w:t>
      </w:r>
      <w:r w:rsidRPr="00922CB9">
        <w:rPr>
          <w:sz w:val="16"/>
          <w:szCs w:val="16"/>
        </w:rPr>
        <w:tab/>
      </w:r>
      <w:r w:rsidR="00922CB9" w:rsidRPr="00AF7AB8">
        <w:rPr>
          <w:i/>
          <w:iCs/>
          <w:sz w:val="16"/>
          <w:szCs w:val="16"/>
          <w:lang w:val="es-ES"/>
        </w:rPr>
        <w:t>Cfr</w:t>
      </w:r>
      <w:r w:rsidR="00922CB9" w:rsidRPr="00AF7AB8">
        <w:rPr>
          <w:sz w:val="16"/>
          <w:szCs w:val="16"/>
          <w:lang w:val="es-ES"/>
        </w:rPr>
        <w:t xml:space="preserve">. </w:t>
      </w:r>
      <w:r w:rsidR="00157A86" w:rsidRPr="00201194">
        <w:rPr>
          <w:i/>
          <w:iCs/>
          <w:sz w:val="16"/>
          <w:szCs w:val="16"/>
        </w:rPr>
        <w:t xml:space="preserve">Caso Almeida Vs. Argentina. Fondo, Reparaciones y Costas, supra </w:t>
      </w:r>
      <w:r w:rsidR="00157A86" w:rsidRPr="00201194">
        <w:rPr>
          <w:sz w:val="16"/>
          <w:szCs w:val="16"/>
        </w:rPr>
        <w:t>nota 1, párr.</w:t>
      </w:r>
      <w:r w:rsidRPr="00922CB9">
        <w:rPr>
          <w:sz w:val="16"/>
          <w:szCs w:val="16"/>
        </w:rPr>
        <w:t xml:space="preserve"> 53.</w:t>
      </w:r>
      <w:r w:rsidR="00E330DD">
        <w:rPr>
          <w:sz w:val="16"/>
          <w:szCs w:val="16"/>
        </w:rPr>
        <w:t xml:space="preserve"> </w:t>
      </w:r>
      <w:r w:rsidR="00E330DD" w:rsidRPr="00172686">
        <w:rPr>
          <w:sz w:val="16"/>
          <w:szCs w:val="16"/>
        </w:rPr>
        <w:t>Dicha ley, emitida en democracia, otorgó beneficios a las personas que hubieran sido puestas a disposición del Poder Ejecutivo Nacional (PEN) durante la vigencia del estado de sitio o que, siendo civiles, hubiesen sufrido detención en virtud de actos emanados de tribunales militares.</w:t>
      </w:r>
    </w:p>
  </w:footnote>
  <w:footnote w:id="20">
    <w:p w14:paraId="23681CEF" w14:textId="77777777" w:rsidR="00465984" w:rsidRPr="00201194" w:rsidRDefault="00465984" w:rsidP="00465984">
      <w:pPr>
        <w:pStyle w:val="Textonotapie"/>
        <w:jc w:val="both"/>
        <w:rPr>
          <w:sz w:val="16"/>
          <w:szCs w:val="16"/>
        </w:rPr>
      </w:pPr>
      <w:r w:rsidRPr="00201194">
        <w:rPr>
          <w:rStyle w:val="Refdenotaalpie"/>
          <w:sz w:val="16"/>
          <w:szCs w:val="16"/>
        </w:rPr>
        <w:footnoteRef/>
      </w:r>
      <w:r w:rsidRPr="00201194">
        <w:rPr>
          <w:sz w:val="16"/>
          <w:szCs w:val="16"/>
        </w:rPr>
        <w:t xml:space="preserve"> </w:t>
      </w:r>
      <w:r w:rsidRPr="00201194">
        <w:rPr>
          <w:sz w:val="16"/>
          <w:szCs w:val="16"/>
          <w:lang w:val="es-ES"/>
        </w:rPr>
        <w:tab/>
        <w:t>L</w:t>
      </w:r>
      <w:r w:rsidRPr="00201194">
        <w:rPr>
          <w:sz w:val="16"/>
          <w:szCs w:val="16"/>
        </w:rPr>
        <w:t>a Corte Suprema de Justicia, en su fallo de 1997 del caso Noro, estableció explícitamente que la finalidad de la ley era otorgar una compensación económica a personas privadas de su derecho constitucional de libertad, sin tomar en cuenta la forma del acto de autoridad que llevó a esa privación</w:t>
      </w:r>
      <w:r>
        <w:rPr>
          <w:sz w:val="16"/>
          <w:szCs w:val="16"/>
        </w:rPr>
        <w:t>.</w:t>
      </w:r>
      <w:r w:rsidRPr="00201194">
        <w:rPr>
          <w:i/>
          <w:iCs/>
          <w:sz w:val="16"/>
          <w:szCs w:val="16"/>
        </w:rPr>
        <w:t xml:space="preserve"> Cfr. Caso Almeida Vs. Argentina. Fondo, Reparaciones y Costas, supra </w:t>
      </w:r>
      <w:r w:rsidRPr="00201194">
        <w:rPr>
          <w:sz w:val="16"/>
          <w:szCs w:val="16"/>
        </w:rPr>
        <w:t>nota 1, párr. 49.</w:t>
      </w:r>
    </w:p>
  </w:footnote>
  <w:footnote w:id="21">
    <w:p w14:paraId="4BF54535" w14:textId="31207865" w:rsidR="00E41F0E" w:rsidRPr="00E41F0E" w:rsidRDefault="00E41F0E" w:rsidP="00E41F0E">
      <w:pPr>
        <w:pStyle w:val="Textonotapie"/>
        <w:jc w:val="both"/>
        <w:rPr>
          <w:sz w:val="16"/>
          <w:szCs w:val="16"/>
        </w:rPr>
      </w:pPr>
      <w:r w:rsidRPr="00E41F0E">
        <w:rPr>
          <w:rStyle w:val="Refdenotaalpie"/>
          <w:sz w:val="16"/>
          <w:szCs w:val="16"/>
        </w:rPr>
        <w:footnoteRef/>
      </w:r>
      <w:r w:rsidRPr="00E41F0E">
        <w:rPr>
          <w:sz w:val="16"/>
          <w:szCs w:val="16"/>
        </w:rPr>
        <w:t xml:space="preserve"> </w:t>
      </w:r>
      <w:r w:rsidRPr="00E41F0E">
        <w:rPr>
          <w:sz w:val="16"/>
          <w:szCs w:val="16"/>
        </w:rPr>
        <w:tab/>
        <w:t>También hizo notar que “[e]l Estado está obligado a observar sus obligaciones internacionales en materia de igualdad ante la ley, no siendo oponible la situación de cosa juzgada a las reclamaciones presentadas y debe permitir a los interesados presentar toda la información necesaria para acreditar sus reclamos”.</w:t>
      </w:r>
    </w:p>
  </w:footnote>
  <w:footnote w:id="22">
    <w:p w14:paraId="5955534C" w14:textId="29B417BF" w:rsidR="00E13A71" w:rsidRPr="00977FB1" w:rsidRDefault="00E13A71" w:rsidP="00977FB1">
      <w:pPr>
        <w:pStyle w:val="Textonotapie"/>
        <w:jc w:val="both"/>
        <w:rPr>
          <w:sz w:val="16"/>
          <w:szCs w:val="16"/>
        </w:rPr>
      </w:pPr>
      <w:r w:rsidRPr="00977FB1">
        <w:rPr>
          <w:rStyle w:val="Refdenotaalpie"/>
          <w:sz w:val="16"/>
          <w:szCs w:val="16"/>
        </w:rPr>
        <w:footnoteRef/>
      </w:r>
      <w:r w:rsidRPr="00977FB1">
        <w:rPr>
          <w:sz w:val="16"/>
          <w:szCs w:val="16"/>
        </w:rPr>
        <w:t xml:space="preserve"> </w:t>
      </w:r>
      <w:r w:rsidRPr="00977FB1">
        <w:rPr>
          <w:sz w:val="16"/>
          <w:szCs w:val="16"/>
        </w:rPr>
        <w:tab/>
      </w:r>
      <w:r w:rsidR="00157A86" w:rsidRPr="00157A86">
        <w:rPr>
          <w:sz w:val="16"/>
          <w:szCs w:val="16"/>
          <w:lang w:val="es-ES"/>
        </w:rPr>
        <w:t xml:space="preserve">El </w:t>
      </w:r>
      <w:r w:rsidR="00157A86" w:rsidRPr="00157A86">
        <w:rPr>
          <w:i/>
          <w:iCs/>
          <w:sz w:val="16"/>
          <w:szCs w:val="16"/>
          <w:lang w:val="es-ES"/>
        </w:rPr>
        <w:t>Estado</w:t>
      </w:r>
      <w:r w:rsidR="00157A86" w:rsidRPr="00157A86">
        <w:rPr>
          <w:sz w:val="16"/>
          <w:szCs w:val="16"/>
          <w:lang w:val="es-ES"/>
        </w:rPr>
        <w:t xml:space="preserve"> indicó que se podía acceder mediante el siguiente enlace: </w:t>
      </w:r>
      <w:hyperlink r:id="rId3" w:history="1">
        <w:r w:rsidR="00157A86" w:rsidRPr="00157A86">
          <w:rPr>
            <w:rStyle w:val="Hipervnculo"/>
            <w:sz w:val="16"/>
            <w:szCs w:val="16"/>
            <w:lang w:val="es-ES"/>
          </w:rPr>
          <w:t>https://www.argentina.gob.ar/derechoshumanos/aviso-importante-en-cumplimiento-de-la-sentencia-de-la-corte-idh-en-el-caso-almeida</w:t>
        </w:r>
      </w:hyperlink>
      <w:r w:rsidR="00157A86" w:rsidRPr="00157A86">
        <w:rPr>
          <w:sz w:val="16"/>
          <w:szCs w:val="16"/>
          <w:lang w:val="es-ES"/>
        </w:rPr>
        <w:t xml:space="preserve">. </w:t>
      </w:r>
      <w:r w:rsidR="00157A86" w:rsidRPr="00157A86">
        <w:rPr>
          <w:i/>
          <w:iCs/>
          <w:sz w:val="16"/>
          <w:szCs w:val="16"/>
          <w:lang w:val="es-ES"/>
        </w:rPr>
        <w:t>Cfr</w:t>
      </w:r>
      <w:r w:rsidR="00157A86" w:rsidRPr="00157A86">
        <w:rPr>
          <w:sz w:val="16"/>
          <w:szCs w:val="16"/>
          <w:lang w:val="es-ES"/>
        </w:rPr>
        <w:t>. Informe estatal de 16 de junio de 2023. La última vez que la Corte consultó el referido enlace electrónico, se pudo constatar que el mismo seguía disponible (visitado por última vez el 14 de marzo de 2024).</w:t>
      </w:r>
      <w:r w:rsidR="00157A86" w:rsidRPr="00977FB1">
        <w:rPr>
          <w:sz w:val="16"/>
          <w:szCs w:val="16"/>
        </w:rPr>
        <w:t xml:space="preserve"> </w:t>
      </w:r>
    </w:p>
  </w:footnote>
  <w:footnote w:id="23">
    <w:p w14:paraId="1940D766" w14:textId="269D6D26" w:rsidR="00977FB1" w:rsidRPr="00E562CC" w:rsidRDefault="00977FB1" w:rsidP="00977FB1">
      <w:pPr>
        <w:pStyle w:val="Textonotapie"/>
        <w:jc w:val="both"/>
        <w:rPr>
          <w:sz w:val="16"/>
          <w:szCs w:val="16"/>
          <w:lang w:val="es-ES"/>
        </w:rPr>
      </w:pPr>
      <w:r w:rsidRPr="00E562CC">
        <w:rPr>
          <w:rStyle w:val="Refdenotaalpie"/>
          <w:sz w:val="16"/>
          <w:szCs w:val="16"/>
        </w:rPr>
        <w:footnoteRef/>
      </w:r>
      <w:r w:rsidRPr="00E562CC">
        <w:rPr>
          <w:sz w:val="16"/>
          <w:szCs w:val="16"/>
        </w:rPr>
        <w:t xml:space="preserve"> </w:t>
      </w:r>
      <w:r w:rsidRPr="00E562CC">
        <w:rPr>
          <w:sz w:val="16"/>
          <w:szCs w:val="16"/>
          <w:lang w:val="es-ES"/>
        </w:rPr>
        <w:tab/>
      </w:r>
      <w:r w:rsidRPr="00E562CC">
        <w:rPr>
          <w:i/>
          <w:iCs/>
          <w:sz w:val="16"/>
          <w:szCs w:val="16"/>
          <w:lang w:val="es-ES"/>
        </w:rPr>
        <w:t>Cfr</w:t>
      </w:r>
      <w:r w:rsidRPr="00E562CC">
        <w:rPr>
          <w:sz w:val="16"/>
          <w:szCs w:val="16"/>
          <w:lang w:val="es-ES"/>
        </w:rPr>
        <w:t>. Oficios de notificación dirigidos a</w:t>
      </w:r>
      <w:r w:rsidR="00D769AF">
        <w:rPr>
          <w:sz w:val="16"/>
          <w:szCs w:val="16"/>
          <w:lang w:val="es-ES"/>
        </w:rPr>
        <w:t>:</w:t>
      </w:r>
      <w:r w:rsidRPr="00E562CC">
        <w:rPr>
          <w:sz w:val="16"/>
          <w:szCs w:val="16"/>
          <w:lang w:val="es-ES"/>
        </w:rPr>
        <w:t xml:space="preserve"> la Asociación Abuelas de Plaza de Mayo; </w:t>
      </w:r>
      <w:r w:rsidR="00D769AF">
        <w:rPr>
          <w:sz w:val="16"/>
          <w:szCs w:val="16"/>
          <w:lang w:val="es-ES"/>
        </w:rPr>
        <w:t>el</w:t>
      </w:r>
      <w:r w:rsidRPr="00E562CC">
        <w:rPr>
          <w:sz w:val="16"/>
          <w:szCs w:val="16"/>
          <w:lang w:val="es-ES"/>
        </w:rPr>
        <w:t xml:space="preserve"> Centro de Estudios Legales y </w:t>
      </w:r>
      <w:proofErr w:type="gramStart"/>
      <w:r w:rsidRPr="00E562CC">
        <w:rPr>
          <w:sz w:val="16"/>
          <w:szCs w:val="16"/>
          <w:lang w:val="es-ES"/>
        </w:rPr>
        <w:t>Sociales;  Familiares</w:t>
      </w:r>
      <w:proofErr w:type="gramEnd"/>
      <w:r w:rsidRPr="00E562CC">
        <w:rPr>
          <w:sz w:val="16"/>
          <w:szCs w:val="16"/>
          <w:lang w:val="es-ES"/>
        </w:rPr>
        <w:t xml:space="preserve"> de Desaparecidos por Razones Políticas</w:t>
      </w:r>
      <w:r w:rsidR="00D769AF">
        <w:rPr>
          <w:sz w:val="16"/>
          <w:szCs w:val="16"/>
          <w:lang w:val="es-ES"/>
        </w:rPr>
        <w:t>,</w:t>
      </w:r>
      <w:r w:rsidRPr="00E562CC">
        <w:rPr>
          <w:sz w:val="16"/>
          <w:szCs w:val="16"/>
          <w:lang w:val="es-ES"/>
        </w:rPr>
        <w:t xml:space="preserve"> y a Madres de Plaza de Mayo Línea Fundadora</w:t>
      </w:r>
      <w:r w:rsidRPr="00E562CC">
        <w:rPr>
          <w:b/>
          <w:bCs/>
          <w:sz w:val="16"/>
          <w:szCs w:val="16"/>
          <w:lang w:val="es-ES"/>
        </w:rPr>
        <w:t xml:space="preserve"> </w:t>
      </w:r>
      <w:r w:rsidRPr="00E562CC">
        <w:rPr>
          <w:sz w:val="16"/>
          <w:szCs w:val="16"/>
          <w:lang w:val="es-ES"/>
        </w:rPr>
        <w:t xml:space="preserve">(anexos al informe estatal de 11 de julio de 2023).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D4FE0D" w14:textId="2674BD6D" w:rsidR="000E671C" w:rsidRPr="003D09D2" w:rsidRDefault="009B185C" w:rsidP="009B185C">
    <w:pPr>
      <w:tabs>
        <w:tab w:val="left" w:pos="3629"/>
        <w:tab w:val="right" w:pos="8838"/>
      </w:tabs>
      <w:rPr>
        <w:i/>
        <w:iCs/>
      </w:rPr>
    </w:pPr>
    <w:r>
      <w:rPr>
        <w:i/>
        <w:iCs/>
      </w:rPr>
      <w:tab/>
    </w:r>
    <w:r>
      <w:rPr>
        <w:i/>
        <w:iCs/>
      </w:rPr>
      <w:tab/>
    </w:r>
  </w:p>
  <w:p w14:paraId="3F22F378" w14:textId="77777777" w:rsidR="000E671C" w:rsidRDefault="000E671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5B5407"/>
    <w:multiLevelType w:val="hybridMultilevel"/>
    <w:tmpl w:val="00A4098E"/>
    <w:lvl w:ilvl="0" w:tplc="ED6001C0">
      <w:start w:val="1"/>
      <w:numFmt w:val="lowerRoman"/>
      <w:lvlText w:val="%1."/>
      <w:lvlJc w:val="left"/>
      <w:pPr>
        <w:ind w:left="1080" w:hanging="720"/>
      </w:pPr>
      <w:rPr>
        <w:rFonts w:hint="default"/>
        <w:sz w:val="18"/>
        <w:szCs w:val="18"/>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779606D"/>
    <w:multiLevelType w:val="hybridMultilevel"/>
    <w:tmpl w:val="38B01510"/>
    <w:lvl w:ilvl="0" w:tplc="6348594E">
      <w:start w:val="1"/>
      <w:numFmt w:val="decimal"/>
      <w:lvlText w:val="%1."/>
      <w:lvlJc w:val="left"/>
      <w:pPr>
        <w:ind w:left="360" w:hanging="360"/>
      </w:pPr>
      <w:rPr>
        <w:rFonts w:ascii="Verdana" w:hAnsi="Verdana" w:hint="default"/>
        <w:b w:val="0"/>
        <w:sz w:val="20"/>
        <w:szCs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A354B4"/>
    <w:multiLevelType w:val="hybridMultilevel"/>
    <w:tmpl w:val="27A8CDD6"/>
    <w:lvl w:ilvl="0" w:tplc="FFFFFFFF">
      <w:start w:val="1"/>
      <w:numFmt w:val="decimal"/>
      <w:lvlText w:val="%1."/>
      <w:lvlJc w:val="left"/>
      <w:pPr>
        <w:ind w:left="36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11A43A9"/>
    <w:multiLevelType w:val="hybridMultilevel"/>
    <w:tmpl w:val="E508E99A"/>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79D1F4B"/>
    <w:multiLevelType w:val="hybridMultilevel"/>
    <w:tmpl w:val="5A6A1722"/>
    <w:lvl w:ilvl="0" w:tplc="E01C1288">
      <w:start w:val="1"/>
      <w:numFmt w:val="lowerRoman"/>
      <w:lvlText w:val="(%1)"/>
      <w:lvlJc w:val="left"/>
      <w:pPr>
        <w:ind w:left="1440" w:hanging="72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5" w15:restartNumberingAfterBreak="0">
    <w:nsid w:val="209822DF"/>
    <w:multiLevelType w:val="multilevel"/>
    <w:tmpl w:val="BF14E99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6" w15:restartNumberingAfterBreak="0">
    <w:nsid w:val="21462E8D"/>
    <w:multiLevelType w:val="hybridMultilevel"/>
    <w:tmpl w:val="FEFE23A0"/>
    <w:lvl w:ilvl="0" w:tplc="29BA3E06">
      <w:start w:val="1"/>
      <w:numFmt w:val="lowerRoman"/>
      <w:lvlText w:val="(%1)"/>
      <w:lvlJc w:val="left"/>
      <w:pPr>
        <w:ind w:left="1440" w:hanging="1080"/>
      </w:pPr>
      <w:rPr>
        <w:rFonts w:hint="default"/>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21F73BAE"/>
    <w:multiLevelType w:val="hybridMultilevel"/>
    <w:tmpl w:val="AB64D134"/>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24807B4A"/>
    <w:multiLevelType w:val="hybridMultilevel"/>
    <w:tmpl w:val="70EEC1EA"/>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28905B65"/>
    <w:multiLevelType w:val="hybridMultilevel"/>
    <w:tmpl w:val="E0826C2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30350D5D"/>
    <w:multiLevelType w:val="hybridMultilevel"/>
    <w:tmpl w:val="9A80CB06"/>
    <w:lvl w:ilvl="0" w:tplc="140A0001">
      <w:start w:val="1"/>
      <w:numFmt w:val="bullet"/>
      <w:lvlText w:val=""/>
      <w:lvlJc w:val="left"/>
      <w:pPr>
        <w:ind w:left="770" w:hanging="360"/>
      </w:pPr>
      <w:rPr>
        <w:rFonts w:ascii="Symbol" w:hAnsi="Symbol" w:hint="default"/>
      </w:rPr>
    </w:lvl>
    <w:lvl w:ilvl="1" w:tplc="140A0003">
      <w:start w:val="1"/>
      <w:numFmt w:val="bullet"/>
      <w:lvlText w:val="o"/>
      <w:lvlJc w:val="left"/>
      <w:pPr>
        <w:ind w:left="1490" w:hanging="360"/>
      </w:pPr>
      <w:rPr>
        <w:rFonts w:ascii="Courier New" w:hAnsi="Courier New" w:cs="Courier New" w:hint="default"/>
      </w:rPr>
    </w:lvl>
    <w:lvl w:ilvl="2" w:tplc="140A0005">
      <w:start w:val="1"/>
      <w:numFmt w:val="bullet"/>
      <w:lvlText w:val=""/>
      <w:lvlJc w:val="left"/>
      <w:pPr>
        <w:ind w:left="2210" w:hanging="360"/>
      </w:pPr>
      <w:rPr>
        <w:rFonts w:ascii="Wingdings" w:hAnsi="Wingdings" w:hint="default"/>
      </w:rPr>
    </w:lvl>
    <w:lvl w:ilvl="3" w:tplc="140A0001">
      <w:start w:val="1"/>
      <w:numFmt w:val="bullet"/>
      <w:lvlText w:val=""/>
      <w:lvlJc w:val="left"/>
      <w:pPr>
        <w:ind w:left="2930" w:hanging="360"/>
      </w:pPr>
      <w:rPr>
        <w:rFonts w:ascii="Symbol" w:hAnsi="Symbol" w:hint="default"/>
      </w:rPr>
    </w:lvl>
    <w:lvl w:ilvl="4" w:tplc="140A0003">
      <w:start w:val="1"/>
      <w:numFmt w:val="bullet"/>
      <w:lvlText w:val="o"/>
      <w:lvlJc w:val="left"/>
      <w:pPr>
        <w:ind w:left="3650" w:hanging="360"/>
      </w:pPr>
      <w:rPr>
        <w:rFonts w:ascii="Courier New" w:hAnsi="Courier New" w:cs="Courier New" w:hint="default"/>
      </w:rPr>
    </w:lvl>
    <w:lvl w:ilvl="5" w:tplc="140A0005">
      <w:start w:val="1"/>
      <w:numFmt w:val="bullet"/>
      <w:lvlText w:val=""/>
      <w:lvlJc w:val="left"/>
      <w:pPr>
        <w:ind w:left="4370" w:hanging="360"/>
      </w:pPr>
      <w:rPr>
        <w:rFonts w:ascii="Wingdings" w:hAnsi="Wingdings" w:hint="default"/>
      </w:rPr>
    </w:lvl>
    <w:lvl w:ilvl="6" w:tplc="140A0001">
      <w:start w:val="1"/>
      <w:numFmt w:val="bullet"/>
      <w:lvlText w:val=""/>
      <w:lvlJc w:val="left"/>
      <w:pPr>
        <w:ind w:left="5090" w:hanging="360"/>
      </w:pPr>
      <w:rPr>
        <w:rFonts w:ascii="Symbol" w:hAnsi="Symbol" w:hint="default"/>
      </w:rPr>
    </w:lvl>
    <w:lvl w:ilvl="7" w:tplc="140A0003">
      <w:start w:val="1"/>
      <w:numFmt w:val="bullet"/>
      <w:lvlText w:val="o"/>
      <w:lvlJc w:val="left"/>
      <w:pPr>
        <w:ind w:left="5810" w:hanging="360"/>
      </w:pPr>
      <w:rPr>
        <w:rFonts w:ascii="Courier New" w:hAnsi="Courier New" w:cs="Courier New" w:hint="default"/>
      </w:rPr>
    </w:lvl>
    <w:lvl w:ilvl="8" w:tplc="140A0005">
      <w:start w:val="1"/>
      <w:numFmt w:val="bullet"/>
      <w:lvlText w:val=""/>
      <w:lvlJc w:val="left"/>
      <w:pPr>
        <w:ind w:left="6530" w:hanging="360"/>
      </w:pPr>
      <w:rPr>
        <w:rFonts w:ascii="Wingdings" w:hAnsi="Wingdings" w:hint="default"/>
      </w:rPr>
    </w:lvl>
  </w:abstractNum>
  <w:abstractNum w:abstractNumId="11" w15:restartNumberingAfterBreak="0">
    <w:nsid w:val="309908AA"/>
    <w:multiLevelType w:val="hybridMultilevel"/>
    <w:tmpl w:val="1FD482A8"/>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30D103E2"/>
    <w:multiLevelType w:val="hybridMultilevel"/>
    <w:tmpl w:val="F5B821BC"/>
    <w:lvl w:ilvl="0" w:tplc="30D0FA70">
      <w:start w:val="1"/>
      <w:numFmt w:val="lowerRoman"/>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25D5496"/>
    <w:multiLevelType w:val="hybridMultilevel"/>
    <w:tmpl w:val="590A631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54D7841"/>
    <w:multiLevelType w:val="hybridMultilevel"/>
    <w:tmpl w:val="6124FB58"/>
    <w:lvl w:ilvl="0" w:tplc="3A6A802A">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39A40146"/>
    <w:multiLevelType w:val="hybridMultilevel"/>
    <w:tmpl w:val="F880FA42"/>
    <w:lvl w:ilvl="0" w:tplc="016AAB4C">
      <w:start w:val="1"/>
      <w:numFmt w:val="lowerRoman"/>
      <w:lvlText w:val="%1)"/>
      <w:lvlJc w:val="left"/>
      <w:pPr>
        <w:ind w:left="1430" w:hanging="720"/>
      </w:pPr>
      <w:rPr>
        <w:rFonts w:hint="default"/>
      </w:rPr>
    </w:lvl>
    <w:lvl w:ilvl="1" w:tplc="140A0019" w:tentative="1">
      <w:start w:val="1"/>
      <w:numFmt w:val="lowerLetter"/>
      <w:lvlText w:val="%2."/>
      <w:lvlJc w:val="left"/>
      <w:pPr>
        <w:ind w:left="1790" w:hanging="360"/>
      </w:pPr>
    </w:lvl>
    <w:lvl w:ilvl="2" w:tplc="140A001B" w:tentative="1">
      <w:start w:val="1"/>
      <w:numFmt w:val="lowerRoman"/>
      <w:lvlText w:val="%3."/>
      <w:lvlJc w:val="right"/>
      <w:pPr>
        <w:ind w:left="2510" w:hanging="180"/>
      </w:pPr>
    </w:lvl>
    <w:lvl w:ilvl="3" w:tplc="140A000F" w:tentative="1">
      <w:start w:val="1"/>
      <w:numFmt w:val="decimal"/>
      <w:lvlText w:val="%4."/>
      <w:lvlJc w:val="left"/>
      <w:pPr>
        <w:ind w:left="3230" w:hanging="360"/>
      </w:pPr>
    </w:lvl>
    <w:lvl w:ilvl="4" w:tplc="140A0019" w:tentative="1">
      <w:start w:val="1"/>
      <w:numFmt w:val="lowerLetter"/>
      <w:lvlText w:val="%5."/>
      <w:lvlJc w:val="left"/>
      <w:pPr>
        <w:ind w:left="3950" w:hanging="360"/>
      </w:pPr>
    </w:lvl>
    <w:lvl w:ilvl="5" w:tplc="140A001B" w:tentative="1">
      <w:start w:val="1"/>
      <w:numFmt w:val="lowerRoman"/>
      <w:lvlText w:val="%6."/>
      <w:lvlJc w:val="right"/>
      <w:pPr>
        <w:ind w:left="4670" w:hanging="180"/>
      </w:pPr>
    </w:lvl>
    <w:lvl w:ilvl="6" w:tplc="140A000F" w:tentative="1">
      <w:start w:val="1"/>
      <w:numFmt w:val="decimal"/>
      <w:lvlText w:val="%7."/>
      <w:lvlJc w:val="left"/>
      <w:pPr>
        <w:ind w:left="5390" w:hanging="360"/>
      </w:pPr>
    </w:lvl>
    <w:lvl w:ilvl="7" w:tplc="140A0019" w:tentative="1">
      <w:start w:val="1"/>
      <w:numFmt w:val="lowerLetter"/>
      <w:lvlText w:val="%8."/>
      <w:lvlJc w:val="left"/>
      <w:pPr>
        <w:ind w:left="6110" w:hanging="360"/>
      </w:pPr>
    </w:lvl>
    <w:lvl w:ilvl="8" w:tplc="140A001B" w:tentative="1">
      <w:start w:val="1"/>
      <w:numFmt w:val="lowerRoman"/>
      <w:lvlText w:val="%9."/>
      <w:lvlJc w:val="right"/>
      <w:pPr>
        <w:ind w:left="6830" w:hanging="180"/>
      </w:pPr>
    </w:lvl>
  </w:abstractNum>
  <w:abstractNum w:abstractNumId="16" w15:restartNumberingAfterBreak="0">
    <w:nsid w:val="3DAF1CA6"/>
    <w:multiLevelType w:val="hybridMultilevel"/>
    <w:tmpl w:val="5BCCFC6C"/>
    <w:lvl w:ilvl="0" w:tplc="140A0015">
      <w:start w:val="1"/>
      <w:numFmt w:val="upperLetter"/>
      <w:lvlText w:val="%1."/>
      <w:lvlJc w:val="left"/>
      <w:pPr>
        <w:ind w:left="1215" w:hanging="360"/>
      </w:pPr>
      <w:rPr>
        <w:rFonts w:hint="default"/>
      </w:rPr>
    </w:lvl>
    <w:lvl w:ilvl="1" w:tplc="140A0019">
      <w:start w:val="1"/>
      <w:numFmt w:val="lowerLetter"/>
      <w:lvlText w:val="%2."/>
      <w:lvlJc w:val="left"/>
      <w:pPr>
        <w:ind w:left="1935" w:hanging="360"/>
      </w:pPr>
    </w:lvl>
    <w:lvl w:ilvl="2" w:tplc="140A001B">
      <w:start w:val="1"/>
      <w:numFmt w:val="lowerRoman"/>
      <w:lvlText w:val="%3."/>
      <w:lvlJc w:val="right"/>
      <w:pPr>
        <w:ind w:left="2655" w:hanging="180"/>
      </w:pPr>
    </w:lvl>
    <w:lvl w:ilvl="3" w:tplc="140A000F">
      <w:start w:val="1"/>
      <w:numFmt w:val="decimal"/>
      <w:lvlText w:val="%4."/>
      <w:lvlJc w:val="left"/>
      <w:pPr>
        <w:ind w:left="3375" w:hanging="360"/>
      </w:pPr>
    </w:lvl>
    <w:lvl w:ilvl="4" w:tplc="140A0019">
      <w:start w:val="1"/>
      <w:numFmt w:val="lowerLetter"/>
      <w:lvlText w:val="%5."/>
      <w:lvlJc w:val="left"/>
      <w:pPr>
        <w:ind w:left="4095" w:hanging="360"/>
      </w:pPr>
    </w:lvl>
    <w:lvl w:ilvl="5" w:tplc="140A001B">
      <w:start w:val="1"/>
      <w:numFmt w:val="lowerRoman"/>
      <w:lvlText w:val="%6."/>
      <w:lvlJc w:val="right"/>
      <w:pPr>
        <w:ind w:left="4815" w:hanging="180"/>
      </w:pPr>
    </w:lvl>
    <w:lvl w:ilvl="6" w:tplc="140A000F" w:tentative="1">
      <w:start w:val="1"/>
      <w:numFmt w:val="decimal"/>
      <w:lvlText w:val="%7."/>
      <w:lvlJc w:val="left"/>
      <w:pPr>
        <w:ind w:left="5535" w:hanging="360"/>
      </w:pPr>
    </w:lvl>
    <w:lvl w:ilvl="7" w:tplc="140A0019" w:tentative="1">
      <w:start w:val="1"/>
      <w:numFmt w:val="lowerLetter"/>
      <w:lvlText w:val="%8."/>
      <w:lvlJc w:val="left"/>
      <w:pPr>
        <w:ind w:left="6255" w:hanging="360"/>
      </w:pPr>
    </w:lvl>
    <w:lvl w:ilvl="8" w:tplc="140A001B" w:tentative="1">
      <w:start w:val="1"/>
      <w:numFmt w:val="lowerRoman"/>
      <w:lvlText w:val="%9."/>
      <w:lvlJc w:val="right"/>
      <w:pPr>
        <w:ind w:left="6975" w:hanging="180"/>
      </w:pPr>
    </w:lvl>
  </w:abstractNum>
  <w:abstractNum w:abstractNumId="17" w15:restartNumberingAfterBreak="0">
    <w:nsid w:val="3E2316A0"/>
    <w:multiLevelType w:val="hybridMultilevel"/>
    <w:tmpl w:val="EC0895A0"/>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48965AD2"/>
    <w:multiLevelType w:val="hybridMultilevel"/>
    <w:tmpl w:val="FEE08248"/>
    <w:lvl w:ilvl="0" w:tplc="79F63482">
      <w:start w:val="1"/>
      <w:numFmt w:val="decimal"/>
      <w:lvlText w:val="%1."/>
      <w:lvlJc w:val="left"/>
      <w:pPr>
        <w:ind w:left="786" w:hanging="360"/>
      </w:pPr>
      <w:rPr>
        <w:rFonts w:ascii="Verdana" w:hAnsi="Verdana" w:hint="default"/>
        <w:b w:val="0"/>
        <w:bCs w:val="0"/>
        <w:color w:val="auto"/>
        <w:sz w:val="20"/>
        <w:szCs w:val="20"/>
      </w:rPr>
    </w:lvl>
    <w:lvl w:ilvl="1" w:tplc="140A0019" w:tentative="1">
      <w:start w:val="1"/>
      <w:numFmt w:val="lowerLetter"/>
      <w:lvlText w:val="%2."/>
      <w:lvlJc w:val="left"/>
      <w:pPr>
        <w:ind w:left="1506" w:hanging="360"/>
      </w:pPr>
    </w:lvl>
    <w:lvl w:ilvl="2" w:tplc="140A001B" w:tentative="1">
      <w:start w:val="1"/>
      <w:numFmt w:val="lowerRoman"/>
      <w:lvlText w:val="%3."/>
      <w:lvlJc w:val="right"/>
      <w:pPr>
        <w:ind w:left="2226" w:hanging="180"/>
      </w:pPr>
    </w:lvl>
    <w:lvl w:ilvl="3" w:tplc="140A000F" w:tentative="1">
      <w:start w:val="1"/>
      <w:numFmt w:val="decimal"/>
      <w:lvlText w:val="%4."/>
      <w:lvlJc w:val="left"/>
      <w:pPr>
        <w:ind w:left="2946" w:hanging="360"/>
      </w:pPr>
    </w:lvl>
    <w:lvl w:ilvl="4" w:tplc="140A0019" w:tentative="1">
      <w:start w:val="1"/>
      <w:numFmt w:val="lowerLetter"/>
      <w:lvlText w:val="%5."/>
      <w:lvlJc w:val="left"/>
      <w:pPr>
        <w:ind w:left="3666" w:hanging="360"/>
      </w:pPr>
    </w:lvl>
    <w:lvl w:ilvl="5" w:tplc="140A001B" w:tentative="1">
      <w:start w:val="1"/>
      <w:numFmt w:val="lowerRoman"/>
      <w:lvlText w:val="%6."/>
      <w:lvlJc w:val="right"/>
      <w:pPr>
        <w:ind w:left="4386" w:hanging="180"/>
      </w:pPr>
    </w:lvl>
    <w:lvl w:ilvl="6" w:tplc="140A000F" w:tentative="1">
      <w:start w:val="1"/>
      <w:numFmt w:val="decimal"/>
      <w:lvlText w:val="%7."/>
      <w:lvlJc w:val="left"/>
      <w:pPr>
        <w:ind w:left="5106" w:hanging="360"/>
      </w:pPr>
    </w:lvl>
    <w:lvl w:ilvl="7" w:tplc="140A0019" w:tentative="1">
      <w:start w:val="1"/>
      <w:numFmt w:val="lowerLetter"/>
      <w:lvlText w:val="%8."/>
      <w:lvlJc w:val="left"/>
      <w:pPr>
        <w:ind w:left="5826" w:hanging="360"/>
      </w:pPr>
    </w:lvl>
    <w:lvl w:ilvl="8" w:tplc="140A001B" w:tentative="1">
      <w:start w:val="1"/>
      <w:numFmt w:val="lowerRoman"/>
      <w:lvlText w:val="%9."/>
      <w:lvlJc w:val="right"/>
      <w:pPr>
        <w:ind w:left="6546" w:hanging="180"/>
      </w:pPr>
    </w:lvl>
  </w:abstractNum>
  <w:abstractNum w:abstractNumId="19" w15:restartNumberingAfterBreak="0">
    <w:nsid w:val="4AD5015C"/>
    <w:multiLevelType w:val="hybridMultilevel"/>
    <w:tmpl w:val="7F7ACA8A"/>
    <w:lvl w:ilvl="0" w:tplc="140A0015">
      <w:start w:val="1"/>
      <w:numFmt w:val="upperLetter"/>
      <w:lvlText w:val="%1."/>
      <w:lvlJc w:val="left"/>
      <w:pPr>
        <w:ind w:left="1215" w:hanging="360"/>
      </w:pPr>
      <w:rPr>
        <w:rFonts w:hint="default"/>
      </w:rPr>
    </w:lvl>
    <w:lvl w:ilvl="1" w:tplc="140A0019">
      <w:start w:val="1"/>
      <w:numFmt w:val="lowerLetter"/>
      <w:lvlText w:val="%2."/>
      <w:lvlJc w:val="left"/>
      <w:pPr>
        <w:ind w:left="1935" w:hanging="360"/>
      </w:pPr>
    </w:lvl>
    <w:lvl w:ilvl="2" w:tplc="140A001B">
      <w:start w:val="1"/>
      <w:numFmt w:val="lowerRoman"/>
      <w:lvlText w:val="%3."/>
      <w:lvlJc w:val="right"/>
      <w:pPr>
        <w:ind w:left="2655" w:hanging="180"/>
      </w:pPr>
    </w:lvl>
    <w:lvl w:ilvl="3" w:tplc="140A000F">
      <w:start w:val="1"/>
      <w:numFmt w:val="decimal"/>
      <w:lvlText w:val="%4."/>
      <w:lvlJc w:val="left"/>
      <w:pPr>
        <w:ind w:left="3375" w:hanging="360"/>
      </w:pPr>
    </w:lvl>
    <w:lvl w:ilvl="4" w:tplc="140A0019">
      <w:start w:val="1"/>
      <w:numFmt w:val="lowerLetter"/>
      <w:lvlText w:val="%5."/>
      <w:lvlJc w:val="left"/>
      <w:pPr>
        <w:ind w:left="4095" w:hanging="360"/>
      </w:pPr>
    </w:lvl>
    <w:lvl w:ilvl="5" w:tplc="140A001B">
      <w:start w:val="1"/>
      <w:numFmt w:val="lowerRoman"/>
      <w:lvlText w:val="%6."/>
      <w:lvlJc w:val="right"/>
      <w:pPr>
        <w:ind w:left="4815" w:hanging="180"/>
      </w:pPr>
    </w:lvl>
    <w:lvl w:ilvl="6" w:tplc="140A000F" w:tentative="1">
      <w:start w:val="1"/>
      <w:numFmt w:val="decimal"/>
      <w:lvlText w:val="%7."/>
      <w:lvlJc w:val="left"/>
      <w:pPr>
        <w:ind w:left="5535" w:hanging="360"/>
      </w:pPr>
    </w:lvl>
    <w:lvl w:ilvl="7" w:tplc="140A0019" w:tentative="1">
      <w:start w:val="1"/>
      <w:numFmt w:val="lowerLetter"/>
      <w:lvlText w:val="%8."/>
      <w:lvlJc w:val="left"/>
      <w:pPr>
        <w:ind w:left="6255" w:hanging="360"/>
      </w:pPr>
    </w:lvl>
    <w:lvl w:ilvl="8" w:tplc="140A001B" w:tentative="1">
      <w:start w:val="1"/>
      <w:numFmt w:val="lowerRoman"/>
      <w:lvlText w:val="%9."/>
      <w:lvlJc w:val="right"/>
      <w:pPr>
        <w:ind w:left="6975" w:hanging="180"/>
      </w:pPr>
    </w:lvl>
  </w:abstractNum>
  <w:abstractNum w:abstractNumId="20" w15:restartNumberingAfterBreak="0">
    <w:nsid w:val="4CB2054A"/>
    <w:multiLevelType w:val="hybridMultilevel"/>
    <w:tmpl w:val="27A8CDD6"/>
    <w:lvl w:ilvl="0" w:tplc="140A000F">
      <w:start w:val="1"/>
      <w:numFmt w:val="decimal"/>
      <w:lvlText w:val="%1."/>
      <w:lvlJc w:val="left"/>
      <w:pPr>
        <w:ind w:left="36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51DC1D0C"/>
    <w:multiLevelType w:val="hybridMultilevel"/>
    <w:tmpl w:val="9B4EA73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52321300"/>
    <w:multiLevelType w:val="hybridMultilevel"/>
    <w:tmpl w:val="3C4C9F16"/>
    <w:lvl w:ilvl="0" w:tplc="ADA4E026">
      <w:start w:val="1"/>
      <w:numFmt w:val="decimal"/>
      <w:lvlText w:val="%1."/>
      <w:lvlJc w:val="left"/>
      <w:pPr>
        <w:ind w:left="4820" w:hanging="709"/>
      </w:pPr>
      <w:rPr>
        <w:rFonts w:ascii="Verdana" w:eastAsia="Verdana" w:hAnsi="Verdana" w:cs="Verdana" w:hint="default"/>
        <w:b w:val="0"/>
        <w:bCs w:val="0"/>
        <w:i w:val="0"/>
        <w:iCs w:val="0"/>
        <w:spacing w:val="-1"/>
        <w:w w:val="100"/>
        <w:sz w:val="20"/>
        <w:szCs w:val="20"/>
        <w:lang w:val="es-ES" w:eastAsia="en-US" w:bidi="ar-SA"/>
      </w:rPr>
    </w:lvl>
    <w:lvl w:ilvl="1" w:tplc="D4BA7E76">
      <w:start w:val="1"/>
      <w:numFmt w:val="lowerLetter"/>
      <w:lvlText w:val="%2)"/>
      <w:lvlJc w:val="left"/>
      <w:pPr>
        <w:ind w:left="5540" w:hanging="361"/>
      </w:pPr>
      <w:rPr>
        <w:rFonts w:ascii="Verdana" w:eastAsia="Verdana" w:hAnsi="Verdana" w:cs="Verdana" w:hint="default"/>
        <w:b w:val="0"/>
        <w:bCs w:val="0"/>
        <w:i w:val="0"/>
        <w:iCs w:val="0"/>
        <w:spacing w:val="-1"/>
        <w:w w:val="100"/>
        <w:sz w:val="20"/>
        <w:szCs w:val="20"/>
        <w:lang w:val="es-ES" w:eastAsia="en-US" w:bidi="ar-SA"/>
      </w:rPr>
    </w:lvl>
    <w:lvl w:ilvl="2" w:tplc="F06E53F6">
      <w:numFmt w:val="bullet"/>
      <w:lvlText w:val="•"/>
      <w:lvlJc w:val="left"/>
      <w:pPr>
        <w:ind w:left="6454" w:hanging="361"/>
      </w:pPr>
      <w:rPr>
        <w:rFonts w:hint="default"/>
        <w:lang w:val="es-ES" w:eastAsia="en-US" w:bidi="ar-SA"/>
      </w:rPr>
    </w:lvl>
    <w:lvl w:ilvl="3" w:tplc="556A441E">
      <w:numFmt w:val="bullet"/>
      <w:lvlText w:val="•"/>
      <w:lvlJc w:val="left"/>
      <w:pPr>
        <w:ind w:left="7370" w:hanging="361"/>
      </w:pPr>
      <w:rPr>
        <w:rFonts w:hint="default"/>
        <w:lang w:val="es-ES" w:eastAsia="en-US" w:bidi="ar-SA"/>
      </w:rPr>
    </w:lvl>
    <w:lvl w:ilvl="4" w:tplc="A0EAAD1E">
      <w:numFmt w:val="bullet"/>
      <w:lvlText w:val="•"/>
      <w:lvlJc w:val="left"/>
      <w:pPr>
        <w:ind w:left="8285" w:hanging="361"/>
      </w:pPr>
      <w:rPr>
        <w:rFonts w:hint="default"/>
        <w:lang w:val="es-ES" w:eastAsia="en-US" w:bidi="ar-SA"/>
      </w:rPr>
    </w:lvl>
    <w:lvl w:ilvl="5" w:tplc="07F0D332">
      <w:numFmt w:val="bullet"/>
      <w:lvlText w:val="•"/>
      <w:lvlJc w:val="left"/>
      <w:pPr>
        <w:ind w:left="9201" w:hanging="361"/>
      </w:pPr>
      <w:rPr>
        <w:rFonts w:hint="default"/>
        <w:lang w:val="es-ES" w:eastAsia="en-US" w:bidi="ar-SA"/>
      </w:rPr>
    </w:lvl>
    <w:lvl w:ilvl="6" w:tplc="A20A0804">
      <w:numFmt w:val="bullet"/>
      <w:lvlText w:val="•"/>
      <w:lvlJc w:val="left"/>
      <w:pPr>
        <w:ind w:left="10116" w:hanging="361"/>
      </w:pPr>
      <w:rPr>
        <w:rFonts w:hint="default"/>
        <w:lang w:val="es-ES" w:eastAsia="en-US" w:bidi="ar-SA"/>
      </w:rPr>
    </w:lvl>
    <w:lvl w:ilvl="7" w:tplc="C06807C2">
      <w:numFmt w:val="bullet"/>
      <w:lvlText w:val="•"/>
      <w:lvlJc w:val="left"/>
      <w:pPr>
        <w:ind w:left="11032" w:hanging="361"/>
      </w:pPr>
      <w:rPr>
        <w:rFonts w:hint="default"/>
        <w:lang w:val="es-ES" w:eastAsia="en-US" w:bidi="ar-SA"/>
      </w:rPr>
    </w:lvl>
    <w:lvl w:ilvl="8" w:tplc="2218693E">
      <w:numFmt w:val="bullet"/>
      <w:lvlText w:val="•"/>
      <w:lvlJc w:val="left"/>
      <w:pPr>
        <w:ind w:left="11947" w:hanging="361"/>
      </w:pPr>
      <w:rPr>
        <w:rFonts w:hint="default"/>
        <w:lang w:val="es-ES" w:eastAsia="en-US" w:bidi="ar-SA"/>
      </w:rPr>
    </w:lvl>
  </w:abstractNum>
  <w:abstractNum w:abstractNumId="23" w15:restartNumberingAfterBreak="0">
    <w:nsid w:val="554B5B14"/>
    <w:multiLevelType w:val="hybridMultilevel"/>
    <w:tmpl w:val="BF2A3F4C"/>
    <w:lvl w:ilvl="0" w:tplc="BC220212">
      <w:start w:val="1"/>
      <w:numFmt w:val="lowerLetter"/>
      <w:lvlText w:val="%1."/>
      <w:lvlJc w:val="left"/>
      <w:pPr>
        <w:ind w:left="720" w:hanging="360"/>
      </w:pPr>
      <w:rPr>
        <w:rFonts w:ascii="Calibri" w:eastAsia="Calibri" w:hAnsi="Calibri" w:cs="Times New Roman"/>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4" w15:restartNumberingAfterBreak="0">
    <w:nsid w:val="55B41B6B"/>
    <w:multiLevelType w:val="hybridMultilevel"/>
    <w:tmpl w:val="C7F24256"/>
    <w:lvl w:ilvl="0" w:tplc="D5883D78">
      <w:start w:val="1"/>
      <w:numFmt w:val="upperLetter"/>
      <w:lvlText w:val="%1."/>
      <w:lvlJc w:val="left"/>
      <w:pPr>
        <w:ind w:left="928" w:hanging="360"/>
      </w:pPr>
      <w:rPr>
        <w:rFonts w:hint="default"/>
      </w:rPr>
    </w:lvl>
    <w:lvl w:ilvl="1" w:tplc="140A0019" w:tentative="1">
      <w:start w:val="1"/>
      <w:numFmt w:val="lowerLetter"/>
      <w:lvlText w:val="%2."/>
      <w:lvlJc w:val="left"/>
      <w:pPr>
        <w:ind w:left="1931" w:hanging="360"/>
      </w:pPr>
    </w:lvl>
    <w:lvl w:ilvl="2" w:tplc="140A001B" w:tentative="1">
      <w:start w:val="1"/>
      <w:numFmt w:val="lowerRoman"/>
      <w:lvlText w:val="%3."/>
      <w:lvlJc w:val="right"/>
      <w:pPr>
        <w:ind w:left="2651" w:hanging="180"/>
      </w:pPr>
    </w:lvl>
    <w:lvl w:ilvl="3" w:tplc="140A000F" w:tentative="1">
      <w:start w:val="1"/>
      <w:numFmt w:val="decimal"/>
      <w:lvlText w:val="%4."/>
      <w:lvlJc w:val="left"/>
      <w:pPr>
        <w:ind w:left="3371" w:hanging="360"/>
      </w:pPr>
    </w:lvl>
    <w:lvl w:ilvl="4" w:tplc="140A0019" w:tentative="1">
      <w:start w:val="1"/>
      <w:numFmt w:val="lowerLetter"/>
      <w:lvlText w:val="%5."/>
      <w:lvlJc w:val="left"/>
      <w:pPr>
        <w:ind w:left="4091" w:hanging="360"/>
      </w:pPr>
    </w:lvl>
    <w:lvl w:ilvl="5" w:tplc="140A001B" w:tentative="1">
      <w:start w:val="1"/>
      <w:numFmt w:val="lowerRoman"/>
      <w:lvlText w:val="%6."/>
      <w:lvlJc w:val="right"/>
      <w:pPr>
        <w:ind w:left="4811" w:hanging="180"/>
      </w:pPr>
    </w:lvl>
    <w:lvl w:ilvl="6" w:tplc="140A000F" w:tentative="1">
      <w:start w:val="1"/>
      <w:numFmt w:val="decimal"/>
      <w:lvlText w:val="%7."/>
      <w:lvlJc w:val="left"/>
      <w:pPr>
        <w:ind w:left="5531" w:hanging="360"/>
      </w:pPr>
    </w:lvl>
    <w:lvl w:ilvl="7" w:tplc="140A0019" w:tentative="1">
      <w:start w:val="1"/>
      <w:numFmt w:val="lowerLetter"/>
      <w:lvlText w:val="%8."/>
      <w:lvlJc w:val="left"/>
      <w:pPr>
        <w:ind w:left="6251" w:hanging="360"/>
      </w:pPr>
    </w:lvl>
    <w:lvl w:ilvl="8" w:tplc="140A001B" w:tentative="1">
      <w:start w:val="1"/>
      <w:numFmt w:val="lowerRoman"/>
      <w:lvlText w:val="%9."/>
      <w:lvlJc w:val="right"/>
      <w:pPr>
        <w:ind w:left="6971" w:hanging="180"/>
      </w:pPr>
    </w:lvl>
  </w:abstractNum>
  <w:abstractNum w:abstractNumId="25" w15:restartNumberingAfterBreak="0">
    <w:nsid w:val="58C66F14"/>
    <w:multiLevelType w:val="hybridMultilevel"/>
    <w:tmpl w:val="32B6E38E"/>
    <w:lvl w:ilvl="0" w:tplc="62D64914">
      <w:start w:val="1"/>
      <w:numFmt w:val="decimal"/>
      <w:lvlText w:val="%1."/>
      <w:lvlJc w:val="left"/>
      <w:pPr>
        <w:ind w:left="5464" w:hanging="360"/>
      </w:pPr>
      <w:rPr>
        <w:rFonts w:ascii="Verdana" w:hAnsi="Verdana" w:cstheme="minorBidi" w:hint="default"/>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5F0E7125"/>
    <w:multiLevelType w:val="hybridMultilevel"/>
    <w:tmpl w:val="17CC6A2A"/>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5F3F4DD7"/>
    <w:multiLevelType w:val="hybridMultilevel"/>
    <w:tmpl w:val="1328307C"/>
    <w:lvl w:ilvl="0" w:tplc="140A0005">
      <w:start w:val="1"/>
      <w:numFmt w:val="bullet"/>
      <w:lvlText w:val=""/>
      <w:lvlJc w:val="left"/>
      <w:pPr>
        <w:ind w:left="720" w:hanging="360"/>
      </w:pPr>
      <w:rPr>
        <w:rFonts w:ascii="Wingdings" w:hAnsi="Wingdings"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28" w15:restartNumberingAfterBreak="0">
    <w:nsid w:val="616F1EF3"/>
    <w:multiLevelType w:val="hybridMultilevel"/>
    <w:tmpl w:val="F2F42C08"/>
    <w:lvl w:ilvl="0" w:tplc="D4BA7E76">
      <w:start w:val="1"/>
      <w:numFmt w:val="lowerLetter"/>
      <w:lvlText w:val="%1)"/>
      <w:lvlJc w:val="left"/>
      <w:pPr>
        <w:ind w:left="841" w:hanging="361"/>
      </w:pPr>
      <w:rPr>
        <w:rFonts w:ascii="Verdana" w:eastAsia="Verdana" w:hAnsi="Verdana" w:cs="Verdana" w:hint="default"/>
        <w:b w:val="0"/>
        <w:bCs w:val="0"/>
        <w:i w:val="0"/>
        <w:iCs w:val="0"/>
        <w:spacing w:val="-1"/>
        <w:w w:val="100"/>
        <w:sz w:val="20"/>
        <w:szCs w:val="20"/>
        <w:lang w:val="es-ES" w:eastAsia="en-US" w:bidi="ar-SA"/>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63366108"/>
    <w:multiLevelType w:val="hybridMultilevel"/>
    <w:tmpl w:val="78FE2C46"/>
    <w:lvl w:ilvl="0" w:tplc="140A000F">
      <w:start w:val="1"/>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30" w15:restartNumberingAfterBreak="0">
    <w:nsid w:val="67DB0AC2"/>
    <w:multiLevelType w:val="hybridMultilevel"/>
    <w:tmpl w:val="B812086C"/>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15:restartNumberingAfterBreak="0">
    <w:nsid w:val="69C90304"/>
    <w:multiLevelType w:val="hybridMultilevel"/>
    <w:tmpl w:val="A5E0EBD4"/>
    <w:lvl w:ilvl="0" w:tplc="993C1F14">
      <w:start w:val="1"/>
      <w:numFmt w:val="lowerRoman"/>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15:restartNumberingAfterBreak="0">
    <w:nsid w:val="6C177EB5"/>
    <w:multiLevelType w:val="hybridMultilevel"/>
    <w:tmpl w:val="638AFE10"/>
    <w:lvl w:ilvl="0" w:tplc="140A0015">
      <w:start w:val="1"/>
      <w:numFmt w:val="upp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 w15:restartNumberingAfterBreak="0">
    <w:nsid w:val="70CC0FD5"/>
    <w:multiLevelType w:val="multilevel"/>
    <w:tmpl w:val="26EEEE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C0065C3"/>
    <w:multiLevelType w:val="hybridMultilevel"/>
    <w:tmpl w:val="5FE082AE"/>
    <w:lvl w:ilvl="0" w:tplc="140A0019">
      <w:start w:val="3"/>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5" w15:restartNumberingAfterBreak="0">
    <w:nsid w:val="7C58083C"/>
    <w:multiLevelType w:val="hybridMultilevel"/>
    <w:tmpl w:val="25BCE59C"/>
    <w:lvl w:ilvl="0" w:tplc="140A000F">
      <w:start w:val="1"/>
      <w:numFmt w:val="decimal"/>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36" w15:restartNumberingAfterBreak="0">
    <w:nsid w:val="7EFD7A29"/>
    <w:multiLevelType w:val="hybridMultilevel"/>
    <w:tmpl w:val="7EC8300C"/>
    <w:lvl w:ilvl="0" w:tplc="B426CCE8">
      <w:start w:val="1"/>
      <w:numFmt w:val="decimal"/>
      <w:lvlText w:val="%1."/>
      <w:lvlJc w:val="left"/>
      <w:pPr>
        <w:ind w:left="1353" w:hanging="360"/>
      </w:pPr>
      <w:rPr>
        <w:rFonts w:ascii="Verdana" w:hAnsi="Verdana" w:hint="default"/>
        <w:b w:val="0"/>
        <w:i w:val="0"/>
        <w:color w:val="auto"/>
        <w:sz w:val="20"/>
        <w:szCs w:val="20"/>
      </w:rPr>
    </w:lvl>
    <w:lvl w:ilvl="1" w:tplc="140A0019" w:tentative="1">
      <w:start w:val="1"/>
      <w:numFmt w:val="lowerLetter"/>
      <w:lvlText w:val="%2."/>
      <w:lvlJc w:val="left"/>
      <w:pPr>
        <w:ind w:left="1222" w:hanging="360"/>
      </w:pPr>
    </w:lvl>
    <w:lvl w:ilvl="2" w:tplc="140A001B" w:tentative="1">
      <w:start w:val="1"/>
      <w:numFmt w:val="lowerRoman"/>
      <w:lvlText w:val="%3."/>
      <w:lvlJc w:val="right"/>
      <w:pPr>
        <w:ind w:left="1942" w:hanging="180"/>
      </w:pPr>
    </w:lvl>
    <w:lvl w:ilvl="3" w:tplc="140A000F" w:tentative="1">
      <w:start w:val="1"/>
      <w:numFmt w:val="decimal"/>
      <w:lvlText w:val="%4."/>
      <w:lvlJc w:val="left"/>
      <w:pPr>
        <w:ind w:left="2662" w:hanging="360"/>
      </w:pPr>
    </w:lvl>
    <w:lvl w:ilvl="4" w:tplc="140A0019" w:tentative="1">
      <w:start w:val="1"/>
      <w:numFmt w:val="lowerLetter"/>
      <w:lvlText w:val="%5."/>
      <w:lvlJc w:val="left"/>
      <w:pPr>
        <w:ind w:left="3382" w:hanging="360"/>
      </w:pPr>
    </w:lvl>
    <w:lvl w:ilvl="5" w:tplc="140A001B" w:tentative="1">
      <w:start w:val="1"/>
      <w:numFmt w:val="lowerRoman"/>
      <w:lvlText w:val="%6."/>
      <w:lvlJc w:val="right"/>
      <w:pPr>
        <w:ind w:left="4102" w:hanging="180"/>
      </w:pPr>
    </w:lvl>
    <w:lvl w:ilvl="6" w:tplc="140A000F" w:tentative="1">
      <w:start w:val="1"/>
      <w:numFmt w:val="decimal"/>
      <w:lvlText w:val="%7."/>
      <w:lvlJc w:val="left"/>
      <w:pPr>
        <w:ind w:left="4822" w:hanging="360"/>
      </w:pPr>
    </w:lvl>
    <w:lvl w:ilvl="7" w:tplc="140A0019" w:tentative="1">
      <w:start w:val="1"/>
      <w:numFmt w:val="lowerLetter"/>
      <w:lvlText w:val="%8."/>
      <w:lvlJc w:val="left"/>
      <w:pPr>
        <w:ind w:left="5542" w:hanging="360"/>
      </w:pPr>
    </w:lvl>
    <w:lvl w:ilvl="8" w:tplc="140A001B" w:tentative="1">
      <w:start w:val="1"/>
      <w:numFmt w:val="lowerRoman"/>
      <w:lvlText w:val="%9."/>
      <w:lvlJc w:val="right"/>
      <w:pPr>
        <w:ind w:left="6262" w:hanging="180"/>
      </w:pPr>
    </w:lvl>
  </w:abstractNum>
  <w:num w:numId="1" w16cid:durableId="2114090816">
    <w:abstractNumId w:val="29"/>
  </w:num>
  <w:num w:numId="2" w16cid:durableId="678698549">
    <w:abstractNumId w:val="22"/>
  </w:num>
  <w:num w:numId="3" w16cid:durableId="476722554">
    <w:abstractNumId w:val="36"/>
  </w:num>
  <w:num w:numId="4" w16cid:durableId="204877680">
    <w:abstractNumId w:val="20"/>
  </w:num>
  <w:num w:numId="5" w16cid:durableId="1239100474">
    <w:abstractNumId w:val="19"/>
  </w:num>
  <w:num w:numId="6" w16cid:durableId="599147215">
    <w:abstractNumId w:val="3"/>
  </w:num>
  <w:num w:numId="7" w16cid:durableId="1574121079">
    <w:abstractNumId w:val="16"/>
  </w:num>
  <w:num w:numId="8" w16cid:durableId="1498350727">
    <w:abstractNumId w:val="24"/>
  </w:num>
  <w:num w:numId="9" w16cid:durableId="1915778881">
    <w:abstractNumId w:val="32"/>
  </w:num>
  <w:num w:numId="10" w16cid:durableId="1706756094">
    <w:abstractNumId w:val="34"/>
  </w:num>
  <w:num w:numId="11" w16cid:durableId="2076463691">
    <w:abstractNumId w:val="11"/>
  </w:num>
  <w:num w:numId="12" w16cid:durableId="193425307">
    <w:abstractNumId w:val="35"/>
  </w:num>
  <w:num w:numId="13" w16cid:durableId="1201824755">
    <w:abstractNumId w:val="10"/>
  </w:num>
  <w:num w:numId="14" w16cid:durableId="951670861">
    <w:abstractNumId w:val="8"/>
  </w:num>
  <w:num w:numId="15" w16cid:durableId="1912084036">
    <w:abstractNumId w:val="31"/>
  </w:num>
  <w:num w:numId="16" w16cid:durableId="249195774">
    <w:abstractNumId w:val="4"/>
  </w:num>
  <w:num w:numId="17" w16cid:durableId="862210342">
    <w:abstractNumId w:val="26"/>
  </w:num>
  <w:num w:numId="18" w16cid:durableId="1928035080">
    <w:abstractNumId w:val="21"/>
  </w:num>
  <w:num w:numId="19" w16cid:durableId="2146850121">
    <w:abstractNumId w:val="25"/>
  </w:num>
  <w:num w:numId="20" w16cid:durableId="1737240456">
    <w:abstractNumId w:val="17"/>
  </w:num>
  <w:num w:numId="21" w16cid:durableId="1024943914">
    <w:abstractNumId w:val="7"/>
  </w:num>
  <w:num w:numId="22" w16cid:durableId="1773357608">
    <w:abstractNumId w:val="33"/>
  </w:num>
  <w:num w:numId="23" w16cid:durableId="1103838949">
    <w:abstractNumId w:val="9"/>
  </w:num>
  <w:num w:numId="24" w16cid:durableId="1871188109">
    <w:abstractNumId w:val="14"/>
  </w:num>
  <w:num w:numId="25" w16cid:durableId="1001392594">
    <w:abstractNumId w:val="30"/>
  </w:num>
  <w:num w:numId="26" w16cid:durableId="1248466746">
    <w:abstractNumId w:val="18"/>
  </w:num>
  <w:num w:numId="27" w16cid:durableId="406419597">
    <w:abstractNumId w:val="5"/>
  </w:num>
  <w:num w:numId="28" w16cid:durableId="393240546">
    <w:abstractNumId w:val="13"/>
  </w:num>
  <w:num w:numId="29" w16cid:durableId="340201901">
    <w:abstractNumId w:val="12"/>
  </w:num>
  <w:num w:numId="30" w16cid:durableId="433942138">
    <w:abstractNumId w:val="27"/>
  </w:num>
  <w:num w:numId="31" w16cid:durableId="162346329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48804842">
    <w:abstractNumId w:val="1"/>
  </w:num>
  <w:num w:numId="33" w16cid:durableId="888684104">
    <w:abstractNumId w:val="6"/>
  </w:num>
  <w:num w:numId="34" w16cid:durableId="2077168784">
    <w:abstractNumId w:val="0"/>
  </w:num>
  <w:num w:numId="35" w16cid:durableId="484052815">
    <w:abstractNumId w:val="15"/>
  </w:num>
  <w:num w:numId="36" w16cid:durableId="1947732981">
    <w:abstractNumId w:val="28"/>
  </w:num>
  <w:num w:numId="37" w16cid:durableId="12636844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B50"/>
    <w:rsid w:val="0000165C"/>
    <w:rsid w:val="0000381B"/>
    <w:rsid w:val="00005CFD"/>
    <w:rsid w:val="000064AE"/>
    <w:rsid w:val="00011A1C"/>
    <w:rsid w:val="000126A2"/>
    <w:rsid w:val="00012985"/>
    <w:rsid w:val="00014562"/>
    <w:rsid w:val="00015DB2"/>
    <w:rsid w:val="00016473"/>
    <w:rsid w:val="00020DD9"/>
    <w:rsid w:val="00021126"/>
    <w:rsid w:val="000218A0"/>
    <w:rsid w:val="00021945"/>
    <w:rsid w:val="00022965"/>
    <w:rsid w:val="00023931"/>
    <w:rsid w:val="00023D29"/>
    <w:rsid w:val="0002403D"/>
    <w:rsid w:val="00024860"/>
    <w:rsid w:val="00026B50"/>
    <w:rsid w:val="00026DC9"/>
    <w:rsid w:val="00030A55"/>
    <w:rsid w:val="00030CFD"/>
    <w:rsid w:val="000310A2"/>
    <w:rsid w:val="00031DD8"/>
    <w:rsid w:val="00031EDE"/>
    <w:rsid w:val="00031FAD"/>
    <w:rsid w:val="000324BB"/>
    <w:rsid w:val="0003426C"/>
    <w:rsid w:val="00036322"/>
    <w:rsid w:val="00041550"/>
    <w:rsid w:val="0004203C"/>
    <w:rsid w:val="000423CE"/>
    <w:rsid w:val="00042829"/>
    <w:rsid w:val="000469ED"/>
    <w:rsid w:val="00050424"/>
    <w:rsid w:val="00051904"/>
    <w:rsid w:val="000525AA"/>
    <w:rsid w:val="00053AB2"/>
    <w:rsid w:val="00053AD6"/>
    <w:rsid w:val="00055E00"/>
    <w:rsid w:val="00057B59"/>
    <w:rsid w:val="00060457"/>
    <w:rsid w:val="0006051E"/>
    <w:rsid w:val="00061FC4"/>
    <w:rsid w:val="000625BA"/>
    <w:rsid w:val="0006450E"/>
    <w:rsid w:val="0006485B"/>
    <w:rsid w:val="00064F1A"/>
    <w:rsid w:val="00066D02"/>
    <w:rsid w:val="00070526"/>
    <w:rsid w:val="000716CA"/>
    <w:rsid w:val="00073C7D"/>
    <w:rsid w:val="00074461"/>
    <w:rsid w:val="00074CB6"/>
    <w:rsid w:val="00075302"/>
    <w:rsid w:val="00075DBE"/>
    <w:rsid w:val="000766AD"/>
    <w:rsid w:val="000776B6"/>
    <w:rsid w:val="00077CA4"/>
    <w:rsid w:val="00081A06"/>
    <w:rsid w:val="000827D1"/>
    <w:rsid w:val="00084490"/>
    <w:rsid w:val="00087088"/>
    <w:rsid w:val="00094CDA"/>
    <w:rsid w:val="00095D49"/>
    <w:rsid w:val="00097AAD"/>
    <w:rsid w:val="000A27BB"/>
    <w:rsid w:val="000A2FA4"/>
    <w:rsid w:val="000A2FE7"/>
    <w:rsid w:val="000A4D79"/>
    <w:rsid w:val="000A549D"/>
    <w:rsid w:val="000A7E63"/>
    <w:rsid w:val="000B3B40"/>
    <w:rsid w:val="000B3C02"/>
    <w:rsid w:val="000B49F4"/>
    <w:rsid w:val="000B529B"/>
    <w:rsid w:val="000B5501"/>
    <w:rsid w:val="000B6691"/>
    <w:rsid w:val="000C08B3"/>
    <w:rsid w:val="000C0A7D"/>
    <w:rsid w:val="000C3FFA"/>
    <w:rsid w:val="000C64CB"/>
    <w:rsid w:val="000C77E7"/>
    <w:rsid w:val="000C7D23"/>
    <w:rsid w:val="000D00A3"/>
    <w:rsid w:val="000D2DE3"/>
    <w:rsid w:val="000D3410"/>
    <w:rsid w:val="000D5D01"/>
    <w:rsid w:val="000D6472"/>
    <w:rsid w:val="000D6636"/>
    <w:rsid w:val="000D6AF7"/>
    <w:rsid w:val="000E3A38"/>
    <w:rsid w:val="000E3B35"/>
    <w:rsid w:val="000E5BA6"/>
    <w:rsid w:val="000E671C"/>
    <w:rsid w:val="000E75E3"/>
    <w:rsid w:val="000F0168"/>
    <w:rsid w:val="000F1F52"/>
    <w:rsid w:val="000F4ADC"/>
    <w:rsid w:val="000F4C37"/>
    <w:rsid w:val="000F4E01"/>
    <w:rsid w:val="000F4FEC"/>
    <w:rsid w:val="000F5B26"/>
    <w:rsid w:val="000F7F95"/>
    <w:rsid w:val="001009C1"/>
    <w:rsid w:val="001026C2"/>
    <w:rsid w:val="001028A9"/>
    <w:rsid w:val="00102FF2"/>
    <w:rsid w:val="00105AE6"/>
    <w:rsid w:val="00106EB9"/>
    <w:rsid w:val="001071D0"/>
    <w:rsid w:val="0011190F"/>
    <w:rsid w:val="001121C9"/>
    <w:rsid w:val="00113E47"/>
    <w:rsid w:val="00114578"/>
    <w:rsid w:val="00114CE8"/>
    <w:rsid w:val="00116643"/>
    <w:rsid w:val="0012211F"/>
    <w:rsid w:val="00122BFF"/>
    <w:rsid w:val="00124DD0"/>
    <w:rsid w:val="00125DAB"/>
    <w:rsid w:val="00127B2D"/>
    <w:rsid w:val="00130BEA"/>
    <w:rsid w:val="00130C96"/>
    <w:rsid w:val="00132884"/>
    <w:rsid w:val="001402A0"/>
    <w:rsid w:val="00144DFA"/>
    <w:rsid w:val="00145214"/>
    <w:rsid w:val="001505E9"/>
    <w:rsid w:val="00150E08"/>
    <w:rsid w:val="00153EE4"/>
    <w:rsid w:val="00155078"/>
    <w:rsid w:val="00156F2E"/>
    <w:rsid w:val="00157A86"/>
    <w:rsid w:val="00160AC6"/>
    <w:rsid w:val="00170007"/>
    <w:rsid w:val="0017068E"/>
    <w:rsid w:val="00171D06"/>
    <w:rsid w:val="00172686"/>
    <w:rsid w:val="0017274C"/>
    <w:rsid w:val="00173391"/>
    <w:rsid w:val="00173AB4"/>
    <w:rsid w:val="00176768"/>
    <w:rsid w:val="001771DA"/>
    <w:rsid w:val="001809B9"/>
    <w:rsid w:val="00181913"/>
    <w:rsid w:val="00182BC3"/>
    <w:rsid w:val="00182CC2"/>
    <w:rsid w:val="00182EAA"/>
    <w:rsid w:val="00184379"/>
    <w:rsid w:val="001879F4"/>
    <w:rsid w:val="00191A75"/>
    <w:rsid w:val="00194024"/>
    <w:rsid w:val="00197A83"/>
    <w:rsid w:val="001A0BA4"/>
    <w:rsid w:val="001A0BFC"/>
    <w:rsid w:val="001A1D37"/>
    <w:rsid w:val="001A4C89"/>
    <w:rsid w:val="001A4E90"/>
    <w:rsid w:val="001A5741"/>
    <w:rsid w:val="001A73FA"/>
    <w:rsid w:val="001A75A6"/>
    <w:rsid w:val="001A7844"/>
    <w:rsid w:val="001B087F"/>
    <w:rsid w:val="001B23DB"/>
    <w:rsid w:val="001B2626"/>
    <w:rsid w:val="001B2E2D"/>
    <w:rsid w:val="001B40A3"/>
    <w:rsid w:val="001B5164"/>
    <w:rsid w:val="001B5591"/>
    <w:rsid w:val="001B60CD"/>
    <w:rsid w:val="001B7FC7"/>
    <w:rsid w:val="001C4AF6"/>
    <w:rsid w:val="001C4C61"/>
    <w:rsid w:val="001D2249"/>
    <w:rsid w:val="001D2624"/>
    <w:rsid w:val="001D3A8A"/>
    <w:rsid w:val="001D51AC"/>
    <w:rsid w:val="001E08B5"/>
    <w:rsid w:val="001E27D4"/>
    <w:rsid w:val="001E2DB4"/>
    <w:rsid w:val="001E50D0"/>
    <w:rsid w:val="001E5D5D"/>
    <w:rsid w:val="001E731E"/>
    <w:rsid w:val="001E7558"/>
    <w:rsid w:val="001E76D4"/>
    <w:rsid w:val="001F0DD9"/>
    <w:rsid w:val="001F19ED"/>
    <w:rsid w:val="001F23EB"/>
    <w:rsid w:val="001F4F64"/>
    <w:rsid w:val="001F6064"/>
    <w:rsid w:val="001F7152"/>
    <w:rsid w:val="00201194"/>
    <w:rsid w:val="002016F1"/>
    <w:rsid w:val="002020B4"/>
    <w:rsid w:val="0020274E"/>
    <w:rsid w:val="00203947"/>
    <w:rsid w:val="00203AB2"/>
    <w:rsid w:val="002049ED"/>
    <w:rsid w:val="00204C24"/>
    <w:rsid w:val="0020552E"/>
    <w:rsid w:val="00207704"/>
    <w:rsid w:val="0021527B"/>
    <w:rsid w:val="00220063"/>
    <w:rsid w:val="00220854"/>
    <w:rsid w:val="0022097E"/>
    <w:rsid w:val="00222387"/>
    <w:rsid w:val="00224857"/>
    <w:rsid w:val="00224F7E"/>
    <w:rsid w:val="00225F83"/>
    <w:rsid w:val="002302C2"/>
    <w:rsid w:val="00231BBF"/>
    <w:rsid w:val="00232A61"/>
    <w:rsid w:val="00233C4A"/>
    <w:rsid w:val="002359C1"/>
    <w:rsid w:val="002359C8"/>
    <w:rsid w:val="00235D88"/>
    <w:rsid w:val="0023694F"/>
    <w:rsid w:val="00241456"/>
    <w:rsid w:val="00241EC9"/>
    <w:rsid w:val="00241FBA"/>
    <w:rsid w:val="00242415"/>
    <w:rsid w:val="00242704"/>
    <w:rsid w:val="002433B2"/>
    <w:rsid w:val="00245E77"/>
    <w:rsid w:val="00246482"/>
    <w:rsid w:val="00250B12"/>
    <w:rsid w:val="00254FC5"/>
    <w:rsid w:val="00255F18"/>
    <w:rsid w:val="00256573"/>
    <w:rsid w:val="00256B67"/>
    <w:rsid w:val="00257FA4"/>
    <w:rsid w:val="00260907"/>
    <w:rsid w:val="00260B0E"/>
    <w:rsid w:val="002610E0"/>
    <w:rsid w:val="002621A9"/>
    <w:rsid w:val="00262AC9"/>
    <w:rsid w:val="002633AB"/>
    <w:rsid w:val="0026570B"/>
    <w:rsid w:val="00266566"/>
    <w:rsid w:val="002673E1"/>
    <w:rsid w:val="00271FEE"/>
    <w:rsid w:val="00272DE7"/>
    <w:rsid w:val="0027318E"/>
    <w:rsid w:val="00274763"/>
    <w:rsid w:val="002749CD"/>
    <w:rsid w:val="00275637"/>
    <w:rsid w:val="00275682"/>
    <w:rsid w:val="0027639B"/>
    <w:rsid w:val="0028170F"/>
    <w:rsid w:val="002843A1"/>
    <w:rsid w:val="00284F0F"/>
    <w:rsid w:val="00287B42"/>
    <w:rsid w:val="002912DA"/>
    <w:rsid w:val="002918C0"/>
    <w:rsid w:val="00295437"/>
    <w:rsid w:val="00295481"/>
    <w:rsid w:val="00295944"/>
    <w:rsid w:val="00296D3D"/>
    <w:rsid w:val="00296F43"/>
    <w:rsid w:val="002A0744"/>
    <w:rsid w:val="002A16CD"/>
    <w:rsid w:val="002A1A27"/>
    <w:rsid w:val="002A1F23"/>
    <w:rsid w:val="002A2A55"/>
    <w:rsid w:val="002A2DCC"/>
    <w:rsid w:val="002A3356"/>
    <w:rsid w:val="002A6FDF"/>
    <w:rsid w:val="002A75FE"/>
    <w:rsid w:val="002B35B4"/>
    <w:rsid w:val="002B372D"/>
    <w:rsid w:val="002B5BA1"/>
    <w:rsid w:val="002C0019"/>
    <w:rsid w:val="002C1FA7"/>
    <w:rsid w:val="002C20E8"/>
    <w:rsid w:val="002C2498"/>
    <w:rsid w:val="002C3D33"/>
    <w:rsid w:val="002C3D43"/>
    <w:rsid w:val="002C46AB"/>
    <w:rsid w:val="002C4D23"/>
    <w:rsid w:val="002C7907"/>
    <w:rsid w:val="002D169D"/>
    <w:rsid w:val="002D52A5"/>
    <w:rsid w:val="002E01BA"/>
    <w:rsid w:val="002E067D"/>
    <w:rsid w:val="002E0A8D"/>
    <w:rsid w:val="002E6123"/>
    <w:rsid w:val="002F0470"/>
    <w:rsid w:val="002F219C"/>
    <w:rsid w:val="002F426E"/>
    <w:rsid w:val="002F4514"/>
    <w:rsid w:val="002F5034"/>
    <w:rsid w:val="002F6048"/>
    <w:rsid w:val="002F6D7E"/>
    <w:rsid w:val="003006EA"/>
    <w:rsid w:val="003007BD"/>
    <w:rsid w:val="00303120"/>
    <w:rsid w:val="003031AE"/>
    <w:rsid w:val="003051F9"/>
    <w:rsid w:val="00307D57"/>
    <w:rsid w:val="003102FC"/>
    <w:rsid w:val="00312C6E"/>
    <w:rsid w:val="00313AEB"/>
    <w:rsid w:val="00313B2C"/>
    <w:rsid w:val="003140AE"/>
    <w:rsid w:val="00315BFA"/>
    <w:rsid w:val="00320822"/>
    <w:rsid w:val="0032179E"/>
    <w:rsid w:val="0032298A"/>
    <w:rsid w:val="00322E2C"/>
    <w:rsid w:val="00327E86"/>
    <w:rsid w:val="00330264"/>
    <w:rsid w:val="00330401"/>
    <w:rsid w:val="00330F94"/>
    <w:rsid w:val="0033132D"/>
    <w:rsid w:val="0033363B"/>
    <w:rsid w:val="00333BCD"/>
    <w:rsid w:val="003375D2"/>
    <w:rsid w:val="0034137E"/>
    <w:rsid w:val="00342827"/>
    <w:rsid w:val="0034485A"/>
    <w:rsid w:val="00346BE1"/>
    <w:rsid w:val="00346DB6"/>
    <w:rsid w:val="00347CA7"/>
    <w:rsid w:val="00347FC5"/>
    <w:rsid w:val="00352203"/>
    <w:rsid w:val="00353825"/>
    <w:rsid w:val="00353FE7"/>
    <w:rsid w:val="003548A9"/>
    <w:rsid w:val="003559B9"/>
    <w:rsid w:val="00357119"/>
    <w:rsid w:val="00357888"/>
    <w:rsid w:val="003612B2"/>
    <w:rsid w:val="00361A81"/>
    <w:rsid w:val="00361CD6"/>
    <w:rsid w:val="00362511"/>
    <w:rsid w:val="003732A7"/>
    <w:rsid w:val="0037382D"/>
    <w:rsid w:val="00373E12"/>
    <w:rsid w:val="00375200"/>
    <w:rsid w:val="00375544"/>
    <w:rsid w:val="0037558E"/>
    <w:rsid w:val="00376DC9"/>
    <w:rsid w:val="00380E7F"/>
    <w:rsid w:val="00381757"/>
    <w:rsid w:val="00385CC7"/>
    <w:rsid w:val="0038799F"/>
    <w:rsid w:val="00391862"/>
    <w:rsid w:val="00392E30"/>
    <w:rsid w:val="003931F8"/>
    <w:rsid w:val="003A2B57"/>
    <w:rsid w:val="003A2F0D"/>
    <w:rsid w:val="003A5174"/>
    <w:rsid w:val="003B1A3C"/>
    <w:rsid w:val="003B20E9"/>
    <w:rsid w:val="003B59F4"/>
    <w:rsid w:val="003B5EFD"/>
    <w:rsid w:val="003C0F28"/>
    <w:rsid w:val="003C37E9"/>
    <w:rsid w:val="003C3876"/>
    <w:rsid w:val="003C5385"/>
    <w:rsid w:val="003C5CEA"/>
    <w:rsid w:val="003C6155"/>
    <w:rsid w:val="003C78FA"/>
    <w:rsid w:val="003C79A4"/>
    <w:rsid w:val="003D05A5"/>
    <w:rsid w:val="003D09D2"/>
    <w:rsid w:val="003D0F8A"/>
    <w:rsid w:val="003D1F44"/>
    <w:rsid w:val="003D411E"/>
    <w:rsid w:val="003D5FE1"/>
    <w:rsid w:val="003D7426"/>
    <w:rsid w:val="003D7DEC"/>
    <w:rsid w:val="003E3ADD"/>
    <w:rsid w:val="003F0D6E"/>
    <w:rsid w:val="003F1969"/>
    <w:rsid w:val="003F1AF1"/>
    <w:rsid w:val="003F78C7"/>
    <w:rsid w:val="003F7DC5"/>
    <w:rsid w:val="00401938"/>
    <w:rsid w:val="00401ECE"/>
    <w:rsid w:val="004026A4"/>
    <w:rsid w:val="004042C8"/>
    <w:rsid w:val="00404811"/>
    <w:rsid w:val="00405EFB"/>
    <w:rsid w:val="00412614"/>
    <w:rsid w:val="00413FF3"/>
    <w:rsid w:val="00416F3F"/>
    <w:rsid w:val="00417F9B"/>
    <w:rsid w:val="00420999"/>
    <w:rsid w:val="00420D58"/>
    <w:rsid w:val="00422FE4"/>
    <w:rsid w:val="004237A4"/>
    <w:rsid w:val="00423D89"/>
    <w:rsid w:val="00426DAA"/>
    <w:rsid w:val="00431C31"/>
    <w:rsid w:val="00434AF6"/>
    <w:rsid w:val="00436C02"/>
    <w:rsid w:val="0043709B"/>
    <w:rsid w:val="004373A3"/>
    <w:rsid w:val="00440532"/>
    <w:rsid w:val="00443877"/>
    <w:rsid w:val="00444D6B"/>
    <w:rsid w:val="00446BEC"/>
    <w:rsid w:val="00450B10"/>
    <w:rsid w:val="00450E65"/>
    <w:rsid w:val="00451DD1"/>
    <w:rsid w:val="00454A74"/>
    <w:rsid w:val="004555A9"/>
    <w:rsid w:val="00465984"/>
    <w:rsid w:val="00465A17"/>
    <w:rsid w:val="004678C8"/>
    <w:rsid w:val="0047026D"/>
    <w:rsid w:val="00470FAE"/>
    <w:rsid w:val="00471831"/>
    <w:rsid w:val="00474F23"/>
    <w:rsid w:val="004767DA"/>
    <w:rsid w:val="00480B58"/>
    <w:rsid w:val="00482868"/>
    <w:rsid w:val="00482FEE"/>
    <w:rsid w:val="0048344E"/>
    <w:rsid w:val="0048453E"/>
    <w:rsid w:val="00484B71"/>
    <w:rsid w:val="00484CF8"/>
    <w:rsid w:val="00484E6A"/>
    <w:rsid w:val="00486E1F"/>
    <w:rsid w:val="00487BA4"/>
    <w:rsid w:val="004900E3"/>
    <w:rsid w:val="004904BA"/>
    <w:rsid w:val="00492CD7"/>
    <w:rsid w:val="00492E09"/>
    <w:rsid w:val="004952E0"/>
    <w:rsid w:val="004956E7"/>
    <w:rsid w:val="004971C0"/>
    <w:rsid w:val="0049755E"/>
    <w:rsid w:val="00497A4D"/>
    <w:rsid w:val="004A0405"/>
    <w:rsid w:val="004A1F99"/>
    <w:rsid w:val="004A2787"/>
    <w:rsid w:val="004A2C61"/>
    <w:rsid w:val="004A36F1"/>
    <w:rsid w:val="004A3904"/>
    <w:rsid w:val="004A3FB5"/>
    <w:rsid w:val="004A3FBA"/>
    <w:rsid w:val="004A4336"/>
    <w:rsid w:val="004A455D"/>
    <w:rsid w:val="004B09E4"/>
    <w:rsid w:val="004B3ACD"/>
    <w:rsid w:val="004B4B30"/>
    <w:rsid w:val="004B5748"/>
    <w:rsid w:val="004B5AFF"/>
    <w:rsid w:val="004B6C13"/>
    <w:rsid w:val="004B71A9"/>
    <w:rsid w:val="004C00AC"/>
    <w:rsid w:val="004C1BDC"/>
    <w:rsid w:val="004C34E4"/>
    <w:rsid w:val="004C3C6B"/>
    <w:rsid w:val="004C4704"/>
    <w:rsid w:val="004C55EC"/>
    <w:rsid w:val="004C65BE"/>
    <w:rsid w:val="004C6A8A"/>
    <w:rsid w:val="004C6AB0"/>
    <w:rsid w:val="004C70D4"/>
    <w:rsid w:val="004C77F9"/>
    <w:rsid w:val="004C7B95"/>
    <w:rsid w:val="004D077C"/>
    <w:rsid w:val="004D10A9"/>
    <w:rsid w:val="004D169D"/>
    <w:rsid w:val="004D19AB"/>
    <w:rsid w:val="004D364E"/>
    <w:rsid w:val="004D36FB"/>
    <w:rsid w:val="004D73B5"/>
    <w:rsid w:val="004E0EB5"/>
    <w:rsid w:val="004E50DC"/>
    <w:rsid w:val="004E5350"/>
    <w:rsid w:val="004E55A4"/>
    <w:rsid w:val="004E563F"/>
    <w:rsid w:val="004E6078"/>
    <w:rsid w:val="004E64FB"/>
    <w:rsid w:val="004E6A09"/>
    <w:rsid w:val="004F003B"/>
    <w:rsid w:val="004F35C7"/>
    <w:rsid w:val="004F3F1E"/>
    <w:rsid w:val="004F4138"/>
    <w:rsid w:val="004F5A75"/>
    <w:rsid w:val="004F6327"/>
    <w:rsid w:val="004F6E83"/>
    <w:rsid w:val="005021D1"/>
    <w:rsid w:val="00506222"/>
    <w:rsid w:val="00510808"/>
    <w:rsid w:val="00512210"/>
    <w:rsid w:val="00512A95"/>
    <w:rsid w:val="00513396"/>
    <w:rsid w:val="00515C51"/>
    <w:rsid w:val="00517C7E"/>
    <w:rsid w:val="00524CD4"/>
    <w:rsid w:val="005254D0"/>
    <w:rsid w:val="00526012"/>
    <w:rsid w:val="005264C3"/>
    <w:rsid w:val="00526A53"/>
    <w:rsid w:val="00527A16"/>
    <w:rsid w:val="00531D9C"/>
    <w:rsid w:val="005321DE"/>
    <w:rsid w:val="00532208"/>
    <w:rsid w:val="00532ACF"/>
    <w:rsid w:val="005330B9"/>
    <w:rsid w:val="00533244"/>
    <w:rsid w:val="0053398E"/>
    <w:rsid w:val="00534F78"/>
    <w:rsid w:val="005376B3"/>
    <w:rsid w:val="005418CA"/>
    <w:rsid w:val="0054420C"/>
    <w:rsid w:val="005443EB"/>
    <w:rsid w:val="00544C7A"/>
    <w:rsid w:val="0054610C"/>
    <w:rsid w:val="005502BB"/>
    <w:rsid w:val="00550821"/>
    <w:rsid w:val="00550AD8"/>
    <w:rsid w:val="00553605"/>
    <w:rsid w:val="005558E9"/>
    <w:rsid w:val="00556A29"/>
    <w:rsid w:val="00557659"/>
    <w:rsid w:val="00560846"/>
    <w:rsid w:val="00561680"/>
    <w:rsid w:val="005616CB"/>
    <w:rsid w:val="00563020"/>
    <w:rsid w:val="005631B4"/>
    <w:rsid w:val="005758C7"/>
    <w:rsid w:val="0057625F"/>
    <w:rsid w:val="00584285"/>
    <w:rsid w:val="00586C7B"/>
    <w:rsid w:val="00586CF8"/>
    <w:rsid w:val="00587073"/>
    <w:rsid w:val="00590A6A"/>
    <w:rsid w:val="00594C20"/>
    <w:rsid w:val="00594F79"/>
    <w:rsid w:val="005A06F3"/>
    <w:rsid w:val="005A1E76"/>
    <w:rsid w:val="005A21D7"/>
    <w:rsid w:val="005A3E65"/>
    <w:rsid w:val="005A4EEE"/>
    <w:rsid w:val="005A75B4"/>
    <w:rsid w:val="005B123D"/>
    <w:rsid w:val="005B1419"/>
    <w:rsid w:val="005B2BFD"/>
    <w:rsid w:val="005B3384"/>
    <w:rsid w:val="005B3E1B"/>
    <w:rsid w:val="005B4546"/>
    <w:rsid w:val="005B60FD"/>
    <w:rsid w:val="005B6DEE"/>
    <w:rsid w:val="005C0628"/>
    <w:rsid w:val="005C0BB1"/>
    <w:rsid w:val="005C6357"/>
    <w:rsid w:val="005C70BA"/>
    <w:rsid w:val="005D1CB3"/>
    <w:rsid w:val="005D2E08"/>
    <w:rsid w:val="005D3EEB"/>
    <w:rsid w:val="005D63DC"/>
    <w:rsid w:val="005D6A9A"/>
    <w:rsid w:val="005D714D"/>
    <w:rsid w:val="005E2623"/>
    <w:rsid w:val="005E50F8"/>
    <w:rsid w:val="005E63C9"/>
    <w:rsid w:val="005E6680"/>
    <w:rsid w:val="005F2703"/>
    <w:rsid w:val="005F449F"/>
    <w:rsid w:val="005F528D"/>
    <w:rsid w:val="005F5ACE"/>
    <w:rsid w:val="005F6488"/>
    <w:rsid w:val="005F6F30"/>
    <w:rsid w:val="005F712F"/>
    <w:rsid w:val="005F7331"/>
    <w:rsid w:val="005F7649"/>
    <w:rsid w:val="005F7C06"/>
    <w:rsid w:val="0060084E"/>
    <w:rsid w:val="00601F6D"/>
    <w:rsid w:val="0060409F"/>
    <w:rsid w:val="00605E3D"/>
    <w:rsid w:val="006101A4"/>
    <w:rsid w:val="00610C89"/>
    <w:rsid w:val="006113DF"/>
    <w:rsid w:val="006116A0"/>
    <w:rsid w:val="0061208D"/>
    <w:rsid w:val="00612B91"/>
    <w:rsid w:val="00613662"/>
    <w:rsid w:val="006140BF"/>
    <w:rsid w:val="0061577B"/>
    <w:rsid w:val="00617590"/>
    <w:rsid w:val="00620139"/>
    <w:rsid w:val="0062353D"/>
    <w:rsid w:val="00623E07"/>
    <w:rsid w:val="006264CF"/>
    <w:rsid w:val="0062784C"/>
    <w:rsid w:val="00631402"/>
    <w:rsid w:val="0063209E"/>
    <w:rsid w:val="00632BDF"/>
    <w:rsid w:val="00633058"/>
    <w:rsid w:val="00637501"/>
    <w:rsid w:val="00637DAF"/>
    <w:rsid w:val="00641B7D"/>
    <w:rsid w:val="0064303B"/>
    <w:rsid w:val="00643252"/>
    <w:rsid w:val="00643579"/>
    <w:rsid w:val="0064738A"/>
    <w:rsid w:val="00647908"/>
    <w:rsid w:val="00647B64"/>
    <w:rsid w:val="006507AC"/>
    <w:rsid w:val="00656176"/>
    <w:rsid w:val="0065678A"/>
    <w:rsid w:val="006573F1"/>
    <w:rsid w:val="006602A1"/>
    <w:rsid w:val="006613B0"/>
    <w:rsid w:val="00661937"/>
    <w:rsid w:val="00665FB0"/>
    <w:rsid w:val="006732C4"/>
    <w:rsid w:val="0067652A"/>
    <w:rsid w:val="0067660E"/>
    <w:rsid w:val="00677189"/>
    <w:rsid w:val="00677217"/>
    <w:rsid w:val="00681761"/>
    <w:rsid w:val="00682E52"/>
    <w:rsid w:val="006837C1"/>
    <w:rsid w:val="006845DA"/>
    <w:rsid w:val="0068567A"/>
    <w:rsid w:val="00686A74"/>
    <w:rsid w:val="006870B0"/>
    <w:rsid w:val="00690C28"/>
    <w:rsid w:val="00690CC7"/>
    <w:rsid w:val="006911D9"/>
    <w:rsid w:val="0069127B"/>
    <w:rsid w:val="00691671"/>
    <w:rsid w:val="00691AEB"/>
    <w:rsid w:val="00692E48"/>
    <w:rsid w:val="00693CE4"/>
    <w:rsid w:val="00694B9A"/>
    <w:rsid w:val="0069689C"/>
    <w:rsid w:val="006970D8"/>
    <w:rsid w:val="00697551"/>
    <w:rsid w:val="006A160C"/>
    <w:rsid w:val="006A19BB"/>
    <w:rsid w:val="006A1CD6"/>
    <w:rsid w:val="006A2CAE"/>
    <w:rsid w:val="006A2FCF"/>
    <w:rsid w:val="006A36E2"/>
    <w:rsid w:val="006A7D56"/>
    <w:rsid w:val="006B046D"/>
    <w:rsid w:val="006B4EFE"/>
    <w:rsid w:val="006B6666"/>
    <w:rsid w:val="006C3D5E"/>
    <w:rsid w:val="006C43F6"/>
    <w:rsid w:val="006C57BC"/>
    <w:rsid w:val="006C58F6"/>
    <w:rsid w:val="006C66F9"/>
    <w:rsid w:val="006C74C3"/>
    <w:rsid w:val="006D1EAC"/>
    <w:rsid w:val="006D3EEB"/>
    <w:rsid w:val="006D4758"/>
    <w:rsid w:val="006D5878"/>
    <w:rsid w:val="006D5BD1"/>
    <w:rsid w:val="006D7D06"/>
    <w:rsid w:val="006E2D8B"/>
    <w:rsid w:val="006E644E"/>
    <w:rsid w:val="006E6B7C"/>
    <w:rsid w:val="006E6DFA"/>
    <w:rsid w:val="006E7B99"/>
    <w:rsid w:val="006F3235"/>
    <w:rsid w:val="006F393D"/>
    <w:rsid w:val="006F4B4B"/>
    <w:rsid w:val="006F7074"/>
    <w:rsid w:val="006F774E"/>
    <w:rsid w:val="00700C2C"/>
    <w:rsid w:val="007016C5"/>
    <w:rsid w:val="00701A9C"/>
    <w:rsid w:val="00702921"/>
    <w:rsid w:val="00702FB6"/>
    <w:rsid w:val="007032E9"/>
    <w:rsid w:val="00707C45"/>
    <w:rsid w:val="00707EEE"/>
    <w:rsid w:val="00710F09"/>
    <w:rsid w:val="00713F30"/>
    <w:rsid w:val="00713FF8"/>
    <w:rsid w:val="00714C1E"/>
    <w:rsid w:val="00714CD1"/>
    <w:rsid w:val="00721AD8"/>
    <w:rsid w:val="007235BD"/>
    <w:rsid w:val="00724C68"/>
    <w:rsid w:val="00730608"/>
    <w:rsid w:val="00731747"/>
    <w:rsid w:val="00731A74"/>
    <w:rsid w:val="00732241"/>
    <w:rsid w:val="0073675E"/>
    <w:rsid w:val="0074069D"/>
    <w:rsid w:val="00741E69"/>
    <w:rsid w:val="00741F96"/>
    <w:rsid w:val="00743979"/>
    <w:rsid w:val="00746DC2"/>
    <w:rsid w:val="00747A2F"/>
    <w:rsid w:val="0075134E"/>
    <w:rsid w:val="00754FFB"/>
    <w:rsid w:val="00755879"/>
    <w:rsid w:val="00755D61"/>
    <w:rsid w:val="007575CC"/>
    <w:rsid w:val="0076131D"/>
    <w:rsid w:val="00763216"/>
    <w:rsid w:val="00767766"/>
    <w:rsid w:val="00771168"/>
    <w:rsid w:val="00772C0C"/>
    <w:rsid w:val="00773542"/>
    <w:rsid w:val="007752AA"/>
    <w:rsid w:val="00777944"/>
    <w:rsid w:val="00781BDD"/>
    <w:rsid w:val="0078225C"/>
    <w:rsid w:val="007839A3"/>
    <w:rsid w:val="00785716"/>
    <w:rsid w:val="007862B5"/>
    <w:rsid w:val="00787851"/>
    <w:rsid w:val="0079046A"/>
    <w:rsid w:val="00793454"/>
    <w:rsid w:val="007934B1"/>
    <w:rsid w:val="00793827"/>
    <w:rsid w:val="007946BB"/>
    <w:rsid w:val="0079749A"/>
    <w:rsid w:val="007A0587"/>
    <w:rsid w:val="007A2CEC"/>
    <w:rsid w:val="007A36CF"/>
    <w:rsid w:val="007A6B46"/>
    <w:rsid w:val="007B2557"/>
    <w:rsid w:val="007B4D69"/>
    <w:rsid w:val="007B58F3"/>
    <w:rsid w:val="007B641E"/>
    <w:rsid w:val="007B6466"/>
    <w:rsid w:val="007B76C4"/>
    <w:rsid w:val="007C5ED7"/>
    <w:rsid w:val="007C683B"/>
    <w:rsid w:val="007D1EB3"/>
    <w:rsid w:val="007D61ED"/>
    <w:rsid w:val="007D7FDC"/>
    <w:rsid w:val="007E0606"/>
    <w:rsid w:val="007E0BA4"/>
    <w:rsid w:val="007E24D8"/>
    <w:rsid w:val="007F0004"/>
    <w:rsid w:val="007F04FE"/>
    <w:rsid w:val="007F3B8A"/>
    <w:rsid w:val="007F6224"/>
    <w:rsid w:val="007F7900"/>
    <w:rsid w:val="008008FF"/>
    <w:rsid w:val="00800CA3"/>
    <w:rsid w:val="00800CBD"/>
    <w:rsid w:val="008020FB"/>
    <w:rsid w:val="00802C99"/>
    <w:rsid w:val="00805881"/>
    <w:rsid w:val="00806DF8"/>
    <w:rsid w:val="008078E1"/>
    <w:rsid w:val="00810BDD"/>
    <w:rsid w:val="00810FFB"/>
    <w:rsid w:val="00813C6F"/>
    <w:rsid w:val="0081425F"/>
    <w:rsid w:val="008145A4"/>
    <w:rsid w:val="00814C65"/>
    <w:rsid w:val="00815092"/>
    <w:rsid w:val="008155F5"/>
    <w:rsid w:val="00816D89"/>
    <w:rsid w:val="0082214B"/>
    <w:rsid w:val="00823AC5"/>
    <w:rsid w:val="00823E08"/>
    <w:rsid w:val="00826225"/>
    <w:rsid w:val="0082743D"/>
    <w:rsid w:val="0083134C"/>
    <w:rsid w:val="00831D90"/>
    <w:rsid w:val="008323CB"/>
    <w:rsid w:val="008362C5"/>
    <w:rsid w:val="00836914"/>
    <w:rsid w:val="0083722A"/>
    <w:rsid w:val="0084213A"/>
    <w:rsid w:val="00844F7E"/>
    <w:rsid w:val="008455E5"/>
    <w:rsid w:val="0084590F"/>
    <w:rsid w:val="00845D40"/>
    <w:rsid w:val="008461EE"/>
    <w:rsid w:val="008464F2"/>
    <w:rsid w:val="00850437"/>
    <w:rsid w:val="00850C01"/>
    <w:rsid w:val="00853A8C"/>
    <w:rsid w:val="00854090"/>
    <w:rsid w:val="00854510"/>
    <w:rsid w:val="008545B2"/>
    <w:rsid w:val="008575F0"/>
    <w:rsid w:val="008607A2"/>
    <w:rsid w:val="00860E10"/>
    <w:rsid w:val="00863646"/>
    <w:rsid w:val="00865273"/>
    <w:rsid w:val="0086753A"/>
    <w:rsid w:val="0087230E"/>
    <w:rsid w:val="008751E9"/>
    <w:rsid w:val="00876712"/>
    <w:rsid w:val="008806E7"/>
    <w:rsid w:val="00880F82"/>
    <w:rsid w:val="00881BF8"/>
    <w:rsid w:val="00884A84"/>
    <w:rsid w:val="0088545D"/>
    <w:rsid w:val="0088675C"/>
    <w:rsid w:val="0089263B"/>
    <w:rsid w:val="00894CE5"/>
    <w:rsid w:val="008963AD"/>
    <w:rsid w:val="00897F68"/>
    <w:rsid w:val="008A0896"/>
    <w:rsid w:val="008A420E"/>
    <w:rsid w:val="008A4D90"/>
    <w:rsid w:val="008B0BA7"/>
    <w:rsid w:val="008B4E3A"/>
    <w:rsid w:val="008B5E31"/>
    <w:rsid w:val="008B5FED"/>
    <w:rsid w:val="008C1314"/>
    <w:rsid w:val="008C262C"/>
    <w:rsid w:val="008C3658"/>
    <w:rsid w:val="008C40DD"/>
    <w:rsid w:val="008C4AE4"/>
    <w:rsid w:val="008C5AAB"/>
    <w:rsid w:val="008C5C55"/>
    <w:rsid w:val="008C6C8D"/>
    <w:rsid w:val="008C78B3"/>
    <w:rsid w:val="008D0D53"/>
    <w:rsid w:val="008D1138"/>
    <w:rsid w:val="008D27C6"/>
    <w:rsid w:val="008D6A10"/>
    <w:rsid w:val="008D7F5B"/>
    <w:rsid w:val="008E1275"/>
    <w:rsid w:val="008E1B9B"/>
    <w:rsid w:val="008E5F50"/>
    <w:rsid w:val="008E7CFC"/>
    <w:rsid w:val="008E7F55"/>
    <w:rsid w:val="008F0F3A"/>
    <w:rsid w:val="008F0F5C"/>
    <w:rsid w:val="008F2C7D"/>
    <w:rsid w:val="008F3140"/>
    <w:rsid w:val="008F560D"/>
    <w:rsid w:val="00900302"/>
    <w:rsid w:val="009007A1"/>
    <w:rsid w:val="009010EC"/>
    <w:rsid w:val="00903AD5"/>
    <w:rsid w:val="009105A6"/>
    <w:rsid w:val="0091076A"/>
    <w:rsid w:val="00911FA5"/>
    <w:rsid w:val="009135B4"/>
    <w:rsid w:val="00920702"/>
    <w:rsid w:val="009211A2"/>
    <w:rsid w:val="009213B9"/>
    <w:rsid w:val="00921B7E"/>
    <w:rsid w:val="00922BA2"/>
    <w:rsid w:val="00922CB9"/>
    <w:rsid w:val="00924CC3"/>
    <w:rsid w:val="00927185"/>
    <w:rsid w:val="009278E6"/>
    <w:rsid w:val="00930844"/>
    <w:rsid w:val="00932A6C"/>
    <w:rsid w:val="00934171"/>
    <w:rsid w:val="00935522"/>
    <w:rsid w:val="00935A6E"/>
    <w:rsid w:val="00936ED7"/>
    <w:rsid w:val="009375E6"/>
    <w:rsid w:val="00937AC2"/>
    <w:rsid w:val="009413A6"/>
    <w:rsid w:val="009459E7"/>
    <w:rsid w:val="00947B7D"/>
    <w:rsid w:val="009504CF"/>
    <w:rsid w:val="00955391"/>
    <w:rsid w:val="00957075"/>
    <w:rsid w:val="00957A92"/>
    <w:rsid w:val="00957C28"/>
    <w:rsid w:val="009617D0"/>
    <w:rsid w:val="00961E2A"/>
    <w:rsid w:val="00963919"/>
    <w:rsid w:val="009657C8"/>
    <w:rsid w:val="00967FDA"/>
    <w:rsid w:val="00973DCF"/>
    <w:rsid w:val="0097507E"/>
    <w:rsid w:val="00975DB5"/>
    <w:rsid w:val="00976BE5"/>
    <w:rsid w:val="00977FB1"/>
    <w:rsid w:val="009810A7"/>
    <w:rsid w:val="00982058"/>
    <w:rsid w:val="00982478"/>
    <w:rsid w:val="00982D68"/>
    <w:rsid w:val="009863D8"/>
    <w:rsid w:val="00986BA7"/>
    <w:rsid w:val="00991306"/>
    <w:rsid w:val="009938F5"/>
    <w:rsid w:val="00994D41"/>
    <w:rsid w:val="00994F67"/>
    <w:rsid w:val="009A164F"/>
    <w:rsid w:val="009A456F"/>
    <w:rsid w:val="009A4E31"/>
    <w:rsid w:val="009B0AB4"/>
    <w:rsid w:val="009B1529"/>
    <w:rsid w:val="009B185C"/>
    <w:rsid w:val="009B1F0A"/>
    <w:rsid w:val="009B2643"/>
    <w:rsid w:val="009B3309"/>
    <w:rsid w:val="009B3780"/>
    <w:rsid w:val="009B3CD6"/>
    <w:rsid w:val="009B4871"/>
    <w:rsid w:val="009B4B4B"/>
    <w:rsid w:val="009B5CFD"/>
    <w:rsid w:val="009B75EC"/>
    <w:rsid w:val="009C0847"/>
    <w:rsid w:val="009C1CCC"/>
    <w:rsid w:val="009C2F47"/>
    <w:rsid w:val="009C33BA"/>
    <w:rsid w:val="009C3CFB"/>
    <w:rsid w:val="009C3DA5"/>
    <w:rsid w:val="009C5548"/>
    <w:rsid w:val="009C757D"/>
    <w:rsid w:val="009D007D"/>
    <w:rsid w:val="009D0537"/>
    <w:rsid w:val="009D0931"/>
    <w:rsid w:val="009D0DF7"/>
    <w:rsid w:val="009D4AFD"/>
    <w:rsid w:val="009D6F17"/>
    <w:rsid w:val="009E00FC"/>
    <w:rsid w:val="009E0A71"/>
    <w:rsid w:val="009E2A7B"/>
    <w:rsid w:val="009E330F"/>
    <w:rsid w:val="009E3E5A"/>
    <w:rsid w:val="009E6984"/>
    <w:rsid w:val="009E7063"/>
    <w:rsid w:val="009E7F79"/>
    <w:rsid w:val="009F1E59"/>
    <w:rsid w:val="009F2714"/>
    <w:rsid w:val="009F4768"/>
    <w:rsid w:val="009F4E3D"/>
    <w:rsid w:val="009F6200"/>
    <w:rsid w:val="00A01AE9"/>
    <w:rsid w:val="00A06AB6"/>
    <w:rsid w:val="00A06EF7"/>
    <w:rsid w:val="00A1249B"/>
    <w:rsid w:val="00A12922"/>
    <w:rsid w:val="00A12F12"/>
    <w:rsid w:val="00A13DA7"/>
    <w:rsid w:val="00A147E5"/>
    <w:rsid w:val="00A14C4A"/>
    <w:rsid w:val="00A15FA4"/>
    <w:rsid w:val="00A170B2"/>
    <w:rsid w:val="00A203D3"/>
    <w:rsid w:val="00A209AD"/>
    <w:rsid w:val="00A21B63"/>
    <w:rsid w:val="00A21FB7"/>
    <w:rsid w:val="00A22444"/>
    <w:rsid w:val="00A2305A"/>
    <w:rsid w:val="00A240F1"/>
    <w:rsid w:val="00A24892"/>
    <w:rsid w:val="00A24D04"/>
    <w:rsid w:val="00A258CD"/>
    <w:rsid w:val="00A27E80"/>
    <w:rsid w:val="00A30957"/>
    <w:rsid w:val="00A35235"/>
    <w:rsid w:val="00A35E8E"/>
    <w:rsid w:val="00A36130"/>
    <w:rsid w:val="00A41FE3"/>
    <w:rsid w:val="00A433F1"/>
    <w:rsid w:val="00A44B66"/>
    <w:rsid w:val="00A44CD1"/>
    <w:rsid w:val="00A44E1A"/>
    <w:rsid w:val="00A469CD"/>
    <w:rsid w:val="00A46F1E"/>
    <w:rsid w:val="00A52908"/>
    <w:rsid w:val="00A53409"/>
    <w:rsid w:val="00A55DDA"/>
    <w:rsid w:val="00A5677A"/>
    <w:rsid w:val="00A60F5E"/>
    <w:rsid w:val="00A62FF2"/>
    <w:rsid w:val="00A650C9"/>
    <w:rsid w:val="00A65E04"/>
    <w:rsid w:val="00A72223"/>
    <w:rsid w:val="00A73D9B"/>
    <w:rsid w:val="00A768A4"/>
    <w:rsid w:val="00A77958"/>
    <w:rsid w:val="00A80230"/>
    <w:rsid w:val="00A8091F"/>
    <w:rsid w:val="00A80FFA"/>
    <w:rsid w:val="00A81517"/>
    <w:rsid w:val="00A823EB"/>
    <w:rsid w:val="00A85D7E"/>
    <w:rsid w:val="00A875C8"/>
    <w:rsid w:val="00A8787A"/>
    <w:rsid w:val="00A87EBF"/>
    <w:rsid w:val="00A90E30"/>
    <w:rsid w:val="00A91EA0"/>
    <w:rsid w:val="00A92861"/>
    <w:rsid w:val="00A93B5F"/>
    <w:rsid w:val="00A93E4F"/>
    <w:rsid w:val="00A9619A"/>
    <w:rsid w:val="00AA0604"/>
    <w:rsid w:val="00AA0BF8"/>
    <w:rsid w:val="00AA3989"/>
    <w:rsid w:val="00AA561D"/>
    <w:rsid w:val="00AA60A1"/>
    <w:rsid w:val="00AA634E"/>
    <w:rsid w:val="00AB246E"/>
    <w:rsid w:val="00AB2F6D"/>
    <w:rsid w:val="00AB4841"/>
    <w:rsid w:val="00AB4FA9"/>
    <w:rsid w:val="00AB5A00"/>
    <w:rsid w:val="00AC1647"/>
    <w:rsid w:val="00AC347F"/>
    <w:rsid w:val="00AD2538"/>
    <w:rsid w:val="00AD685A"/>
    <w:rsid w:val="00AE07A5"/>
    <w:rsid w:val="00AE219F"/>
    <w:rsid w:val="00AE21A4"/>
    <w:rsid w:val="00AE39CC"/>
    <w:rsid w:val="00AE412D"/>
    <w:rsid w:val="00AE46FC"/>
    <w:rsid w:val="00AE7BA3"/>
    <w:rsid w:val="00AF1B7D"/>
    <w:rsid w:val="00AF2D5B"/>
    <w:rsid w:val="00AF449B"/>
    <w:rsid w:val="00AF47C3"/>
    <w:rsid w:val="00AF5A69"/>
    <w:rsid w:val="00AF5CF1"/>
    <w:rsid w:val="00AF7A3C"/>
    <w:rsid w:val="00AF7AB8"/>
    <w:rsid w:val="00AF7D61"/>
    <w:rsid w:val="00B00756"/>
    <w:rsid w:val="00B03DE3"/>
    <w:rsid w:val="00B03E60"/>
    <w:rsid w:val="00B06163"/>
    <w:rsid w:val="00B0695F"/>
    <w:rsid w:val="00B10681"/>
    <w:rsid w:val="00B112F6"/>
    <w:rsid w:val="00B1152B"/>
    <w:rsid w:val="00B1322E"/>
    <w:rsid w:val="00B14324"/>
    <w:rsid w:val="00B144C6"/>
    <w:rsid w:val="00B15B6F"/>
    <w:rsid w:val="00B16A74"/>
    <w:rsid w:val="00B20AFB"/>
    <w:rsid w:val="00B21A13"/>
    <w:rsid w:val="00B247AD"/>
    <w:rsid w:val="00B24844"/>
    <w:rsid w:val="00B24B9D"/>
    <w:rsid w:val="00B25698"/>
    <w:rsid w:val="00B26CE8"/>
    <w:rsid w:val="00B30C78"/>
    <w:rsid w:val="00B320C1"/>
    <w:rsid w:val="00B348AB"/>
    <w:rsid w:val="00B40692"/>
    <w:rsid w:val="00B413EB"/>
    <w:rsid w:val="00B428EF"/>
    <w:rsid w:val="00B439E0"/>
    <w:rsid w:val="00B43D77"/>
    <w:rsid w:val="00B45423"/>
    <w:rsid w:val="00B46EB9"/>
    <w:rsid w:val="00B47D8C"/>
    <w:rsid w:val="00B50616"/>
    <w:rsid w:val="00B52B2F"/>
    <w:rsid w:val="00B5588E"/>
    <w:rsid w:val="00B56A5F"/>
    <w:rsid w:val="00B56BE7"/>
    <w:rsid w:val="00B61F74"/>
    <w:rsid w:val="00B67F8E"/>
    <w:rsid w:val="00B82C40"/>
    <w:rsid w:val="00B8303B"/>
    <w:rsid w:val="00B83773"/>
    <w:rsid w:val="00B91DA5"/>
    <w:rsid w:val="00B95996"/>
    <w:rsid w:val="00B9739B"/>
    <w:rsid w:val="00BA12F8"/>
    <w:rsid w:val="00BA1B30"/>
    <w:rsid w:val="00BA4A21"/>
    <w:rsid w:val="00BA4ED5"/>
    <w:rsid w:val="00BA594E"/>
    <w:rsid w:val="00BA647D"/>
    <w:rsid w:val="00BA79F9"/>
    <w:rsid w:val="00BB12D9"/>
    <w:rsid w:val="00BB6F28"/>
    <w:rsid w:val="00BB71C2"/>
    <w:rsid w:val="00BC0032"/>
    <w:rsid w:val="00BC31BA"/>
    <w:rsid w:val="00BC3D54"/>
    <w:rsid w:val="00BC6F07"/>
    <w:rsid w:val="00BD2737"/>
    <w:rsid w:val="00BD2D1E"/>
    <w:rsid w:val="00BD466D"/>
    <w:rsid w:val="00BD4EEB"/>
    <w:rsid w:val="00BD67DE"/>
    <w:rsid w:val="00BE0D8E"/>
    <w:rsid w:val="00BE1415"/>
    <w:rsid w:val="00BE243E"/>
    <w:rsid w:val="00BE2ED5"/>
    <w:rsid w:val="00BE2F84"/>
    <w:rsid w:val="00BE5393"/>
    <w:rsid w:val="00BF2FBD"/>
    <w:rsid w:val="00BF386B"/>
    <w:rsid w:val="00C0014B"/>
    <w:rsid w:val="00C014B2"/>
    <w:rsid w:val="00C01750"/>
    <w:rsid w:val="00C01BE6"/>
    <w:rsid w:val="00C05433"/>
    <w:rsid w:val="00C06184"/>
    <w:rsid w:val="00C0726A"/>
    <w:rsid w:val="00C12B95"/>
    <w:rsid w:val="00C160E4"/>
    <w:rsid w:val="00C1722E"/>
    <w:rsid w:val="00C20176"/>
    <w:rsid w:val="00C2047C"/>
    <w:rsid w:val="00C21776"/>
    <w:rsid w:val="00C22960"/>
    <w:rsid w:val="00C24BBC"/>
    <w:rsid w:val="00C26893"/>
    <w:rsid w:val="00C26CA6"/>
    <w:rsid w:val="00C31784"/>
    <w:rsid w:val="00C32616"/>
    <w:rsid w:val="00C34242"/>
    <w:rsid w:val="00C342C7"/>
    <w:rsid w:val="00C35EBF"/>
    <w:rsid w:val="00C3743A"/>
    <w:rsid w:val="00C405FE"/>
    <w:rsid w:val="00C41EE9"/>
    <w:rsid w:val="00C44071"/>
    <w:rsid w:val="00C45A7A"/>
    <w:rsid w:val="00C45FD3"/>
    <w:rsid w:val="00C46060"/>
    <w:rsid w:val="00C4684C"/>
    <w:rsid w:val="00C46CCA"/>
    <w:rsid w:val="00C479E3"/>
    <w:rsid w:val="00C5099F"/>
    <w:rsid w:val="00C51E07"/>
    <w:rsid w:val="00C52060"/>
    <w:rsid w:val="00C5279F"/>
    <w:rsid w:val="00C56D19"/>
    <w:rsid w:val="00C603EB"/>
    <w:rsid w:val="00C60E10"/>
    <w:rsid w:val="00C6126E"/>
    <w:rsid w:val="00C61306"/>
    <w:rsid w:val="00C62FFA"/>
    <w:rsid w:val="00C67458"/>
    <w:rsid w:val="00C67D4F"/>
    <w:rsid w:val="00C704B2"/>
    <w:rsid w:val="00C70704"/>
    <w:rsid w:val="00C726D6"/>
    <w:rsid w:val="00C73E1B"/>
    <w:rsid w:val="00C80F3A"/>
    <w:rsid w:val="00C819F3"/>
    <w:rsid w:val="00C8240E"/>
    <w:rsid w:val="00C824A8"/>
    <w:rsid w:val="00C82569"/>
    <w:rsid w:val="00C82DFA"/>
    <w:rsid w:val="00C831D6"/>
    <w:rsid w:val="00C8387E"/>
    <w:rsid w:val="00C84F36"/>
    <w:rsid w:val="00C855DF"/>
    <w:rsid w:val="00C94269"/>
    <w:rsid w:val="00C9584A"/>
    <w:rsid w:val="00C974F8"/>
    <w:rsid w:val="00CA020B"/>
    <w:rsid w:val="00CA03A1"/>
    <w:rsid w:val="00CA08A0"/>
    <w:rsid w:val="00CA0DFD"/>
    <w:rsid w:val="00CA212E"/>
    <w:rsid w:val="00CA335E"/>
    <w:rsid w:val="00CA3FFB"/>
    <w:rsid w:val="00CA44BC"/>
    <w:rsid w:val="00CA59F0"/>
    <w:rsid w:val="00CA75CE"/>
    <w:rsid w:val="00CB2FA1"/>
    <w:rsid w:val="00CB3D54"/>
    <w:rsid w:val="00CB5902"/>
    <w:rsid w:val="00CB6050"/>
    <w:rsid w:val="00CB6059"/>
    <w:rsid w:val="00CC0415"/>
    <w:rsid w:val="00CC41B0"/>
    <w:rsid w:val="00CC4914"/>
    <w:rsid w:val="00CC4CE2"/>
    <w:rsid w:val="00CC6E53"/>
    <w:rsid w:val="00CD03FA"/>
    <w:rsid w:val="00CD13CB"/>
    <w:rsid w:val="00CD1D81"/>
    <w:rsid w:val="00CD216E"/>
    <w:rsid w:val="00CD3D4B"/>
    <w:rsid w:val="00CE2C2F"/>
    <w:rsid w:val="00CE2C6F"/>
    <w:rsid w:val="00CE2F2A"/>
    <w:rsid w:val="00CE5DF9"/>
    <w:rsid w:val="00CE730C"/>
    <w:rsid w:val="00CE7C29"/>
    <w:rsid w:val="00CF374D"/>
    <w:rsid w:val="00CF5207"/>
    <w:rsid w:val="00CF6E84"/>
    <w:rsid w:val="00CF7716"/>
    <w:rsid w:val="00D02D21"/>
    <w:rsid w:val="00D0383F"/>
    <w:rsid w:val="00D0447B"/>
    <w:rsid w:val="00D0504E"/>
    <w:rsid w:val="00D05A98"/>
    <w:rsid w:val="00D0659A"/>
    <w:rsid w:val="00D07AB0"/>
    <w:rsid w:val="00D10D25"/>
    <w:rsid w:val="00D11FDE"/>
    <w:rsid w:val="00D12129"/>
    <w:rsid w:val="00D13F20"/>
    <w:rsid w:val="00D15566"/>
    <w:rsid w:val="00D17284"/>
    <w:rsid w:val="00D17815"/>
    <w:rsid w:val="00D2083B"/>
    <w:rsid w:val="00D20931"/>
    <w:rsid w:val="00D20B06"/>
    <w:rsid w:val="00D2171A"/>
    <w:rsid w:val="00D22DFC"/>
    <w:rsid w:val="00D23BD8"/>
    <w:rsid w:val="00D25878"/>
    <w:rsid w:val="00D258DD"/>
    <w:rsid w:val="00D267A1"/>
    <w:rsid w:val="00D276CD"/>
    <w:rsid w:val="00D327B5"/>
    <w:rsid w:val="00D35EF9"/>
    <w:rsid w:val="00D4016C"/>
    <w:rsid w:val="00D402FB"/>
    <w:rsid w:val="00D41594"/>
    <w:rsid w:val="00D430C1"/>
    <w:rsid w:val="00D43872"/>
    <w:rsid w:val="00D44F39"/>
    <w:rsid w:val="00D45F86"/>
    <w:rsid w:val="00D46086"/>
    <w:rsid w:val="00D4726B"/>
    <w:rsid w:val="00D47471"/>
    <w:rsid w:val="00D5094E"/>
    <w:rsid w:val="00D52E3B"/>
    <w:rsid w:val="00D53627"/>
    <w:rsid w:val="00D53C00"/>
    <w:rsid w:val="00D60B31"/>
    <w:rsid w:val="00D61134"/>
    <w:rsid w:val="00D62C5B"/>
    <w:rsid w:val="00D62F3E"/>
    <w:rsid w:val="00D64625"/>
    <w:rsid w:val="00D6525E"/>
    <w:rsid w:val="00D66B3C"/>
    <w:rsid w:val="00D67664"/>
    <w:rsid w:val="00D72125"/>
    <w:rsid w:val="00D73132"/>
    <w:rsid w:val="00D74196"/>
    <w:rsid w:val="00D769AF"/>
    <w:rsid w:val="00D776E7"/>
    <w:rsid w:val="00D77C3E"/>
    <w:rsid w:val="00D80C12"/>
    <w:rsid w:val="00D81994"/>
    <w:rsid w:val="00D82DF4"/>
    <w:rsid w:val="00D838A6"/>
    <w:rsid w:val="00D8474C"/>
    <w:rsid w:val="00D849D8"/>
    <w:rsid w:val="00D87758"/>
    <w:rsid w:val="00D914E3"/>
    <w:rsid w:val="00D93E11"/>
    <w:rsid w:val="00D94702"/>
    <w:rsid w:val="00D947F6"/>
    <w:rsid w:val="00D949AD"/>
    <w:rsid w:val="00D95942"/>
    <w:rsid w:val="00D96883"/>
    <w:rsid w:val="00DA5512"/>
    <w:rsid w:val="00DA678E"/>
    <w:rsid w:val="00DA769F"/>
    <w:rsid w:val="00DB2364"/>
    <w:rsid w:val="00DB2B98"/>
    <w:rsid w:val="00DB2C2E"/>
    <w:rsid w:val="00DB5B31"/>
    <w:rsid w:val="00DB705C"/>
    <w:rsid w:val="00DC466A"/>
    <w:rsid w:val="00DC5505"/>
    <w:rsid w:val="00DC5B21"/>
    <w:rsid w:val="00DC784E"/>
    <w:rsid w:val="00DD17AA"/>
    <w:rsid w:val="00DD1F89"/>
    <w:rsid w:val="00DD2357"/>
    <w:rsid w:val="00DD5663"/>
    <w:rsid w:val="00DD5B1E"/>
    <w:rsid w:val="00DD7868"/>
    <w:rsid w:val="00DE00DC"/>
    <w:rsid w:val="00DE1086"/>
    <w:rsid w:val="00DE1A81"/>
    <w:rsid w:val="00DE1A9C"/>
    <w:rsid w:val="00DE1FAA"/>
    <w:rsid w:val="00DF5887"/>
    <w:rsid w:val="00DF6C59"/>
    <w:rsid w:val="00DF7709"/>
    <w:rsid w:val="00E002A9"/>
    <w:rsid w:val="00E0291D"/>
    <w:rsid w:val="00E061A9"/>
    <w:rsid w:val="00E10C07"/>
    <w:rsid w:val="00E12109"/>
    <w:rsid w:val="00E12263"/>
    <w:rsid w:val="00E13425"/>
    <w:rsid w:val="00E13558"/>
    <w:rsid w:val="00E13A47"/>
    <w:rsid w:val="00E13A71"/>
    <w:rsid w:val="00E14317"/>
    <w:rsid w:val="00E15192"/>
    <w:rsid w:val="00E17BEC"/>
    <w:rsid w:val="00E20CF2"/>
    <w:rsid w:val="00E20F6D"/>
    <w:rsid w:val="00E21A21"/>
    <w:rsid w:val="00E22574"/>
    <w:rsid w:val="00E25601"/>
    <w:rsid w:val="00E2687D"/>
    <w:rsid w:val="00E26DE4"/>
    <w:rsid w:val="00E26F9F"/>
    <w:rsid w:val="00E27012"/>
    <w:rsid w:val="00E30677"/>
    <w:rsid w:val="00E31A29"/>
    <w:rsid w:val="00E330DD"/>
    <w:rsid w:val="00E3622E"/>
    <w:rsid w:val="00E4127D"/>
    <w:rsid w:val="00E41F0E"/>
    <w:rsid w:val="00E42AE6"/>
    <w:rsid w:val="00E44283"/>
    <w:rsid w:val="00E45470"/>
    <w:rsid w:val="00E45B2D"/>
    <w:rsid w:val="00E4646C"/>
    <w:rsid w:val="00E4707C"/>
    <w:rsid w:val="00E47627"/>
    <w:rsid w:val="00E5166B"/>
    <w:rsid w:val="00E5402F"/>
    <w:rsid w:val="00E541BD"/>
    <w:rsid w:val="00E54DF2"/>
    <w:rsid w:val="00E556E5"/>
    <w:rsid w:val="00E562CC"/>
    <w:rsid w:val="00E57238"/>
    <w:rsid w:val="00E5765E"/>
    <w:rsid w:val="00E60284"/>
    <w:rsid w:val="00E60570"/>
    <w:rsid w:val="00E61074"/>
    <w:rsid w:val="00E6111F"/>
    <w:rsid w:val="00E614B4"/>
    <w:rsid w:val="00E643C7"/>
    <w:rsid w:val="00E64559"/>
    <w:rsid w:val="00E65C5C"/>
    <w:rsid w:val="00E70291"/>
    <w:rsid w:val="00E71158"/>
    <w:rsid w:val="00E74EB1"/>
    <w:rsid w:val="00E75AE7"/>
    <w:rsid w:val="00E7647A"/>
    <w:rsid w:val="00E779AB"/>
    <w:rsid w:val="00E842B2"/>
    <w:rsid w:val="00E92070"/>
    <w:rsid w:val="00E94C43"/>
    <w:rsid w:val="00E94EC0"/>
    <w:rsid w:val="00E95213"/>
    <w:rsid w:val="00E967B5"/>
    <w:rsid w:val="00E97DC2"/>
    <w:rsid w:val="00EA145F"/>
    <w:rsid w:val="00EA3A4F"/>
    <w:rsid w:val="00EA5CB7"/>
    <w:rsid w:val="00EA62CB"/>
    <w:rsid w:val="00EA6934"/>
    <w:rsid w:val="00EA69E7"/>
    <w:rsid w:val="00EB357F"/>
    <w:rsid w:val="00EB507B"/>
    <w:rsid w:val="00EB67C5"/>
    <w:rsid w:val="00EB7394"/>
    <w:rsid w:val="00EB74EB"/>
    <w:rsid w:val="00EC1B8D"/>
    <w:rsid w:val="00EC2566"/>
    <w:rsid w:val="00EC3F2E"/>
    <w:rsid w:val="00EC4FFB"/>
    <w:rsid w:val="00EC520D"/>
    <w:rsid w:val="00EC61DF"/>
    <w:rsid w:val="00ED03A0"/>
    <w:rsid w:val="00ED33CB"/>
    <w:rsid w:val="00ED44E7"/>
    <w:rsid w:val="00ED55B2"/>
    <w:rsid w:val="00ED5836"/>
    <w:rsid w:val="00ED5BD9"/>
    <w:rsid w:val="00ED5EBC"/>
    <w:rsid w:val="00ED6CDD"/>
    <w:rsid w:val="00ED6DD9"/>
    <w:rsid w:val="00ED75C6"/>
    <w:rsid w:val="00EE0B5F"/>
    <w:rsid w:val="00EE2F7C"/>
    <w:rsid w:val="00EE329D"/>
    <w:rsid w:val="00EE48CB"/>
    <w:rsid w:val="00EE5FA6"/>
    <w:rsid w:val="00EE7843"/>
    <w:rsid w:val="00EF00A1"/>
    <w:rsid w:val="00EF12EE"/>
    <w:rsid w:val="00EF1FD4"/>
    <w:rsid w:val="00EF3BFC"/>
    <w:rsid w:val="00EF5630"/>
    <w:rsid w:val="00EF5F7E"/>
    <w:rsid w:val="00EF6FD5"/>
    <w:rsid w:val="00F00A5E"/>
    <w:rsid w:val="00F01D15"/>
    <w:rsid w:val="00F037A5"/>
    <w:rsid w:val="00F04D61"/>
    <w:rsid w:val="00F079A8"/>
    <w:rsid w:val="00F10F73"/>
    <w:rsid w:val="00F16F5A"/>
    <w:rsid w:val="00F235BD"/>
    <w:rsid w:val="00F2397F"/>
    <w:rsid w:val="00F2583C"/>
    <w:rsid w:val="00F267DC"/>
    <w:rsid w:val="00F27800"/>
    <w:rsid w:val="00F30551"/>
    <w:rsid w:val="00F31B0A"/>
    <w:rsid w:val="00F33127"/>
    <w:rsid w:val="00F339AE"/>
    <w:rsid w:val="00F35C1D"/>
    <w:rsid w:val="00F365AF"/>
    <w:rsid w:val="00F37699"/>
    <w:rsid w:val="00F37F1B"/>
    <w:rsid w:val="00F4157C"/>
    <w:rsid w:val="00F4310A"/>
    <w:rsid w:val="00F4310E"/>
    <w:rsid w:val="00F465C6"/>
    <w:rsid w:val="00F468C1"/>
    <w:rsid w:val="00F470CE"/>
    <w:rsid w:val="00F501BB"/>
    <w:rsid w:val="00F52CF9"/>
    <w:rsid w:val="00F53F66"/>
    <w:rsid w:val="00F54051"/>
    <w:rsid w:val="00F54266"/>
    <w:rsid w:val="00F55810"/>
    <w:rsid w:val="00F62020"/>
    <w:rsid w:val="00F6221D"/>
    <w:rsid w:val="00F634E7"/>
    <w:rsid w:val="00F65FBF"/>
    <w:rsid w:val="00F66D60"/>
    <w:rsid w:val="00F66F0F"/>
    <w:rsid w:val="00F670C6"/>
    <w:rsid w:val="00F703C6"/>
    <w:rsid w:val="00F70AA6"/>
    <w:rsid w:val="00F719C7"/>
    <w:rsid w:val="00F722E8"/>
    <w:rsid w:val="00F72427"/>
    <w:rsid w:val="00F72F56"/>
    <w:rsid w:val="00F7359C"/>
    <w:rsid w:val="00F81D59"/>
    <w:rsid w:val="00F84589"/>
    <w:rsid w:val="00F84BC7"/>
    <w:rsid w:val="00F85FCD"/>
    <w:rsid w:val="00F8747B"/>
    <w:rsid w:val="00F9005E"/>
    <w:rsid w:val="00F9123E"/>
    <w:rsid w:val="00F912C8"/>
    <w:rsid w:val="00F94EDB"/>
    <w:rsid w:val="00FA26A2"/>
    <w:rsid w:val="00FA3C82"/>
    <w:rsid w:val="00FA5E45"/>
    <w:rsid w:val="00FA685B"/>
    <w:rsid w:val="00FA73A3"/>
    <w:rsid w:val="00FB0DFB"/>
    <w:rsid w:val="00FB1E9F"/>
    <w:rsid w:val="00FB431B"/>
    <w:rsid w:val="00FB4647"/>
    <w:rsid w:val="00FB4920"/>
    <w:rsid w:val="00FB5925"/>
    <w:rsid w:val="00FC09EB"/>
    <w:rsid w:val="00FC1035"/>
    <w:rsid w:val="00FC152A"/>
    <w:rsid w:val="00FC392E"/>
    <w:rsid w:val="00FC3CE8"/>
    <w:rsid w:val="00FC468E"/>
    <w:rsid w:val="00FC62F4"/>
    <w:rsid w:val="00FD0012"/>
    <w:rsid w:val="00FD0417"/>
    <w:rsid w:val="00FD1B3D"/>
    <w:rsid w:val="00FD31BC"/>
    <w:rsid w:val="00FD58F4"/>
    <w:rsid w:val="00FD7741"/>
    <w:rsid w:val="00FE001D"/>
    <w:rsid w:val="00FE0033"/>
    <w:rsid w:val="00FE1838"/>
    <w:rsid w:val="00FE2FC8"/>
    <w:rsid w:val="00FE4448"/>
    <w:rsid w:val="00FE4C31"/>
    <w:rsid w:val="00FE4DB4"/>
    <w:rsid w:val="00FE55CF"/>
    <w:rsid w:val="00FE6AF9"/>
    <w:rsid w:val="00FE6DE3"/>
    <w:rsid w:val="00FF1B70"/>
    <w:rsid w:val="00FF2630"/>
    <w:rsid w:val="00FF2E55"/>
    <w:rsid w:val="00FF4738"/>
    <w:rsid w:val="00FF5D1F"/>
    <w:rsid w:val="00FF674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960BE8"/>
  <w15:chartTrackingRefBased/>
  <w15:docId w15:val="{0E120D27-1560-4790-BB50-2FDF73246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Verdana" w:eastAsiaTheme="minorHAnsi" w:hAnsi="Verdana" w:cs="Verdana"/>
        <w:sz w:val="16"/>
        <w:szCs w:val="16"/>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70AA6"/>
    <w:pPr>
      <w:widowControl w:val="0"/>
      <w:autoSpaceDE w:val="0"/>
      <w:autoSpaceDN w:val="0"/>
      <w:spacing w:after="0" w:line="240" w:lineRule="auto"/>
    </w:pPr>
  </w:style>
  <w:style w:type="paragraph" w:styleId="Ttulo1">
    <w:name w:val="heading 1"/>
    <w:basedOn w:val="Normal"/>
    <w:link w:val="Ttulo1Car"/>
    <w:uiPriority w:val="1"/>
    <w:qFormat/>
    <w:rsid w:val="00026B50"/>
    <w:pPr>
      <w:ind w:left="121"/>
      <w:outlineLvl w:val="0"/>
    </w:pPr>
    <w:rPr>
      <w:b/>
      <w:bCs/>
      <w:sz w:val="20"/>
      <w:szCs w:val="20"/>
    </w:rPr>
  </w:style>
  <w:style w:type="paragraph" w:styleId="Ttulo2">
    <w:name w:val="heading 2"/>
    <w:basedOn w:val="Normal"/>
    <w:next w:val="Normal"/>
    <w:link w:val="Ttulo2Car"/>
    <w:uiPriority w:val="9"/>
    <w:unhideWhenUsed/>
    <w:qFormat/>
    <w:rsid w:val="001F19E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1F19ED"/>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semiHidden/>
    <w:unhideWhenUsed/>
    <w:qFormat/>
    <w:rsid w:val="00A203D3"/>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026B50"/>
    <w:rPr>
      <w:rFonts w:ascii="Verdana" w:eastAsia="Verdana" w:hAnsi="Verdana" w:cs="Verdana"/>
      <w:b/>
      <w:bCs/>
      <w:sz w:val="20"/>
      <w:szCs w:val="20"/>
      <w:lang w:val="es-ES"/>
    </w:rPr>
  </w:style>
  <w:style w:type="paragraph" w:styleId="Prrafodelista">
    <w:name w:val="List Paragraph"/>
    <w:aliases w:val="Footnote,List Paragraph1,Colorful List - Accent 11,Párrafo de lista1,List Paragraph2,Lista vistosa - Énfasis 11,Subtle Emphasis1,Footnote1,List Paragraph11,Parrafos,Cuadrícula clara - Énfasis 31,Lista clara - Énfasis 51"/>
    <w:basedOn w:val="Normal"/>
    <w:link w:val="PrrafodelistaCar"/>
    <w:uiPriority w:val="34"/>
    <w:qFormat/>
    <w:rsid w:val="00026B50"/>
    <w:pPr>
      <w:ind w:left="720"/>
      <w:contextualSpacing/>
    </w:p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C,ft,FA Fu?notente"/>
    <w:basedOn w:val="Normal"/>
    <w:link w:val="TextonotapieCar"/>
    <w:unhideWhenUsed/>
    <w:qFormat/>
    <w:rsid w:val="00026B50"/>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basedOn w:val="Fuentedeprrafopredeter"/>
    <w:link w:val="Textonotapie"/>
    <w:qFormat/>
    <w:rsid w:val="00026B50"/>
    <w:rPr>
      <w:rFonts w:ascii="Verdana" w:eastAsia="Verdana" w:hAnsi="Verdana" w:cs="Verdana"/>
      <w:sz w:val="20"/>
      <w:szCs w:val="20"/>
      <w:lang w:val="es-ES"/>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basedOn w:val="Fuentedeprrafopredeter"/>
    <w:uiPriority w:val="99"/>
    <w:unhideWhenUsed/>
    <w:qFormat/>
    <w:rsid w:val="00026B50"/>
    <w:rPr>
      <w:vertAlign w:val="superscript"/>
    </w:rPr>
  </w:style>
  <w:style w:type="paragraph" w:styleId="Textoindependiente">
    <w:name w:val="Body Text"/>
    <w:basedOn w:val="Normal"/>
    <w:link w:val="TextoindependienteCar"/>
    <w:uiPriority w:val="1"/>
    <w:qFormat/>
    <w:rsid w:val="000F5B26"/>
    <w:rPr>
      <w:sz w:val="20"/>
      <w:szCs w:val="20"/>
    </w:rPr>
  </w:style>
  <w:style w:type="character" w:customStyle="1" w:styleId="TextoindependienteCar">
    <w:name w:val="Texto independiente Car"/>
    <w:basedOn w:val="Fuentedeprrafopredeter"/>
    <w:link w:val="Textoindependiente"/>
    <w:uiPriority w:val="1"/>
    <w:rsid w:val="000F5B26"/>
    <w:rPr>
      <w:rFonts w:ascii="Verdana" w:eastAsia="Verdana" w:hAnsi="Verdana" w:cs="Verdana"/>
      <w:sz w:val="20"/>
      <w:szCs w:val="20"/>
      <w:lang w:val="es-ES"/>
    </w:rPr>
  </w:style>
  <w:style w:type="character" w:styleId="Hipervnculo">
    <w:name w:val="Hyperlink"/>
    <w:basedOn w:val="Fuentedeprrafopredeter"/>
    <w:uiPriority w:val="99"/>
    <w:unhideWhenUsed/>
    <w:rsid w:val="00793454"/>
    <w:rPr>
      <w:color w:val="0563C1" w:themeColor="hyperlink"/>
      <w:u w:val="single"/>
    </w:rPr>
  </w:style>
  <w:style w:type="character" w:customStyle="1" w:styleId="Ttulo2Car">
    <w:name w:val="Título 2 Car"/>
    <w:basedOn w:val="Fuentedeprrafopredeter"/>
    <w:link w:val="Ttulo2"/>
    <w:uiPriority w:val="9"/>
    <w:rsid w:val="001F19ED"/>
    <w:rPr>
      <w:rFonts w:asciiTheme="majorHAnsi" w:eastAsiaTheme="majorEastAsia" w:hAnsiTheme="majorHAnsi" w:cstheme="majorBidi"/>
      <w:color w:val="2E74B5" w:themeColor="accent1" w:themeShade="BF"/>
      <w:sz w:val="26"/>
      <w:szCs w:val="26"/>
      <w:lang w:val="es-ES"/>
    </w:rPr>
  </w:style>
  <w:style w:type="character" w:customStyle="1" w:styleId="Ttulo3Car">
    <w:name w:val="Título 3 Car"/>
    <w:basedOn w:val="Fuentedeprrafopredeter"/>
    <w:link w:val="Ttulo3"/>
    <w:uiPriority w:val="9"/>
    <w:rsid w:val="001F19ED"/>
    <w:rPr>
      <w:rFonts w:asciiTheme="majorHAnsi" w:eastAsiaTheme="majorEastAsia" w:hAnsiTheme="majorHAnsi" w:cstheme="majorBidi"/>
      <w:color w:val="1F4D78" w:themeColor="accent1" w:themeShade="7F"/>
      <w:sz w:val="24"/>
      <w:szCs w:val="24"/>
      <w:lang w:val="es-ES"/>
    </w:rPr>
  </w:style>
  <w:style w:type="paragraph" w:styleId="Lista2">
    <w:name w:val="List 2"/>
    <w:basedOn w:val="Normal"/>
    <w:uiPriority w:val="99"/>
    <w:unhideWhenUsed/>
    <w:rsid w:val="001F19ED"/>
    <w:pPr>
      <w:ind w:left="566" w:hanging="283"/>
      <w:contextualSpacing/>
    </w:pPr>
  </w:style>
  <w:style w:type="paragraph" w:styleId="Subttulo">
    <w:name w:val="Subtitle"/>
    <w:basedOn w:val="Normal"/>
    <w:next w:val="Normal"/>
    <w:link w:val="SubttuloCar"/>
    <w:uiPriority w:val="11"/>
    <w:qFormat/>
    <w:rsid w:val="001F19ED"/>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tuloCar">
    <w:name w:val="Subtítulo Car"/>
    <w:basedOn w:val="Fuentedeprrafopredeter"/>
    <w:link w:val="Subttulo"/>
    <w:uiPriority w:val="11"/>
    <w:rsid w:val="001F19ED"/>
    <w:rPr>
      <w:rFonts w:eastAsiaTheme="minorEastAsia"/>
      <w:color w:val="5A5A5A" w:themeColor="text1" w:themeTint="A5"/>
      <w:spacing w:val="15"/>
      <w:lang w:val="es-ES"/>
    </w:rPr>
  </w:style>
  <w:style w:type="character" w:styleId="Textodelmarcadordeposicin">
    <w:name w:val="Placeholder Text"/>
    <w:basedOn w:val="Fuentedeprrafopredeter"/>
    <w:uiPriority w:val="99"/>
    <w:semiHidden/>
    <w:rsid w:val="00D93E11"/>
    <w:rPr>
      <w:color w:val="808080"/>
    </w:rPr>
  </w:style>
  <w:style w:type="paragraph" w:styleId="Encabezado">
    <w:name w:val="header"/>
    <w:aliases w:val="encabezado"/>
    <w:basedOn w:val="Normal"/>
    <w:link w:val="EncabezadoCar"/>
    <w:uiPriority w:val="99"/>
    <w:unhideWhenUsed/>
    <w:rsid w:val="003D09D2"/>
    <w:pPr>
      <w:tabs>
        <w:tab w:val="center" w:pos="4419"/>
        <w:tab w:val="right" w:pos="8838"/>
      </w:tabs>
    </w:pPr>
  </w:style>
  <w:style w:type="character" w:customStyle="1" w:styleId="EncabezadoCar">
    <w:name w:val="Encabezado Car"/>
    <w:aliases w:val="encabezado Car"/>
    <w:basedOn w:val="Fuentedeprrafopredeter"/>
    <w:link w:val="Encabezado"/>
    <w:uiPriority w:val="99"/>
    <w:rsid w:val="003D09D2"/>
  </w:style>
  <w:style w:type="paragraph" w:styleId="Piedepgina">
    <w:name w:val="footer"/>
    <w:basedOn w:val="Normal"/>
    <w:link w:val="PiedepginaCar"/>
    <w:uiPriority w:val="99"/>
    <w:unhideWhenUsed/>
    <w:rsid w:val="003D09D2"/>
    <w:pPr>
      <w:tabs>
        <w:tab w:val="center" w:pos="4419"/>
        <w:tab w:val="right" w:pos="8838"/>
      </w:tabs>
    </w:pPr>
  </w:style>
  <w:style w:type="character" w:customStyle="1" w:styleId="PiedepginaCar">
    <w:name w:val="Pie de página Car"/>
    <w:basedOn w:val="Fuentedeprrafopredeter"/>
    <w:link w:val="Piedepgina"/>
    <w:uiPriority w:val="99"/>
    <w:rsid w:val="003D09D2"/>
  </w:style>
  <w:style w:type="paragraph" w:styleId="NormalWeb">
    <w:name w:val="Normal (Web)"/>
    <w:basedOn w:val="Normal"/>
    <w:uiPriority w:val="99"/>
    <w:unhideWhenUsed/>
    <w:rsid w:val="00E3622E"/>
    <w:pPr>
      <w:widowControl/>
      <w:autoSpaceDE/>
      <w:autoSpaceDN/>
    </w:pPr>
    <w:rPr>
      <w:rFonts w:ascii="Times New Roman" w:hAnsi="Times New Roman" w:cs="Times New Roman"/>
      <w:sz w:val="24"/>
      <w:szCs w:val="24"/>
      <w:lang w:eastAsia="es-CR"/>
    </w:rPr>
  </w:style>
  <w:style w:type="paragraph" w:styleId="TtuloTDC">
    <w:name w:val="TOC Heading"/>
    <w:basedOn w:val="Ttulo1"/>
    <w:next w:val="Normal"/>
    <w:uiPriority w:val="39"/>
    <w:unhideWhenUsed/>
    <w:qFormat/>
    <w:rsid w:val="00376DC9"/>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E74B5" w:themeColor="accent1" w:themeShade="BF"/>
      <w:sz w:val="32"/>
      <w:szCs w:val="32"/>
      <w:lang w:eastAsia="es-CR"/>
    </w:rPr>
  </w:style>
  <w:style w:type="paragraph" w:styleId="TDC1">
    <w:name w:val="toc 1"/>
    <w:basedOn w:val="Normal"/>
    <w:next w:val="Normal"/>
    <w:autoRedefine/>
    <w:uiPriority w:val="39"/>
    <w:unhideWhenUsed/>
    <w:rsid w:val="002C0019"/>
    <w:pPr>
      <w:tabs>
        <w:tab w:val="left" w:pos="440"/>
        <w:tab w:val="right" w:leader="dot" w:pos="8828"/>
      </w:tabs>
      <w:spacing w:before="120" w:after="120"/>
      <w:jc w:val="both"/>
    </w:pPr>
  </w:style>
  <w:style w:type="character" w:styleId="Refdecomentario">
    <w:name w:val="annotation reference"/>
    <w:basedOn w:val="Fuentedeprrafopredeter"/>
    <w:uiPriority w:val="99"/>
    <w:semiHidden/>
    <w:unhideWhenUsed/>
    <w:rsid w:val="00E61074"/>
    <w:rPr>
      <w:sz w:val="16"/>
      <w:szCs w:val="16"/>
    </w:rPr>
  </w:style>
  <w:style w:type="paragraph" w:styleId="Textocomentario">
    <w:name w:val="annotation text"/>
    <w:basedOn w:val="Normal"/>
    <w:link w:val="TextocomentarioCar"/>
    <w:uiPriority w:val="99"/>
    <w:unhideWhenUsed/>
    <w:rsid w:val="00E61074"/>
    <w:rPr>
      <w:sz w:val="20"/>
      <w:szCs w:val="20"/>
    </w:rPr>
  </w:style>
  <w:style w:type="character" w:customStyle="1" w:styleId="TextocomentarioCar">
    <w:name w:val="Texto comentario Car"/>
    <w:basedOn w:val="Fuentedeprrafopredeter"/>
    <w:link w:val="Textocomentario"/>
    <w:uiPriority w:val="99"/>
    <w:rsid w:val="00E61074"/>
    <w:rPr>
      <w:sz w:val="20"/>
      <w:szCs w:val="20"/>
    </w:rPr>
  </w:style>
  <w:style w:type="paragraph" w:styleId="Asuntodelcomentario">
    <w:name w:val="annotation subject"/>
    <w:basedOn w:val="Textocomentario"/>
    <w:next w:val="Textocomentario"/>
    <w:link w:val="AsuntodelcomentarioCar"/>
    <w:uiPriority w:val="99"/>
    <w:semiHidden/>
    <w:unhideWhenUsed/>
    <w:rsid w:val="00E61074"/>
    <w:rPr>
      <w:b/>
      <w:bCs/>
    </w:rPr>
  </w:style>
  <w:style w:type="character" w:customStyle="1" w:styleId="AsuntodelcomentarioCar">
    <w:name w:val="Asunto del comentario Car"/>
    <w:basedOn w:val="TextocomentarioCar"/>
    <w:link w:val="Asuntodelcomentario"/>
    <w:uiPriority w:val="99"/>
    <w:semiHidden/>
    <w:rsid w:val="00E61074"/>
    <w:rPr>
      <w:b/>
      <w:bCs/>
      <w:sz w:val="20"/>
      <w:szCs w:val="20"/>
    </w:rPr>
  </w:style>
  <w:style w:type="paragraph" w:styleId="Textodeglobo">
    <w:name w:val="Balloon Text"/>
    <w:basedOn w:val="Normal"/>
    <w:link w:val="TextodegloboCar"/>
    <w:uiPriority w:val="99"/>
    <w:semiHidden/>
    <w:unhideWhenUsed/>
    <w:rsid w:val="00E6107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61074"/>
    <w:rPr>
      <w:rFonts w:ascii="Segoe UI" w:hAnsi="Segoe UI" w:cs="Segoe UI"/>
      <w:sz w:val="18"/>
      <w:szCs w:val="18"/>
    </w:rPr>
  </w:style>
  <w:style w:type="character" w:customStyle="1" w:styleId="PrrafodelistaCar">
    <w:name w:val="Párrafo de lista Car"/>
    <w:aliases w:val="Footnote Car,List Paragraph1 Car,Colorful List - Accent 11 Car,Párrafo de lista1 Car,List Paragraph2 Car,Lista vistosa - Énfasis 11 Car,Subtle Emphasis1 Car,Footnote1 Car,List Paragraph11 Car,Parrafos Car"/>
    <w:link w:val="Prrafodelista"/>
    <w:uiPriority w:val="34"/>
    <w:rsid w:val="00982058"/>
  </w:style>
  <w:style w:type="paragraph" w:styleId="Revisin">
    <w:name w:val="Revision"/>
    <w:hidden/>
    <w:uiPriority w:val="99"/>
    <w:semiHidden/>
    <w:rsid w:val="00C35EBF"/>
    <w:pPr>
      <w:spacing w:after="0" w:line="240" w:lineRule="auto"/>
    </w:pPr>
  </w:style>
  <w:style w:type="character" w:styleId="Nmerodelnea">
    <w:name w:val="line number"/>
    <w:basedOn w:val="Fuentedeprrafopredeter"/>
    <w:uiPriority w:val="99"/>
    <w:semiHidden/>
    <w:unhideWhenUsed/>
    <w:rsid w:val="009278E6"/>
  </w:style>
  <w:style w:type="character" w:styleId="Mencinsinresolver">
    <w:name w:val="Unresolved Mention"/>
    <w:basedOn w:val="Fuentedeprrafopredeter"/>
    <w:uiPriority w:val="99"/>
    <w:semiHidden/>
    <w:unhideWhenUsed/>
    <w:rsid w:val="00250B12"/>
    <w:rPr>
      <w:color w:val="605E5C"/>
      <w:shd w:val="clear" w:color="auto" w:fill="E1DFDD"/>
    </w:rPr>
  </w:style>
  <w:style w:type="paragraph" w:styleId="Textonotaalfinal">
    <w:name w:val="endnote text"/>
    <w:basedOn w:val="Normal"/>
    <w:link w:val="TextonotaalfinalCar"/>
    <w:uiPriority w:val="99"/>
    <w:semiHidden/>
    <w:unhideWhenUsed/>
    <w:rsid w:val="00FE4448"/>
    <w:rPr>
      <w:sz w:val="20"/>
      <w:szCs w:val="20"/>
    </w:rPr>
  </w:style>
  <w:style w:type="character" w:customStyle="1" w:styleId="TextonotaalfinalCar">
    <w:name w:val="Texto nota al final Car"/>
    <w:basedOn w:val="Fuentedeprrafopredeter"/>
    <w:link w:val="Textonotaalfinal"/>
    <w:uiPriority w:val="99"/>
    <w:semiHidden/>
    <w:rsid w:val="00FE4448"/>
    <w:rPr>
      <w:sz w:val="20"/>
      <w:szCs w:val="20"/>
    </w:rPr>
  </w:style>
  <w:style w:type="character" w:styleId="Refdenotaalfinal">
    <w:name w:val="endnote reference"/>
    <w:basedOn w:val="Fuentedeprrafopredeter"/>
    <w:uiPriority w:val="99"/>
    <w:semiHidden/>
    <w:unhideWhenUsed/>
    <w:rsid w:val="00FE4448"/>
    <w:rPr>
      <w:vertAlign w:val="superscript"/>
    </w:rPr>
  </w:style>
  <w:style w:type="table" w:styleId="Tablaconcuadrcula">
    <w:name w:val="Table Grid"/>
    <w:basedOn w:val="Tablanormal"/>
    <w:uiPriority w:val="39"/>
    <w:rsid w:val="00853A8C"/>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2">
    <w:name w:val="toc 2"/>
    <w:basedOn w:val="Normal"/>
    <w:next w:val="Normal"/>
    <w:autoRedefine/>
    <w:uiPriority w:val="39"/>
    <w:unhideWhenUsed/>
    <w:rsid w:val="00BA1B30"/>
    <w:pPr>
      <w:spacing w:after="100"/>
      <w:ind w:left="160"/>
    </w:pPr>
  </w:style>
  <w:style w:type="character" w:customStyle="1" w:styleId="Ttulo4Car">
    <w:name w:val="Título 4 Car"/>
    <w:basedOn w:val="Fuentedeprrafopredeter"/>
    <w:link w:val="Ttulo4"/>
    <w:uiPriority w:val="9"/>
    <w:semiHidden/>
    <w:rsid w:val="00A203D3"/>
    <w:rPr>
      <w:rFonts w:asciiTheme="majorHAnsi" w:eastAsiaTheme="majorEastAsia" w:hAnsiTheme="majorHAnsi" w:cstheme="majorBidi"/>
      <w:i/>
      <w:iCs/>
      <w:color w:val="2E74B5" w:themeColor="accent1" w:themeShade="BF"/>
    </w:rPr>
  </w:style>
  <w:style w:type="character" w:styleId="Hipervnculovisitado">
    <w:name w:val="FollowedHyperlink"/>
    <w:basedOn w:val="Fuentedeprrafopredeter"/>
    <w:uiPriority w:val="99"/>
    <w:semiHidden/>
    <w:unhideWhenUsed/>
    <w:rsid w:val="009E0A7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7573352">
      <w:bodyDiv w:val="1"/>
      <w:marLeft w:val="0"/>
      <w:marRight w:val="0"/>
      <w:marTop w:val="0"/>
      <w:marBottom w:val="0"/>
      <w:divBdr>
        <w:top w:val="none" w:sz="0" w:space="0" w:color="auto"/>
        <w:left w:val="none" w:sz="0" w:space="0" w:color="auto"/>
        <w:bottom w:val="none" w:sz="0" w:space="0" w:color="auto"/>
        <w:right w:val="none" w:sz="0" w:space="0" w:color="auto"/>
      </w:divBdr>
    </w:div>
    <w:div w:id="225146782">
      <w:bodyDiv w:val="1"/>
      <w:marLeft w:val="0"/>
      <w:marRight w:val="0"/>
      <w:marTop w:val="0"/>
      <w:marBottom w:val="0"/>
      <w:divBdr>
        <w:top w:val="none" w:sz="0" w:space="0" w:color="auto"/>
        <w:left w:val="none" w:sz="0" w:space="0" w:color="auto"/>
        <w:bottom w:val="none" w:sz="0" w:space="0" w:color="auto"/>
        <w:right w:val="none" w:sz="0" w:space="0" w:color="auto"/>
      </w:divBdr>
    </w:div>
    <w:div w:id="479808821">
      <w:bodyDiv w:val="1"/>
      <w:marLeft w:val="0"/>
      <w:marRight w:val="0"/>
      <w:marTop w:val="0"/>
      <w:marBottom w:val="0"/>
      <w:divBdr>
        <w:top w:val="none" w:sz="0" w:space="0" w:color="auto"/>
        <w:left w:val="none" w:sz="0" w:space="0" w:color="auto"/>
        <w:bottom w:val="none" w:sz="0" w:space="0" w:color="auto"/>
        <w:right w:val="none" w:sz="0" w:space="0" w:color="auto"/>
      </w:divBdr>
    </w:div>
    <w:div w:id="940991176">
      <w:bodyDiv w:val="1"/>
      <w:marLeft w:val="0"/>
      <w:marRight w:val="0"/>
      <w:marTop w:val="0"/>
      <w:marBottom w:val="0"/>
      <w:divBdr>
        <w:top w:val="none" w:sz="0" w:space="0" w:color="auto"/>
        <w:left w:val="none" w:sz="0" w:space="0" w:color="auto"/>
        <w:bottom w:val="none" w:sz="0" w:space="0" w:color="auto"/>
        <w:right w:val="none" w:sz="0" w:space="0" w:color="auto"/>
      </w:divBdr>
    </w:div>
    <w:div w:id="1062219470">
      <w:bodyDiv w:val="1"/>
      <w:marLeft w:val="0"/>
      <w:marRight w:val="0"/>
      <w:marTop w:val="0"/>
      <w:marBottom w:val="0"/>
      <w:divBdr>
        <w:top w:val="none" w:sz="0" w:space="0" w:color="auto"/>
        <w:left w:val="none" w:sz="0" w:space="0" w:color="auto"/>
        <w:bottom w:val="none" w:sz="0" w:space="0" w:color="auto"/>
        <w:right w:val="none" w:sz="0" w:space="0" w:color="auto"/>
      </w:divBdr>
    </w:div>
    <w:div w:id="1160148124">
      <w:bodyDiv w:val="1"/>
      <w:marLeft w:val="0"/>
      <w:marRight w:val="0"/>
      <w:marTop w:val="0"/>
      <w:marBottom w:val="0"/>
      <w:divBdr>
        <w:top w:val="none" w:sz="0" w:space="0" w:color="auto"/>
        <w:left w:val="none" w:sz="0" w:space="0" w:color="auto"/>
        <w:bottom w:val="none" w:sz="0" w:space="0" w:color="auto"/>
        <w:right w:val="none" w:sz="0" w:space="0" w:color="auto"/>
      </w:divBdr>
    </w:div>
    <w:div w:id="1162815859">
      <w:bodyDiv w:val="1"/>
      <w:marLeft w:val="0"/>
      <w:marRight w:val="0"/>
      <w:marTop w:val="0"/>
      <w:marBottom w:val="0"/>
      <w:divBdr>
        <w:top w:val="none" w:sz="0" w:space="0" w:color="auto"/>
        <w:left w:val="none" w:sz="0" w:space="0" w:color="auto"/>
        <w:bottom w:val="none" w:sz="0" w:space="0" w:color="auto"/>
        <w:right w:val="none" w:sz="0" w:space="0" w:color="auto"/>
      </w:divBdr>
    </w:div>
    <w:div w:id="1292202347">
      <w:bodyDiv w:val="1"/>
      <w:marLeft w:val="0"/>
      <w:marRight w:val="0"/>
      <w:marTop w:val="0"/>
      <w:marBottom w:val="0"/>
      <w:divBdr>
        <w:top w:val="none" w:sz="0" w:space="0" w:color="auto"/>
        <w:left w:val="none" w:sz="0" w:space="0" w:color="auto"/>
        <w:bottom w:val="none" w:sz="0" w:space="0" w:color="auto"/>
        <w:right w:val="none" w:sz="0" w:space="0" w:color="auto"/>
      </w:divBdr>
    </w:div>
    <w:div w:id="1372001983">
      <w:bodyDiv w:val="1"/>
      <w:marLeft w:val="0"/>
      <w:marRight w:val="0"/>
      <w:marTop w:val="0"/>
      <w:marBottom w:val="0"/>
      <w:divBdr>
        <w:top w:val="none" w:sz="0" w:space="0" w:color="auto"/>
        <w:left w:val="none" w:sz="0" w:space="0" w:color="auto"/>
        <w:bottom w:val="none" w:sz="0" w:space="0" w:color="auto"/>
        <w:right w:val="none" w:sz="0" w:space="0" w:color="auto"/>
      </w:divBdr>
    </w:div>
    <w:div w:id="1440250641">
      <w:bodyDiv w:val="1"/>
      <w:marLeft w:val="0"/>
      <w:marRight w:val="0"/>
      <w:marTop w:val="0"/>
      <w:marBottom w:val="0"/>
      <w:divBdr>
        <w:top w:val="none" w:sz="0" w:space="0" w:color="auto"/>
        <w:left w:val="none" w:sz="0" w:space="0" w:color="auto"/>
        <w:bottom w:val="none" w:sz="0" w:space="0" w:color="auto"/>
        <w:right w:val="none" w:sz="0" w:space="0" w:color="auto"/>
      </w:divBdr>
    </w:div>
    <w:div w:id="1483623474">
      <w:bodyDiv w:val="1"/>
      <w:marLeft w:val="0"/>
      <w:marRight w:val="0"/>
      <w:marTop w:val="0"/>
      <w:marBottom w:val="0"/>
      <w:divBdr>
        <w:top w:val="none" w:sz="0" w:space="0" w:color="auto"/>
        <w:left w:val="none" w:sz="0" w:space="0" w:color="auto"/>
        <w:bottom w:val="none" w:sz="0" w:space="0" w:color="auto"/>
        <w:right w:val="none" w:sz="0" w:space="0" w:color="auto"/>
      </w:divBdr>
    </w:div>
    <w:div w:id="1631126200">
      <w:bodyDiv w:val="1"/>
      <w:marLeft w:val="0"/>
      <w:marRight w:val="0"/>
      <w:marTop w:val="0"/>
      <w:marBottom w:val="0"/>
      <w:divBdr>
        <w:top w:val="none" w:sz="0" w:space="0" w:color="auto"/>
        <w:left w:val="none" w:sz="0" w:space="0" w:color="auto"/>
        <w:bottom w:val="none" w:sz="0" w:space="0" w:color="auto"/>
        <w:right w:val="none" w:sz="0" w:space="0" w:color="auto"/>
      </w:divBdr>
    </w:div>
    <w:div w:id="1749886455">
      <w:bodyDiv w:val="1"/>
      <w:marLeft w:val="0"/>
      <w:marRight w:val="0"/>
      <w:marTop w:val="0"/>
      <w:marBottom w:val="0"/>
      <w:divBdr>
        <w:top w:val="none" w:sz="0" w:space="0" w:color="auto"/>
        <w:left w:val="none" w:sz="0" w:space="0" w:color="auto"/>
        <w:bottom w:val="none" w:sz="0" w:space="0" w:color="auto"/>
        <w:right w:val="none" w:sz="0" w:space="0" w:color="auto"/>
      </w:divBdr>
    </w:div>
    <w:div w:id="1755930876">
      <w:bodyDiv w:val="1"/>
      <w:marLeft w:val="0"/>
      <w:marRight w:val="0"/>
      <w:marTop w:val="0"/>
      <w:marBottom w:val="0"/>
      <w:divBdr>
        <w:top w:val="none" w:sz="0" w:space="0" w:color="auto"/>
        <w:left w:val="none" w:sz="0" w:space="0" w:color="auto"/>
        <w:bottom w:val="none" w:sz="0" w:space="0" w:color="auto"/>
        <w:right w:val="none" w:sz="0" w:space="0" w:color="auto"/>
      </w:divBdr>
    </w:div>
    <w:div w:id="1890412996">
      <w:bodyDiv w:val="1"/>
      <w:marLeft w:val="0"/>
      <w:marRight w:val="0"/>
      <w:marTop w:val="0"/>
      <w:marBottom w:val="0"/>
      <w:divBdr>
        <w:top w:val="none" w:sz="0" w:space="0" w:color="auto"/>
        <w:left w:val="none" w:sz="0" w:space="0" w:color="auto"/>
        <w:bottom w:val="none" w:sz="0" w:space="0" w:color="auto"/>
        <w:right w:val="none" w:sz="0" w:space="0" w:color="auto"/>
      </w:divBdr>
    </w:div>
    <w:div w:id="2038267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argentina.gob.ar/derechoshumanos/aviso-importante-en-cumplimiento-de-la-sentencia-de-la-corte-idh-en-el-caso-almeida" TargetMode="External"/><Relationship Id="rId2" Type="http://schemas.openxmlformats.org/officeDocument/2006/relationships/hyperlink" Target="https://www.argentina.gob.ar/justicia/Publicaciones-CIDH" TargetMode="External"/><Relationship Id="rId1" Type="http://schemas.openxmlformats.org/officeDocument/2006/relationships/hyperlink" Target="https://www.corteidh.or.cr/docs/casos/articulos/seriec_416_esp.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D0C6AD-A5DD-4A64-B35A-13135D1D0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3427</Words>
  <Characters>17790</Characters>
  <Application>Microsoft Office Word</Application>
  <DocSecurity>0</DocSecurity>
  <Lines>348</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 IDH</dc:creator>
  <cp:keywords/>
  <dc:description/>
  <cp:lastModifiedBy>Liliana Tojo</cp:lastModifiedBy>
  <cp:revision>2</cp:revision>
  <cp:lastPrinted>2024-03-14T21:32:00Z</cp:lastPrinted>
  <dcterms:created xsi:type="dcterms:W3CDTF">2024-04-25T20:05:00Z</dcterms:created>
  <dcterms:modified xsi:type="dcterms:W3CDTF">2024-04-25T20:05:00Z</dcterms:modified>
</cp:coreProperties>
</file>