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5F91E2" w14:textId="77777777" w:rsidR="00E2191F" w:rsidRDefault="00E2191F" w:rsidP="00E218C4">
      <w:pPr>
        <w:spacing w:line="240" w:lineRule="exact"/>
        <w:ind w:right="-138"/>
        <w:jc w:val="center"/>
        <w:rPr>
          <w:rFonts w:eastAsia="MS Mincho" w:cs="Times New Roman"/>
          <w:b/>
          <w:sz w:val="20"/>
          <w:szCs w:val="20"/>
        </w:rPr>
      </w:pPr>
    </w:p>
    <w:p w14:paraId="3235DC92" w14:textId="77777777" w:rsidR="00E2191F" w:rsidRDefault="00E2191F" w:rsidP="00E218C4">
      <w:pPr>
        <w:spacing w:line="240" w:lineRule="exact"/>
        <w:ind w:right="-138"/>
        <w:jc w:val="center"/>
        <w:rPr>
          <w:rFonts w:eastAsia="MS Mincho" w:cs="Times New Roman"/>
          <w:b/>
          <w:sz w:val="20"/>
          <w:szCs w:val="20"/>
        </w:rPr>
      </w:pPr>
    </w:p>
    <w:p w14:paraId="6E02FDA7" w14:textId="176C5642" w:rsidR="00E218C4" w:rsidRPr="00647F78" w:rsidRDefault="00E218C4" w:rsidP="00E218C4">
      <w:pPr>
        <w:spacing w:line="240" w:lineRule="exact"/>
        <w:ind w:right="-138"/>
        <w:jc w:val="center"/>
        <w:rPr>
          <w:rFonts w:eastAsia="MS Mincho" w:cs="Times New Roman"/>
          <w:b/>
          <w:sz w:val="20"/>
          <w:szCs w:val="20"/>
          <w:lang w:val="en-US"/>
        </w:rPr>
      </w:pPr>
      <w:r>
        <w:rPr>
          <w:rFonts w:eastAsia="MS Mincho" w:cs="Times New Roman"/>
          <w:b/>
          <w:bCs/>
          <w:sz w:val="20"/>
          <w:szCs w:val="20"/>
          <w:lang w:val="en"/>
        </w:rPr>
        <w:t>INTER-AMERICAN COURT OF HUMAN RIGHTS</w:t>
      </w:r>
    </w:p>
    <w:p w14:paraId="03C9D413" w14:textId="77777777" w:rsidR="00E218C4" w:rsidRPr="00647F78" w:rsidRDefault="00E218C4" w:rsidP="00E218C4">
      <w:pPr>
        <w:spacing w:line="240" w:lineRule="exact"/>
        <w:rPr>
          <w:rFonts w:eastAsia="Calibri" w:cs="Times New Roman"/>
          <w:b/>
          <w:sz w:val="20"/>
          <w:szCs w:val="20"/>
          <w:lang w:val="en-US"/>
        </w:rPr>
      </w:pPr>
    </w:p>
    <w:p w14:paraId="70D99FA9" w14:textId="77777777" w:rsidR="00E218C4" w:rsidRPr="00647F78" w:rsidRDefault="00E218C4" w:rsidP="00E218C4">
      <w:pPr>
        <w:adjustRightInd w:val="0"/>
        <w:spacing w:line="240" w:lineRule="exact"/>
        <w:jc w:val="center"/>
        <w:rPr>
          <w:rFonts w:eastAsia="MS Mincho" w:cs="Times New Roman"/>
          <w:b/>
          <w:sz w:val="20"/>
          <w:szCs w:val="20"/>
          <w:lang w:val="en-US"/>
        </w:rPr>
      </w:pPr>
      <w:r>
        <w:rPr>
          <w:rFonts w:eastAsia="MS Mincho" w:cs="Times New Roman"/>
          <w:b/>
          <w:bCs/>
          <w:sz w:val="20"/>
          <w:szCs w:val="20"/>
          <w:lang w:val="en"/>
        </w:rPr>
        <w:t>CASE OF MAIDANIK ET AL. V. URUGUAY</w:t>
      </w:r>
    </w:p>
    <w:p w14:paraId="67CF1087" w14:textId="77777777" w:rsidR="00E218C4" w:rsidRPr="00647F78" w:rsidRDefault="00E218C4" w:rsidP="00E218C4">
      <w:pPr>
        <w:adjustRightInd w:val="0"/>
        <w:spacing w:line="240" w:lineRule="exact"/>
        <w:jc w:val="center"/>
        <w:rPr>
          <w:rFonts w:eastAsia="MS Mincho" w:cs="Times New Roman"/>
          <w:b/>
          <w:sz w:val="20"/>
          <w:szCs w:val="20"/>
          <w:lang w:val="en-US"/>
        </w:rPr>
      </w:pPr>
    </w:p>
    <w:p w14:paraId="0DB9E7E2" w14:textId="76AA43FC" w:rsidR="00E218C4" w:rsidRPr="00647F78" w:rsidRDefault="00E218C4" w:rsidP="00E218C4">
      <w:pPr>
        <w:spacing w:line="240" w:lineRule="exact"/>
        <w:ind w:right="-138"/>
        <w:jc w:val="center"/>
        <w:rPr>
          <w:rFonts w:eastAsia="MS Mincho" w:cs="Times New Roman"/>
          <w:b/>
          <w:sz w:val="20"/>
          <w:szCs w:val="20"/>
          <w:lang w:val="en-US"/>
        </w:rPr>
      </w:pPr>
      <w:r>
        <w:rPr>
          <w:rFonts w:eastAsia="MS Mincho" w:cs="Times New Roman"/>
          <w:b/>
          <w:bCs/>
          <w:sz w:val="20"/>
          <w:szCs w:val="20"/>
          <w:lang w:val="en"/>
        </w:rPr>
        <w:t>JUDGMENT OF NOVEMBER 21, 2022</w:t>
      </w:r>
    </w:p>
    <w:p w14:paraId="30017E9A" w14:textId="1C35785D" w:rsidR="00E218C4" w:rsidRPr="00647F78" w:rsidRDefault="00E218C4" w:rsidP="00E218C4">
      <w:pPr>
        <w:spacing w:line="240" w:lineRule="exact"/>
        <w:ind w:right="-138"/>
        <w:jc w:val="center"/>
        <w:rPr>
          <w:rFonts w:eastAsia="MS Mincho" w:cs="Times New Roman"/>
          <w:b/>
          <w:i/>
          <w:sz w:val="20"/>
          <w:szCs w:val="20"/>
          <w:lang w:val="en-US"/>
        </w:rPr>
      </w:pPr>
      <w:r>
        <w:rPr>
          <w:rFonts w:eastAsia="MS Mincho" w:cs="Times New Roman"/>
          <w:b/>
          <w:bCs/>
          <w:i/>
          <w:iCs/>
          <w:sz w:val="20"/>
          <w:szCs w:val="20"/>
          <w:lang w:val="en"/>
        </w:rPr>
        <w:t>(Interpretation of Judgment on Merits and Reparations)</w:t>
      </w:r>
    </w:p>
    <w:p w14:paraId="4462A7F2" w14:textId="77777777" w:rsidR="00E218C4" w:rsidRPr="00647F78" w:rsidRDefault="00E218C4" w:rsidP="00E218C4">
      <w:pPr>
        <w:spacing w:line="240" w:lineRule="exact"/>
        <w:ind w:left="-502" w:right="-138"/>
        <w:jc w:val="both"/>
        <w:rPr>
          <w:rFonts w:eastAsia="MS Mincho" w:cs="Times New Roman"/>
          <w:b/>
          <w:sz w:val="20"/>
          <w:szCs w:val="20"/>
          <w:lang w:val="en-US"/>
        </w:rPr>
      </w:pPr>
    </w:p>
    <w:p w14:paraId="17D1CC21" w14:textId="77777777" w:rsidR="00E218C4" w:rsidRPr="00647F78" w:rsidRDefault="00E218C4" w:rsidP="00E218C4">
      <w:pPr>
        <w:spacing w:line="240" w:lineRule="exact"/>
        <w:jc w:val="both"/>
        <w:rPr>
          <w:rFonts w:eastAsia="Calibri" w:cs="Times New Roman"/>
          <w:b/>
          <w:i/>
          <w:sz w:val="20"/>
          <w:szCs w:val="20"/>
          <w:lang w:val="en-US"/>
        </w:rPr>
      </w:pPr>
    </w:p>
    <w:p w14:paraId="6690BFF7" w14:textId="77777777" w:rsidR="00E218C4" w:rsidRPr="00647F78" w:rsidRDefault="00E218C4" w:rsidP="00E218C4">
      <w:pPr>
        <w:spacing w:line="240" w:lineRule="exact"/>
        <w:jc w:val="both"/>
        <w:rPr>
          <w:rFonts w:eastAsia="Calibri" w:cs="Times New Roman"/>
          <w:b/>
          <w:i/>
          <w:sz w:val="20"/>
          <w:szCs w:val="20"/>
          <w:lang w:val="en-US"/>
        </w:rPr>
      </w:pPr>
    </w:p>
    <w:p w14:paraId="537128C0" w14:textId="77777777" w:rsidR="00E2191F" w:rsidRPr="00647F78" w:rsidRDefault="00E2191F" w:rsidP="00E218C4">
      <w:pPr>
        <w:adjustRightInd w:val="0"/>
        <w:spacing w:line="240" w:lineRule="exact"/>
        <w:rPr>
          <w:rFonts w:eastAsia="Calibri" w:cs="Times New Roman"/>
          <w:sz w:val="20"/>
          <w:szCs w:val="20"/>
          <w:lang w:val="en-US"/>
        </w:rPr>
      </w:pPr>
    </w:p>
    <w:p w14:paraId="0E958E03" w14:textId="77777777" w:rsidR="00E2191F" w:rsidRPr="00647F78" w:rsidRDefault="00E2191F" w:rsidP="00E218C4">
      <w:pPr>
        <w:adjustRightInd w:val="0"/>
        <w:spacing w:line="240" w:lineRule="exact"/>
        <w:rPr>
          <w:rFonts w:eastAsia="Calibri" w:cs="Times New Roman"/>
          <w:sz w:val="20"/>
          <w:szCs w:val="20"/>
          <w:lang w:val="en-US"/>
        </w:rPr>
      </w:pPr>
    </w:p>
    <w:p w14:paraId="5A21467D" w14:textId="37353095" w:rsidR="00E218C4" w:rsidRPr="00647F78" w:rsidRDefault="00E218C4" w:rsidP="00E218C4">
      <w:pPr>
        <w:adjustRightInd w:val="0"/>
        <w:spacing w:line="240" w:lineRule="exact"/>
        <w:rPr>
          <w:rFonts w:eastAsia="MS Mincho" w:cs="Times New Roman"/>
          <w:b/>
          <w:sz w:val="20"/>
          <w:szCs w:val="20"/>
          <w:lang w:val="en-US"/>
        </w:rPr>
      </w:pPr>
      <w:r>
        <w:rPr>
          <w:rFonts w:cs="Times New Roman"/>
          <w:sz w:val="20"/>
          <w:szCs w:val="20"/>
          <w:lang w:val="en"/>
        </w:rPr>
        <w:t xml:space="preserve">In the </w:t>
      </w:r>
      <w:r>
        <w:rPr>
          <w:rFonts w:cs="Times New Roman"/>
          <w:i/>
          <w:iCs/>
          <w:sz w:val="20"/>
          <w:szCs w:val="20"/>
          <w:lang w:val="en"/>
        </w:rPr>
        <w:t xml:space="preserve">case of </w:t>
      </w:r>
      <w:proofErr w:type="spellStart"/>
      <w:r>
        <w:rPr>
          <w:rFonts w:cs="Times New Roman"/>
          <w:i/>
          <w:iCs/>
          <w:sz w:val="20"/>
          <w:szCs w:val="20"/>
          <w:lang w:val="en"/>
        </w:rPr>
        <w:t>Maidanik</w:t>
      </w:r>
      <w:proofErr w:type="spellEnd"/>
      <w:r>
        <w:rPr>
          <w:rFonts w:cs="Times New Roman"/>
          <w:i/>
          <w:iCs/>
          <w:sz w:val="20"/>
          <w:szCs w:val="20"/>
          <w:lang w:val="en"/>
        </w:rPr>
        <w:t xml:space="preserve"> et al. v. Uruguay,</w:t>
      </w:r>
      <w:r>
        <w:rPr>
          <w:rFonts w:cs="Times New Roman"/>
          <w:b/>
          <w:bCs/>
          <w:sz w:val="20"/>
          <w:szCs w:val="20"/>
          <w:lang w:val="en"/>
        </w:rPr>
        <w:t xml:space="preserve"> </w:t>
      </w:r>
    </w:p>
    <w:p w14:paraId="499A087E" w14:textId="77777777" w:rsidR="00E218C4" w:rsidRPr="00647F78" w:rsidRDefault="00E218C4" w:rsidP="00E218C4">
      <w:pPr>
        <w:adjustRightInd w:val="0"/>
        <w:spacing w:line="240" w:lineRule="exact"/>
        <w:rPr>
          <w:rFonts w:eastAsia="Calibri" w:cs="Times New Roman"/>
          <w:sz w:val="20"/>
          <w:szCs w:val="20"/>
          <w:lang w:val="en-US"/>
        </w:rPr>
      </w:pPr>
    </w:p>
    <w:p w14:paraId="3544B6DF" w14:textId="77777777" w:rsidR="00E218C4" w:rsidRPr="00647F78" w:rsidRDefault="00E218C4" w:rsidP="00E218C4">
      <w:pPr>
        <w:spacing w:line="240" w:lineRule="exact"/>
        <w:jc w:val="both"/>
        <w:rPr>
          <w:rFonts w:eastAsia="Calibri" w:cs="Times New Roman"/>
          <w:sz w:val="20"/>
          <w:szCs w:val="20"/>
          <w:lang w:val="en-US"/>
        </w:rPr>
      </w:pPr>
      <w:r>
        <w:rPr>
          <w:rFonts w:cs="Times New Roman"/>
          <w:sz w:val="20"/>
          <w:szCs w:val="20"/>
          <w:lang w:val="en"/>
        </w:rPr>
        <w:t xml:space="preserve">the Inter-American Court of Human Rights (hereinafter “the Inter-American Court” or “the Court”), composed of the following </w:t>
      </w:r>
      <w:proofErr w:type="gramStart"/>
      <w:r>
        <w:rPr>
          <w:rFonts w:cs="Times New Roman"/>
          <w:sz w:val="20"/>
          <w:szCs w:val="20"/>
          <w:lang w:val="en"/>
        </w:rPr>
        <w:t>judges:</w:t>
      </w:r>
      <w:r>
        <w:rPr>
          <w:rFonts w:cs="Times New Roman"/>
          <w:sz w:val="20"/>
          <w:szCs w:val="20"/>
          <w:vertAlign w:val="superscript"/>
          <w:lang w:val="en"/>
        </w:rPr>
        <w:footnoteReference w:customMarkFollows="1" w:id="1"/>
        <w:t>*</w:t>
      </w:r>
      <w:proofErr w:type="gramEnd"/>
    </w:p>
    <w:p w14:paraId="28284E79" w14:textId="77777777" w:rsidR="00E218C4" w:rsidRPr="00647F78" w:rsidRDefault="00E218C4" w:rsidP="00E218C4">
      <w:pPr>
        <w:spacing w:line="240" w:lineRule="exact"/>
        <w:jc w:val="both"/>
        <w:rPr>
          <w:rFonts w:eastAsia="Calibri" w:cs="Times New Roman"/>
          <w:sz w:val="20"/>
          <w:szCs w:val="20"/>
          <w:lang w:val="en-US"/>
        </w:rPr>
      </w:pPr>
    </w:p>
    <w:p w14:paraId="2D573A0C" w14:textId="77777777" w:rsidR="00E218C4" w:rsidRPr="00647F78" w:rsidRDefault="00E218C4" w:rsidP="00E218C4">
      <w:pPr>
        <w:spacing w:line="240" w:lineRule="exact"/>
        <w:ind w:left="720"/>
        <w:jc w:val="both"/>
        <w:rPr>
          <w:sz w:val="20"/>
          <w:szCs w:val="20"/>
          <w:lang w:val="pt-BR"/>
        </w:rPr>
      </w:pPr>
      <w:r w:rsidRPr="00647F78">
        <w:rPr>
          <w:sz w:val="20"/>
          <w:szCs w:val="20"/>
          <w:lang w:val="pt-BR"/>
        </w:rPr>
        <w:t xml:space="preserve">Elizabeth </w:t>
      </w:r>
      <w:proofErr w:type="spellStart"/>
      <w:r w:rsidRPr="00647F78">
        <w:rPr>
          <w:sz w:val="20"/>
          <w:szCs w:val="20"/>
          <w:lang w:val="pt-BR"/>
        </w:rPr>
        <w:t>Odio</w:t>
      </w:r>
      <w:proofErr w:type="spellEnd"/>
      <w:r w:rsidRPr="00647F78">
        <w:rPr>
          <w:sz w:val="20"/>
          <w:szCs w:val="20"/>
          <w:lang w:val="pt-BR"/>
        </w:rPr>
        <w:t xml:space="preserve"> Benito, </w:t>
      </w:r>
      <w:proofErr w:type="spellStart"/>
      <w:r w:rsidRPr="00647F78">
        <w:rPr>
          <w:sz w:val="20"/>
          <w:szCs w:val="20"/>
          <w:lang w:val="pt-BR"/>
        </w:rPr>
        <w:t>President</w:t>
      </w:r>
      <w:proofErr w:type="spellEnd"/>
    </w:p>
    <w:p w14:paraId="065A99C8" w14:textId="77777777" w:rsidR="00E218C4" w:rsidRPr="00647F78" w:rsidRDefault="00E218C4" w:rsidP="00E218C4">
      <w:pPr>
        <w:spacing w:line="240" w:lineRule="exact"/>
        <w:ind w:left="720"/>
        <w:jc w:val="both"/>
        <w:rPr>
          <w:sz w:val="20"/>
          <w:szCs w:val="20"/>
          <w:lang w:val="pt-BR"/>
        </w:rPr>
      </w:pPr>
      <w:r w:rsidRPr="00647F78">
        <w:rPr>
          <w:sz w:val="20"/>
          <w:szCs w:val="20"/>
          <w:lang w:val="pt-BR"/>
        </w:rPr>
        <w:t xml:space="preserve">L. Patricio </w:t>
      </w:r>
      <w:proofErr w:type="spellStart"/>
      <w:r w:rsidRPr="00647F78">
        <w:rPr>
          <w:sz w:val="20"/>
          <w:szCs w:val="20"/>
          <w:lang w:val="pt-BR"/>
        </w:rPr>
        <w:t>Pazmiño</w:t>
      </w:r>
      <w:proofErr w:type="spellEnd"/>
      <w:r w:rsidRPr="00647F78">
        <w:rPr>
          <w:sz w:val="20"/>
          <w:szCs w:val="20"/>
          <w:lang w:val="pt-BR"/>
        </w:rPr>
        <w:t xml:space="preserve"> Freire, Vice </w:t>
      </w:r>
      <w:proofErr w:type="spellStart"/>
      <w:r w:rsidRPr="00647F78">
        <w:rPr>
          <w:sz w:val="20"/>
          <w:szCs w:val="20"/>
          <w:lang w:val="pt-BR"/>
        </w:rPr>
        <w:t>President</w:t>
      </w:r>
      <w:proofErr w:type="spellEnd"/>
    </w:p>
    <w:p w14:paraId="566DE44E" w14:textId="77777777" w:rsidR="00E218C4" w:rsidRPr="00647F78" w:rsidRDefault="00E218C4" w:rsidP="00E218C4">
      <w:pPr>
        <w:spacing w:line="240" w:lineRule="exact"/>
        <w:ind w:left="720"/>
        <w:jc w:val="both"/>
        <w:rPr>
          <w:sz w:val="20"/>
          <w:szCs w:val="20"/>
          <w:lang w:val="pt-BR"/>
        </w:rPr>
      </w:pPr>
      <w:r w:rsidRPr="00647F78">
        <w:rPr>
          <w:sz w:val="20"/>
          <w:szCs w:val="20"/>
          <w:lang w:val="pt-BR"/>
        </w:rPr>
        <w:t xml:space="preserve">Humberto </w:t>
      </w:r>
      <w:proofErr w:type="spellStart"/>
      <w:r w:rsidRPr="00647F78">
        <w:rPr>
          <w:sz w:val="20"/>
          <w:szCs w:val="20"/>
          <w:lang w:val="pt-BR"/>
        </w:rPr>
        <w:t>Antonio</w:t>
      </w:r>
      <w:proofErr w:type="spellEnd"/>
      <w:r w:rsidRPr="00647F78">
        <w:rPr>
          <w:sz w:val="20"/>
          <w:szCs w:val="20"/>
          <w:lang w:val="pt-BR"/>
        </w:rPr>
        <w:t xml:space="preserve"> </w:t>
      </w:r>
      <w:proofErr w:type="spellStart"/>
      <w:r w:rsidRPr="00647F78">
        <w:rPr>
          <w:sz w:val="20"/>
          <w:szCs w:val="20"/>
          <w:lang w:val="pt-BR"/>
        </w:rPr>
        <w:t>Sierra</w:t>
      </w:r>
      <w:proofErr w:type="spellEnd"/>
      <w:r w:rsidRPr="00647F78">
        <w:rPr>
          <w:sz w:val="20"/>
          <w:szCs w:val="20"/>
          <w:lang w:val="pt-BR"/>
        </w:rPr>
        <w:t xml:space="preserve"> Porto, Judge</w:t>
      </w:r>
    </w:p>
    <w:p w14:paraId="50DC7A46" w14:textId="77777777" w:rsidR="00E218C4" w:rsidRPr="00647F78" w:rsidRDefault="00E218C4" w:rsidP="00E218C4">
      <w:pPr>
        <w:spacing w:line="240" w:lineRule="exact"/>
        <w:ind w:left="720"/>
        <w:jc w:val="both"/>
        <w:rPr>
          <w:rFonts w:eastAsia="Calibri" w:cs="Times New Roman"/>
          <w:sz w:val="20"/>
          <w:szCs w:val="20"/>
          <w:lang w:val="pt-BR"/>
        </w:rPr>
      </w:pPr>
      <w:r w:rsidRPr="00647F78">
        <w:rPr>
          <w:sz w:val="20"/>
          <w:szCs w:val="20"/>
          <w:lang w:val="pt-BR"/>
        </w:rPr>
        <w:t xml:space="preserve">Eduardo Ferrer </w:t>
      </w:r>
      <w:proofErr w:type="spellStart"/>
      <w:r w:rsidRPr="00647F78">
        <w:rPr>
          <w:sz w:val="20"/>
          <w:szCs w:val="20"/>
          <w:lang w:val="pt-BR"/>
        </w:rPr>
        <w:t>Mac-Gregor</w:t>
      </w:r>
      <w:proofErr w:type="spellEnd"/>
      <w:r w:rsidRPr="00647F78">
        <w:rPr>
          <w:sz w:val="20"/>
          <w:szCs w:val="20"/>
          <w:lang w:val="pt-BR"/>
        </w:rPr>
        <w:t xml:space="preserve"> </w:t>
      </w:r>
      <w:proofErr w:type="spellStart"/>
      <w:r w:rsidRPr="00647F78">
        <w:rPr>
          <w:sz w:val="20"/>
          <w:szCs w:val="20"/>
          <w:lang w:val="pt-BR"/>
        </w:rPr>
        <w:t>Poisot</w:t>
      </w:r>
      <w:proofErr w:type="spellEnd"/>
      <w:r w:rsidRPr="00647F78">
        <w:rPr>
          <w:sz w:val="20"/>
          <w:szCs w:val="20"/>
          <w:lang w:val="pt-BR"/>
        </w:rPr>
        <w:t xml:space="preserve">, Judge, </w:t>
      </w:r>
      <w:proofErr w:type="spellStart"/>
      <w:r w:rsidRPr="00647F78">
        <w:rPr>
          <w:sz w:val="20"/>
          <w:szCs w:val="20"/>
          <w:lang w:val="pt-BR"/>
        </w:rPr>
        <w:t>and</w:t>
      </w:r>
      <w:proofErr w:type="spellEnd"/>
    </w:p>
    <w:p w14:paraId="354BA586" w14:textId="77777777" w:rsidR="00E218C4" w:rsidRPr="00647F78" w:rsidRDefault="00E218C4" w:rsidP="00E218C4">
      <w:pPr>
        <w:spacing w:line="240" w:lineRule="exact"/>
        <w:ind w:left="720"/>
        <w:jc w:val="both"/>
        <w:rPr>
          <w:rFonts w:eastAsia="Calibri" w:cs="Times New Roman"/>
          <w:sz w:val="20"/>
          <w:szCs w:val="20"/>
          <w:lang w:val="en-US"/>
        </w:rPr>
      </w:pPr>
      <w:r>
        <w:rPr>
          <w:sz w:val="20"/>
          <w:szCs w:val="20"/>
          <w:lang w:val="en"/>
        </w:rPr>
        <w:t xml:space="preserve">Eugenio Raúl </w:t>
      </w:r>
      <w:proofErr w:type="spellStart"/>
      <w:r>
        <w:rPr>
          <w:sz w:val="20"/>
          <w:szCs w:val="20"/>
          <w:lang w:val="en"/>
        </w:rPr>
        <w:t>Zaffaroni</w:t>
      </w:r>
      <w:proofErr w:type="spellEnd"/>
      <w:r>
        <w:rPr>
          <w:sz w:val="20"/>
          <w:szCs w:val="20"/>
          <w:lang w:val="en"/>
        </w:rPr>
        <w:t>, Judge.</w:t>
      </w:r>
    </w:p>
    <w:p w14:paraId="3219D435" w14:textId="77777777" w:rsidR="00E218C4" w:rsidRPr="00647F78" w:rsidRDefault="00E218C4" w:rsidP="00E218C4">
      <w:pPr>
        <w:tabs>
          <w:tab w:val="left" w:pos="5670"/>
        </w:tabs>
        <w:spacing w:line="240" w:lineRule="exact"/>
        <w:ind w:left="100" w:right="4630"/>
        <w:rPr>
          <w:sz w:val="20"/>
          <w:szCs w:val="20"/>
          <w:lang w:val="en-US"/>
        </w:rPr>
      </w:pPr>
    </w:p>
    <w:p w14:paraId="725D1490" w14:textId="77777777" w:rsidR="00E2191F" w:rsidRPr="00647F78" w:rsidRDefault="00E2191F" w:rsidP="00E218C4">
      <w:pPr>
        <w:spacing w:line="240" w:lineRule="exact"/>
        <w:jc w:val="both"/>
        <w:rPr>
          <w:rFonts w:eastAsia="Calibri" w:cs="Times New Roman"/>
          <w:sz w:val="20"/>
          <w:szCs w:val="20"/>
          <w:lang w:val="en-US"/>
        </w:rPr>
      </w:pPr>
    </w:p>
    <w:p w14:paraId="23EEB685" w14:textId="575BA887" w:rsidR="00E218C4" w:rsidRPr="00647F78" w:rsidRDefault="00E218C4" w:rsidP="00E218C4">
      <w:pPr>
        <w:spacing w:line="240" w:lineRule="exact"/>
        <w:jc w:val="both"/>
        <w:rPr>
          <w:rFonts w:eastAsia="Calibri" w:cs="Times New Roman"/>
          <w:sz w:val="20"/>
          <w:szCs w:val="20"/>
          <w:lang w:val="en-US"/>
        </w:rPr>
      </w:pPr>
      <w:r>
        <w:rPr>
          <w:rFonts w:eastAsia="Calibri" w:cs="Times New Roman"/>
          <w:sz w:val="20"/>
          <w:szCs w:val="20"/>
          <w:lang w:val="en"/>
        </w:rPr>
        <w:t xml:space="preserve">also present, </w:t>
      </w:r>
    </w:p>
    <w:p w14:paraId="17DCC7D0" w14:textId="77777777" w:rsidR="00E218C4" w:rsidRPr="00647F78" w:rsidRDefault="00E218C4" w:rsidP="00E218C4">
      <w:pPr>
        <w:tabs>
          <w:tab w:val="left" w:pos="6195"/>
        </w:tabs>
        <w:spacing w:line="240" w:lineRule="exact"/>
        <w:jc w:val="both"/>
        <w:rPr>
          <w:rFonts w:eastAsia="Calibri" w:cs="Times New Roman"/>
          <w:sz w:val="20"/>
          <w:szCs w:val="20"/>
          <w:lang w:val="en-US"/>
        </w:rPr>
      </w:pPr>
      <w:r>
        <w:rPr>
          <w:lang w:val="en"/>
        </w:rPr>
        <w:tab/>
      </w:r>
    </w:p>
    <w:p w14:paraId="0BEA3295" w14:textId="77777777" w:rsidR="00E218C4" w:rsidRPr="00647F78" w:rsidRDefault="00E218C4" w:rsidP="00E218C4">
      <w:pPr>
        <w:spacing w:line="240" w:lineRule="exact"/>
        <w:ind w:left="720"/>
        <w:jc w:val="both"/>
        <w:rPr>
          <w:rFonts w:eastAsia="Calibri" w:cs="Times New Roman"/>
          <w:sz w:val="20"/>
          <w:szCs w:val="20"/>
          <w:lang w:val="pt-BR"/>
        </w:rPr>
      </w:pPr>
      <w:r w:rsidRPr="00647F78">
        <w:rPr>
          <w:rFonts w:eastAsia="Calibri" w:cs="Times New Roman"/>
          <w:sz w:val="20"/>
          <w:szCs w:val="20"/>
          <w:lang w:val="pt-BR"/>
        </w:rPr>
        <w:t xml:space="preserve">Pablo Saavedra Alessandri, Registrar, </w:t>
      </w:r>
      <w:proofErr w:type="spellStart"/>
      <w:r w:rsidRPr="00647F78">
        <w:rPr>
          <w:rFonts w:eastAsia="Calibri" w:cs="Times New Roman"/>
          <w:sz w:val="20"/>
          <w:szCs w:val="20"/>
          <w:lang w:val="pt-BR"/>
        </w:rPr>
        <w:t>and</w:t>
      </w:r>
      <w:proofErr w:type="spellEnd"/>
    </w:p>
    <w:p w14:paraId="3C94F671" w14:textId="4A5755EF" w:rsidR="000A5B2A" w:rsidRPr="00647F78" w:rsidRDefault="00E218C4" w:rsidP="00E218C4">
      <w:pPr>
        <w:spacing w:line="240" w:lineRule="exact"/>
        <w:ind w:left="720"/>
        <w:jc w:val="both"/>
        <w:rPr>
          <w:rFonts w:eastAsia="Calibri" w:cs="Times New Roman"/>
          <w:sz w:val="20"/>
          <w:szCs w:val="20"/>
          <w:lang w:val="pt-BR"/>
        </w:rPr>
      </w:pPr>
      <w:r w:rsidRPr="00647F78">
        <w:rPr>
          <w:rFonts w:eastAsia="Calibri" w:cs="Times New Roman"/>
          <w:sz w:val="20"/>
          <w:szCs w:val="20"/>
          <w:lang w:val="pt-BR"/>
        </w:rPr>
        <w:t xml:space="preserve">Romina I. </w:t>
      </w:r>
      <w:proofErr w:type="spellStart"/>
      <w:r w:rsidRPr="00647F78">
        <w:rPr>
          <w:rFonts w:eastAsia="Calibri" w:cs="Times New Roman"/>
          <w:sz w:val="20"/>
          <w:szCs w:val="20"/>
          <w:lang w:val="pt-BR"/>
        </w:rPr>
        <w:t>Sijniensky</w:t>
      </w:r>
      <w:proofErr w:type="spellEnd"/>
      <w:r w:rsidRPr="00647F78">
        <w:rPr>
          <w:rFonts w:eastAsia="Calibri" w:cs="Times New Roman"/>
          <w:sz w:val="20"/>
          <w:szCs w:val="20"/>
          <w:lang w:val="pt-BR"/>
        </w:rPr>
        <w:t xml:space="preserve">, </w:t>
      </w:r>
      <w:proofErr w:type="spellStart"/>
      <w:r w:rsidRPr="00647F78">
        <w:rPr>
          <w:rFonts w:eastAsia="Calibri" w:cs="Times New Roman"/>
          <w:sz w:val="20"/>
          <w:szCs w:val="20"/>
          <w:lang w:val="pt-BR"/>
        </w:rPr>
        <w:t>Deputy</w:t>
      </w:r>
      <w:proofErr w:type="spellEnd"/>
      <w:r w:rsidRPr="00647F78">
        <w:rPr>
          <w:rFonts w:eastAsia="Calibri" w:cs="Times New Roman"/>
          <w:sz w:val="20"/>
          <w:szCs w:val="20"/>
          <w:lang w:val="pt-BR"/>
        </w:rPr>
        <w:t xml:space="preserve"> Registrar,</w:t>
      </w:r>
    </w:p>
    <w:p w14:paraId="324A3029" w14:textId="77777777" w:rsidR="000A5B2A" w:rsidRPr="00647F78" w:rsidRDefault="000A5B2A">
      <w:pPr>
        <w:pStyle w:val="Textoindependiente"/>
        <w:spacing w:before="11"/>
        <w:rPr>
          <w:lang w:val="pt-BR"/>
        </w:rPr>
      </w:pPr>
    </w:p>
    <w:p w14:paraId="05592A89" w14:textId="77777777" w:rsidR="00E2191F" w:rsidRPr="00647F78" w:rsidRDefault="00E2191F">
      <w:pPr>
        <w:pStyle w:val="Textoindependiente"/>
        <w:ind w:left="102" w:right="112"/>
        <w:jc w:val="both"/>
        <w:rPr>
          <w:lang w:val="pt-BR"/>
        </w:rPr>
      </w:pPr>
    </w:p>
    <w:p w14:paraId="632675B3" w14:textId="77EACA20" w:rsidR="000A5B2A" w:rsidRPr="00647F78" w:rsidRDefault="002E36D2">
      <w:pPr>
        <w:pStyle w:val="Textoindependiente"/>
        <w:ind w:left="102" w:right="112"/>
        <w:jc w:val="both"/>
        <w:rPr>
          <w:lang w:val="en-US"/>
        </w:rPr>
      </w:pPr>
      <w:r>
        <w:rPr>
          <w:lang w:val="en"/>
        </w:rPr>
        <w:t>in accordance with Article 67 of the American Convention on Human Rights (hereinafter also “the American Convention” or “the Convention”) and Article 68 of the Rules of Procedure of the Court (hereinafter also "the Rules of Procedure") resolves the request for interpretation of the Judgment on Merits and Reparations issued by this Court on November 15, 2021, in this case (hereinafter also "the Judgment"), presented on February 22, 2022, by the Oriental Republic of Uruguay (hereinafter "the State" or “Uruguay”).</w:t>
      </w:r>
    </w:p>
    <w:p w14:paraId="557E47F1" w14:textId="77777777" w:rsidR="000A5B2A" w:rsidRPr="00647F78" w:rsidRDefault="000A5B2A">
      <w:pPr>
        <w:jc w:val="both"/>
        <w:rPr>
          <w:sz w:val="20"/>
          <w:szCs w:val="20"/>
          <w:lang w:val="en-US"/>
        </w:rPr>
        <w:sectPr w:rsidR="000A5B2A" w:rsidRPr="00647F78">
          <w:headerReference w:type="even" r:id="rId8"/>
          <w:headerReference w:type="default" r:id="rId9"/>
          <w:footerReference w:type="default" r:id="rId10"/>
          <w:headerReference w:type="first" r:id="rId11"/>
          <w:type w:val="continuous"/>
          <w:pgSz w:w="12240" w:h="15840"/>
          <w:pgMar w:top="1500" w:right="1580" w:bottom="1180" w:left="1600" w:header="0" w:footer="992" w:gutter="0"/>
          <w:pgNumType w:start="1"/>
          <w:cols w:space="720"/>
        </w:sectPr>
      </w:pPr>
    </w:p>
    <w:p w14:paraId="689AC250" w14:textId="77777777" w:rsidR="000A5B2A" w:rsidRPr="00647F78" w:rsidRDefault="002E36D2">
      <w:pPr>
        <w:pStyle w:val="Ttulo1"/>
        <w:spacing w:before="76"/>
        <w:ind w:left="0" w:right="17"/>
        <w:rPr>
          <w:lang w:val="en-US"/>
        </w:rPr>
      </w:pPr>
      <w:r>
        <w:rPr>
          <w:lang w:val="en"/>
        </w:rPr>
        <w:lastRenderedPageBreak/>
        <w:t>I</w:t>
      </w:r>
    </w:p>
    <w:p w14:paraId="141D6822" w14:textId="0A97ACCC" w:rsidR="000A5B2A" w:rsidRPr="00647F78" w:rsidRDefault="002E36D2">
      <w:pPr>
        <w:spacing w:before="2"/>
        <w:ind w:left="476" w:right="500"/>
        <w:jc w:val="center"/>
        <w:rPr>
          <w:b/>
          <w:sz w:val="20"/>
          <w:szCs w:val="20"/>
          <w:lang w:val="en-US"/>
        </w:rPr>
      </w:pPr>
      <w:r>
        <w:rPr>
          <w:b/>
          <w:bCs/>
          <w:sz w:val="20"/>
          <w:szCs w:val="20"/>
          <w:lang w:val="en"/>
        </w:rPr>
        <w:t>REQUEST FOR INTERPRETATION AND PROCEEDINGS BEFORE THE COURT</w:t>
      </w:r>
    </w:p>
    <w:p w14:paraId="47309780" w14:textId="77777777" w:rsidR="000A5B2A" w:rsidRPr="00647F78" w:rsidRDefault="000A5B2A">
      <w:pPr>
        <w:pStyle w:val="Textoindependiente"/>
        <w:spacing w:before="11"/>
        <w:rPr>
          <w:b/>
          <w:lang w:val="en-US"/>
        </w:rPr>
      </w:pPr>
    </w:p>
    <w:p w14:paraId="2E30D75A" w14:textId="0A17465D" w:rsidR="000A5B2A" w:rsidRPr="00647F78" w:rsidRDefault="002E36D2">
      <w:pPr>
        <w:pStyle w:val="Prrafodelista"/>
        <w:numPr>
          <w:ilvl w:val="0"/>
          <w:numId w:val="3"/>
        </w:numPr>
        <w:tabs>
          <w:tab w:val="left" w:pos="669"/>
        </w:tabs>
        <w:ind w:right="115" w:firstLine="0"/>
        <w:jc w:val="both"/>
        <w:rPr>
          <w:sz w:val="20"/>
          <w:szCs w:val="20"/>
          <w:lang w:val="en-US"/>
        </w:rPr>
      </w:pPr>
      <w:r>
        <w:rPr>
          <w:sz w:val="20"/>
          <w:szCs w:val="20"/>
          <w:lang w:val="en"/>
        </w:rPr>
        <w:t>On November 15, 2021, the Inter-American Court issued the judgment in this case, of which the parties and the Inter-American Commission on Human Rights (hereinafter also "the Commission") were notified on December 20, 2021.</w:t>
      </w:r>
    </w:p>
    <w:p w14:paraId="22C266F9" w14:textId="77777777" w:rsidR="000A5B2A" w:rsidRPr="00647F78" w:rsidRDefault="000A5B2A">
      <w:pPr>
        <w:pStyle w:val="Textoindependiente"/>
        <w:spacing w:before="1"/>
        <w:rPr>
          <w:lang w:val="en-US"/>
        </w:rPr>
      </w:pPr>
    </w:p>
    <w:p w14:paraId="1B8F4EB0" w14:textId="60313E29" w:rsidR="000A5B2A" w:rsidRPr="00647F78" w:rsidRDefault="002E36D2" w:rsidP="0096306C">
      <w:pPr>
        <w:pStyle w:val="Prrafodelista"/>
        <w:numPr>
          <w:ilvl w:val="0"/>
          <w:numId w:val="3"/>
        </w:numPr>
        <w:tabs>
          <w:tab w:val="left" w:pos="669"/>
        </w:tabs>
        <w:spacing w:before="1"/>
        <w:ind w:right="114" w:firstLine="0"/>
        <w:jc w:val="both"/>
        <w:rPr>
          <w:sz w:val="20"/>
          <w:szCs w:val="20"/>
          <w:lang w:val="en-US"/>
        </w:rPr>
      </w:pPr>
      <w:r>
        <w:rPr>
          <w:sz w:val="20"/>
          <w:szCs w:val="20"/>
          <w:lang w:val="en"/>
        </w:rPr>
        <w:t>On February 22, 2022, the State submitted a request for interpretation related to the scope of the provisions of paragraph 279 of the Judgment, regarding the distribution of a victim’s compensation among his heirs, as well as the provisions of paragraph 278, regarding the possibility of deducting from the compensation amounts set in the Judgment the sums of money delivered to the victims as reparations prior to its issuance.</w:t>
      </w:r>
      <w:r>
        <w:rPr>
          <w:rStyle w:val="Refdenotaalpie"/>
          <w:sz w:val="20"/>
          <w:szCs w:val="20"/>
          <w:lang w:val="en"/>
        </w:rPr>
        <w:footnoteReference w:id="2"/>
      </w:r>
      <w:r>
        <w:rPr>
          <w:sz w:val="20"/>
          <w:szCs w:val="20"/>
          <w:lang w:val="en"/>
        </w:rPr>
        <w:t xml:space="preserve"> </w:t>
      </w:r>
    </w:p>
    <w:p w14:paraId="3AE06BEF" w14:textId="77777777" w:rsidR="0096306C" w:rsidRPr="00647F78" w:rsidRDefault="0096306C" w:rsidP="0096306C">
      <w:pPr>
        <w:pStyle w:val="Prrafodelista"/>
        <w:rPr>
          <w:sz w:val="20"/>
          <w:szCs w:val="20"/>
          <w:lang w:val="en-US"/>
        </w:rPr>
      </w:pPr>
    </w:p>
    <w:p w14:paraId="6ACE98D8" w14:textId="320559D4" w:rsidR="000A5B2A" w:rsidRPr="00647F78" w:rsidRDefault="002E36D2">
      <w:pPr>
        <w:pStyle w:val="Prrafodelista"/>
        <w:numPr>
          <w:ilvl w:val="0"/>
          <w:numId w:val="3"/>
        </w:numPr>
        <w:tabs>
          <w:tab w:val="left" w:pos="669"/>
        </w:tabs>
        <w:spacing w:before="1"/>
        <w:ind w:right="114" w:firstLine="0"/>
        <w:jc w:val="both"/>
        <w:rPr>
          <w:sz w:val="20"/>
          <w:szCs w:val="20"/>
          <w:lang w:val="en-US"/>
        </w:rPr>
      </w:pPr>
      <w:r>
        <w:rPr>
          <w:sz w:val="20"/>
          <w:szCs w:val="20"/>
          <w:lang w:val="en"/>
        </w:rPr>
        <w:t>On February 23, 2022, in accordance with Article 68(2) of the Rules of Procedure and upon instructions from the Presidency, the Office of the Registrar of the Court transmitted the above request for interpretation to the representatives of the victims</w:t>
      </w:r>
      <w:r>
        <w:rPr>
          <w:rStyle w:val="Refdenotaalpie"/>
          <w:sz w:val="20"/>
          <w:szCs w:val="20"/>
          <w:lang w:val="en"/>
        </w:rPr>
        <w:footnoteReference w:id="3"/>
      </w:r>
      <w:r>
        <w:rPr>
          <w:sz w:val="20"/>
          <w:szCs w:val="20"/>
          <w:lang w:val="en"/>
        </w:rPr>
        <w:t xml:space="preserve"> (hereinafter "the representatives") and to the Commission, and granted them a deadline of March 24, 2022, to submit any written observations they deemed pertinent. On March 24, 2022, the Commission submitted its comments. The representatives did not submit any comments to the State’s request for interpretation.</w:t>
      </w:r>
    </w:p>
    <w:p w14:paraId="12CA867D" w14:textId="77777777" w:rsidR="000A5B2A" w:rsidRPr="00647F78" w:rsidRDefault="000A5B2A">
      <w:pPr>
        <w:pStyle w:val="Textoindependiente"/>
        <w:spacing w:before="11"/>
        <w:rPr>
          <w:lang w:val="en-US"/>
        </w:rPr>
      </w:pPr>
    </w:p>
    <w:p w14:paraId="7E963229" w14:textId="77777777" w:rsidR="000A5B2A" w:rsidRPr="00E2191F" w:rsidRDefault="002E36D2">
      <w:pPr>
        <w:pStyle w:val="Ttulo1"/>
        <w:ind w:left="3712" w:right="3727" w:hanging="6"/>
      </w:pPr>
      <w:r>
        <w:rPr>
          <w:lang w:val="en"/>
        </w:rPr>
        <w:t>II JURISDICTION</w:t>
      </w:r>
    </w:p>
    <w:p w14:paraId="630F5D68" w14:textId="77777777" w:rsidR="000A5B2A" w:rsidRPr="00E2191F" w:rsidRDefault="000A5B2A">
      <w:pPr>
        <w:pStyle w:val="Textoindependiente"/>
        <w:spacing w:before="1"/>
        <w:rPr>
          <w:b/>
        </w:rPr>
      </w:pPr>
    </w:p>
    <w:p w14:paraId="5F7F4B33" w14:textId="77777777" w:rsidR="000A5B2A" w:rsidRPr="00647F78" w:rsidRDefault="002E36D2">
      <w:pPr>
        <w:pStyle w:val="Prrafodelista"/>
        <w:numPr>
          <w:ilvl w:val="0"/>
          <w:numId w:val="3"/>
        </w:numPr>
        <w:tabs>
          <w:tab w:val="left" w:pos="669"/>
        </w:tabs>
        <w:ind w:left="668"/>
        <w:jc w:val="both"/>
        <w:rPr>
          <w:sz w:val="20"/>
          <w:szCs w:val="20"/>
          <w:lang w:val="en-US"/>
        </w:rPr>
      </w:pPr>
      <w:r>
        <w:rPr>
          <w:sz w:val="20"/>
          <w:szCs w:val="20"/>
          <w:lang w:val="en"/>
        </w:rPr>
        <w:t>Article 67 of the American Convention establishes as follows:</w:t>
      </w:r>
    </w:p>
    <w:p w14:paraId="3174DD5D" w14:textId="77777777" w:rsidR="000A5B2A" w:rsidRPr="00647F78" w:rsidRDefault="000A5B2A">
      <w:pPr>
        <w:pStyle w:val="Textoindependiente"/>
        <w:spacing w:before="3"/>
        <w:rPr>
          <w:lang w:val="en-US"/>
        </w:rPr>
      </w:pPr>
    </w:p>
    <w:p w14:paraId="6B5CF999" w14:textId="77777777" w:rsidR="000A5B2A" w:rsidRPr="00647F78" w:rsidRDefault="002E36D2" w:rsidP="00E540A8">
      <w:pPr>
        <w:ind w:left="567" w:right="555"/>
        <w:jc w:val="both"/>
        <w:rPr>
          <w:sz w:val="16"/>
          <w:szCs w:val="16"/>
          <w:lang w:val="en-US"/>
        </w:rPr>
      </w:pPr>
      <w:r>
        <w:rPr>
          <w:sz w:val="16"/>
          <w:szCs w:val="16"/>
          <w:lang w:val="en"/>
        </w:rPr>
        <w:t>The judgment of the Court shall be final and not subject to appeal. In case of disagreement as to the meaning or scope of the judgment, the Court shall interpret it at the request of any of the parties, provided the request is made within ninety days from the date of notification of the judgment.</w:t>
      </w:r>
    </w:p>
    <w:p w14:paraId="68E040FD" w14:textId="77777777" w:rsidR="000A5B2A" w:rsidRPr="00647F78" w:rsidRDefault="000A5B2A">
      <w:pPr>
        <w:pStyle w:val="Textoindependiente"/>
        <w:spacing w:before="9"/>
        <w:rPr>
          <w:lang w:val="en-US"/>
        </w:rPr>
      </w:pPr>
    </w:p>
    <w:p w14:paraId="7E2A2504" w14:textId="663F8539" w:rsidR="000A5B2A" w:rsidRPr="00647F78" w:rsidRDefault="002E36D2">
      <w:pPr>
        <w:pStyle w:val="Prrafodelista"/>
        <w:numPr>
          <w:ilvl w:val="0"/>
          <w:numId w:val="3"/>
        </w:numPr>
        <w:tabs>
          <w:tab w:val="left" w:pos="669"/>
        </w:tabs>
        <w:ind w:right="118" w:firstLine="0"/>
        <w:jc w:val="both"/>
        <w:rPr>
          <w:sz w:val="20"/>
          <w:szCs w:val="20"/>
          <w:lang w:val="en-US"/>
        </w:rPr>
      </w:pPr>
      <w:r>
        <w:rPr>
          <w:sz w:val="20"/>
          <w:szCs w:val="20"/>
          <w:lang w:val="en"/>
        </w:rPr>
        <w:t>In accordance with this article, the Inter-American Court is competent to interpret its judgments. To analyze requests for interpretation and resolve them as necessary, the Court must, if possible, have the same composition as when it handed down the corresponding judgment, in accordance with Article 68(3) of its Rules of Procedure. At this time, the Court is composed of the same judges that handed down the judgment of which interpretation is requested.</w:t>
      </w:r>
    </w:p>
    <w:p w14:paraId="31DAF501" w14:textId="77777777" w:rsidR="000A5B2A" w:rsidRPr="00647F78" w:rsidRDefault="000A5B2A">
      <w:pPr>
        <w:pStyle w:val="Textoindependiente"/>
        <w:spacing w:before="1"/>
        <w:rPr>
          <w:lang w:val="en-US"/>
        </w:rPr>
      </w:pPr>
    </w:p>
    <w:p w14:paraId="37F5E63B" w14:textId="77777777" w:rsidR="000A5B2A" w:rsidRPr="00E2191F" w:rsidRDefault="002E36D2">
      <w:pPr>
        <w:pStyle w:val="Ttulo1"/>
        <w:ind w:left="3604" w:right="3623" w:firstLine="3"/>
      </w:pPr>
      <w:r>
        <w:rPr>
          <w:lang w:val="en"/>
        </w:rPr>
        <w:t>III ADMISSIBILITY</w:t>
      </w:r>
    </w:p>
    <w:p w14:paraId="6F8E281E" w14:textId="77777777" w:rsidR="000A5B2A" w:rsidRPr="00E2191F" w:rsidRDefault="000A5B2A">
      <w:pPr>
        <w:pStyle w:val="Textoindependiente"/>
        <w:rPr>
          <w:b/>
        </w:rPr>
      </w:pPr>
    </w:p>
    <w:p w14:paraId="4212FDE0" w14:textId="4BBD2F6E" w:rsidR="000A5B2A" w:rsidRPr="00647F78" w:rsidRDefault="002E36D2">
      <w:pPr>
        <w:pStyle w:val="Prrafodelista"/>
        <w:numPr>
          <w:ilvl w:val="0"/>
          <w:numId w:val="3"/>
        </w:numPr>
        <w:tabs>
          <w:tab w:val="left" w:pos="669"/>
        </w:tabs>
        <w:spacing w:before="76"/>
        <w:ind w:right="114" w:firstLine="0"/>
        <w:jc w:val="both"/>
        <w:rPr>
          <w:sz w:val="20"/>
          <w:szCs w:val="20"/>
          <w:lang w:val="en-US"/>
        </w:rPr>
      </w:pPr>
      <w:r>
        <w:rPr>
          <w:sz w:val="20"/>
          <w:szCs w:val="20"/>
          <w:lang w:val="en"/>
        </w:rPr>
        <w:t xml:space="preserve">It falls to the Court to verify that the request presented by the State meets the requirements established in the norms applicable to a request for interpretation of judgment—that is, Article 67 of the Convention and Article 68 of the Rules of Procedure. Additionally, Article 31(3) of the Rules of Procedure establishes that “Judgments and </w:t>
      </w:r>
      <w:r>
        <w:rPr>
          <w:sz w:val="20"/>
          <w:szCs w:val="20"/>
          <w:lang w:val="en"/>
        </w:rPr>
        <w:lastRenderedPageBreak/>
        <w:t>orders of the Court may not be contested in any way.”</w:t>
      </w:r>
    </w:p>
    <w:p w14:paraId="6DA2418F" w14:textId="77777777" w:rsidR="000A5B2A" w:rsidRPr="00647F78" w:rsidRDefault="000A5B2A">
      <w:pPr>
        <w:pStyle w:val="Textoindependiente"/>
        <w:spacing w:before="1"/>
        <w:rPr>
          <w:lang w:val="en-US"/>
        </w:rPr>
      </w:pPr>
    </w:p>
    <w:p w14:paraId="04B9EADD" w14:textId="32554656" w:rsidR="000A5B2A" w:rsidRPr="00647F78" w:rsidRDefault="002E36D2">
      <w:pPr>
        <w:pStyle w:val="Prrafodelista"/>
        <w:numPr>
          <w:ilvl w:val="0"/>
          <w:numId w:val="3"/>
        </w:numPr>
        <w:tabs>
          <w:tab w:val="left" w:pos="669"/>
        </w:tabs>
        <w:ind w:right="114" w:firstLine="0"/>
        <w:jc w:val="both"/>
        <w:rPr>
          <w:sz w:val="20"/>
          <w:szCs w:val="20"/>
          <w:lang w:val="en-US"/>
        </w:rPr>
      </w:pPr>
      <w:r>
        <w:rPr>
          <w:sz w:val="20"/>
          <w:szCs w:val="20"/>
          <w:lang w:val="en"/>
        </w:rPr>
        <w:t xml:space="preserve">The Court notes that the State submitted its request for interpretation within the 90-day period established in Article 67 of the Convention. Indeed, the judgment was notified on December 20, 2021, and therefore, the request for interpretation—filed on February 22, 2022—is admissible as far as the deadline for its submission is concerned. </w:t>
      </w:r>
      <w:proofErr w:type="gramStart"/>
      <w:r>
        <w:rPr>
          <w:sz w:val="20"/>
          <w:szCs w:val="20"/>
          <w:lang w:val="en"/>
        </w:rPr>
        <w:t>With regard to</w:t>
      </w:r>
      <w:proofErr w:type="gramEnd"/>
      <w:r>
        <w:rPr>
          <w:sz w:val="20"/>
          <w:szCs w:val="20"/>
          <w:lang w:val="en"/>
        </w:rPr>
        <w:t xml:space="preserve"> the other requirements, the Inter-American Court will perform the corresponding analysis in the next chapter.</w:t>
      </w:r>
    </w:p>
    <w:p w14:paraId="6B73C094" w14:textId="77777777" w:rsidR="000A5B2A" w:rsidRPr="00647F78" w:rsidRDefault="000A5B2A">
      <w:pPr>
        <w:pStyle w:val="Textoindependiente"/>
        <w:spacing w:before="2"/>
        <w:rPr>
          <w:lang w:val="en-US"/>
        </w:rPr>
      </w:pPr>
    </w:p>
    <w:p w14:paraId="52AFD29E" w14:textId="77777777" w:rsidR="000A5B2A" w:rsidRPr="00647F78" w:rsidRDefault="002E36D2">
      <w:pPr>
        <w:pStyle w:val="Ttulo1"/>
        <w:spacing w:line="243" w:lineRule="exact"/>
        <w:ind w:right="1647"/>
        <w:rPr>
          <w:lang w:val="en-US"/>
        </w:rPr>
      </w:pPr>
      <w:r>
        <w:rPr>
          <w:lang w:val="en"/>
        </w:rPr>
        <w:t>IV</w:t>
      </w:r>
    </w:p>
    <w:p w14:paraId="3E2FE41F" w14:textId="77777777" w:rsidR="000A5B2A" w:rsidRPr="00647F78" w:rsidRDefault="002E36D2">
      <w:pPr>
        <w:spacing w:line="243" w:lineRule="exact"/>
        <w:ind w:left="331" w:right="349"/>
        <w:jc w:val="center"/>
        <w:rPr>
          <w:b/>
          <w:sz w:val="20"/>
          <w:szCs w:val="20"/>
          <w:lang w:val="en-US"/>
        </w:rPr>
      </w:pPr>
      <w:r>
        <w:rPr>
          <w:b/>
          <w:bCs/>
          <w:sz w:val="20"/>
          <w:szCs w:val="20"/>
          <w:lang w:val="en"/>
        </w:rPr>
        <w:t>ANALYSIS OF THE ADMISSIBILITY OF THE REQUESTS FOR INTERPRETATION</w:t>
      </w:r>
    </w:p>
    <w:p w14:paraId="4E4F423E" w14:textId="77777777" w:rsidR="000A5B2A" w:rsidRPr="00647F78" w:rsidRDefault="000A5B2A">
      <w:pPr>
        <w:pStyle w:val="Textoindependiente"/>
        <w:spacing w:before="11"/>
        <w:rPr>
          <w:b/>
          <w:lang w:val="en-US"/>
        </w:rPr>
      </w:pPr>
    </w:p>
    <w:p w14:paraId="51AD1B37" w14:textId="1842709A" w:rsidR="000A5B2A" w:rsidRPr="00647F78" w:rsidRDefault="002E36D2">
      <w:pPr>
        <w:pStyle w:val="Prrafodelista"/>
        <w:numPr>
          <w:ilvl w:val="0"/>
          <w:numId w:val="3"/>
        </w:numPr>
        <w:tabs>
          <w:tab w:val="left" w:pos="669"/>
        </w:tabs>
        <w:ind w:right="118" w:firstLine="0"/>
        <w:jc w:val="both"/>
        <w:rPr>
          <w:sz w:val="20"/>
          <w:szCs w:val="20"/>
          <w:lang w:val="en-US"/>
        </w:rPr>
      </w:pPr>
      <w:r>
        <w:rPr>
          <w:sz w:val="20"/>
          <w:szCs w:val="20"/>
          <w:lang w:val="en"/>
        </w:rPr>
        <w:t>The Court will now examine the State’s request for interpretation to determine whether, in accordance with the law and the standards developed in its case law, it is admissible to clarify the meaning or scope of any point of the Judgment.</w:t>
      </w:r>
    </w:p>
    <w:p w14:paraId="78F9ECE3" w14:textId="77777777" w:rsidR="000A5B2A" w:rsidRPr="00647F78" w:rsidRDefault="000A5B2A">
      <w:pPr>
        <w:pStyle w:val="Textoindependiente"/>
        <w:spacing w:before="2"/>
        <w:rPr>
          <w:lang w:val="en-US"/>
        </w:rPr>
      </w:pPr>
    </w:p>
    <w:p w14:paraId="2701AD7D" w14:textId="5BCAB977" w:rsidR="000A5B2A" w:rsidRPr="00647F78" w:rsidRDefault="002E36D2">
      <w:pPr>
        <w:pStyle w:val="Prrafodelista"/>
        <w:numPr>
          <w:ilvl w:val="0"/>
          <w:numId w:val="3"/>
        </w:numPr>
        <w:tabs>
          <w:tab w:val="left" w:pos="669"/>
        </w:tabs>
        <w:ind w:right="120" w:firstLine="0"/>
        <w:jc w:val="both"/>
        <w:rPr>
          <w:sz w:val="20"/>
          <w:szCs w:val="20"/>
          <w:lang w:val="en-US"/>
        </w:rPr>
      </w:pPr>
      <w:r>
        <w:rPr>
          <w:sz w:val="20"/>
          <w:szCs w:val="20"/>
          <w:lang w:val="en"/>
        </w:rPr>
        <w:t xml:space="preserve">The Court has found that a request for interpretation of judgment cannot be used to challenge a decision whose interpretation is being requested. The exclusive purpose of such a request is to determine the meaning of a judgment when one of the parties finds that the text of its operative paragraphs or its considerations are unclear or imprecise, </w:t>
      </w:r>
      <w:proofErr w:type="gramStart"/>
      <w:r>
        <w:rPr>
          <w:sz w:val="20"/>
          <w:szCs w:val="20"/>
          <w:lang w:val="en"/>
        </w:rPr>
        <w:t>as long as</w:t>
      </w:r>
      <w:proofErr w:type="gramEnd"/>
      <w:r>
        <w:rPr>
          <w:sz w:val="20"/>
          <w:szCs w:val="20"/>
          <w:lang w:val="en"/>
        </w:rPr>
        <w:t xml:space="preserve"> these considerations have an impact on the operative paragraphs. Therefore, the modification or annulment of the judgment in question cannot be requested through a request for interpretation.</w:t>
      </w:r>
      <w:r>
        <w:rPr>
          <w:rStyle w:val="Refdenotaalpie"/>
          <w:sz w:val="20"/>
          <w:szCs w:val="20"/>
          <w:lang w:val="en"/>
        </w:rPr>
        <w:footnoteReference w:id="4"/>
      </w:r>
    </w:p>
    <w:p w14:paraId="066952FB" w14:textId="77777777" w:rsidR="000A5B2A" w:rsidRPr="00647F78" w:rsidRDefault="000A5B2A">
      <w:pPr>
        <w:pStyle w:val="Textoindependiente"/>
        <w:rPr>
          <w:lang w:val="en-US"/>
        </w:rPr>
      </w:pPr>
    </w:p>
    <w:p w14:paraId="11A10E00" w14:textId="52CE49E5" w:rsidR="000A5B2A" w:rsidRPr="00647F78" w:rsidRDefault="002E36D2">
      <w:pPr>
        <w:pStyle w:val="Prrafodelista"/>
        <w:numPr>
          <w:ilvl w:val="0"/>
          <w:numId w:val="3"/>
        </w:numPr>
        <w:tabs>
          <w:tab w:val="left" w:pos="669"/>
        </w:tabs>
        <w:ind w:right="120" w:firstLine="0"/>
        <w:jc w:val="both"/>
        <w:rPr>
          <w:sz w:val="20"/>
          <w:szCs w:val="20"/>
          <w:lang w:val="en-US"/>
        </w:rPr>
      </w:pPr>
      <w:r>
        <w:rPr>
          <w:sz w:val="20"/>
          <w:szCs w:val="20"/>
          <w:lang w:val="en"/>
        </w:rPr>
        <w:t>The Court has also held that it is inadmissible to use a request for interpretation to submit considerations on matters of fact and law that were already raised at the proper procedural moment and regarding which the Court has already issued a decision,</w:t>
      </w:r>
      <w:r>
        <w:rPr>
          <w:rStyle w:val="Refdenotaalpie"/>
          <w:sz w:val="20"/>
          <w:szCs w:val="20"/>
          <w:lang w:val="en"/>
        </w:rPr>
        <w:footnoteReference w:id="5"/>
      </w:r>
      <w:r>
        <w:rPr>
          <w:sz w:val="20"/>
          <w:szCs w:val="20"/>
          <w:lang w:val="en"/>
        </w:rPr>
        <w:t xml:space="preserve"> or to ask the Court to reassess matters that it has already ruled on in its judgment.</w:t>
      </w:r>
      <w:r>
        <w:rPr>
          <w:rStyle w:val="Refdenotaalpie"/>
          <w:sz w:val="20"/>
          <w:szCs w:val="20"/>
          <w:lang w:val="en"/>
        </w:rPr>
        <w:footnoteReference w:id="6"/>
      </w:r>
      <w:r>
        <w:rPr>
          <w:sz w:val="20"/>
          <w:szCs w:val="20"/>
          <w:lang w:val="en"/>
        </w:rPr>
        <w:t xml:space="preserve"> This proceeding can also not be used to broaden the scope of a measure of reparation ordered at the proper procedural moment.</w:t>
      </w:r>
      <w:r>
        <w:rPr>
          <w:rStyle w:val="Refdenotaalpie"/>
          <w:sz w:val="20"/>
          <w:szCs w:val="20"/>
          <w:lang w:val="en"/>
        </w:rPr>
        <w:footnoteReference w:id="7"/>
      </w:r>
    </w:p>
    <w:p w14:paraId="6AA2CCEC" w14:textId="77777777" w:rsidR="000A5B2A" w:rsidRPr="00647F78" w:rsidRDefault="000A5B2A">
      <w:pPr>
        <w:pStyle w:val="Textoindependiente"/>
        <w:spacing w:before="11"/>
        <w:rPr>
          <w:lang w:val="en-US"/>
        </w:rPr>
      </w:pPr>
    </w:p>
    <w:p w14:paraId="029C590C" w14:textId="4EF5C921" w:rsidR="000A5B2A" w:rsidRPr="00647F78" w:rsidRDefault="002E36D2">
      <w:pPr>
        <w:pStyle w:val="Prrafodelista"/>
        <w:numPr>
          <w:ilvl w:val="0"/>
          <w:numId w:val="3"/>
        </w:numPr>
        <w:tabs>
          <w:tab w:val="left" w:pos="669"/>
        </w:tabs>
        <w:spacing w:before="1"/>
        <w:ind w:right="118" w:firstLine="0"/>
        <w:jc w:val="both"/>
        <w:rPr>
          <w:sz w:val="20"/>
          <w:szCs w:val="20"/>
          <w:lang w:val="en-US"/>
        </w:rPr>
      </w:pPr>
      <w:r>
        <w:rPr>
          <w:sz w:val="20"/>
          <w:szCs w:val="20"/>
          <w:lang w:val="en"/>
        </w:rPr>
        <w:t xml:space="preserve">Hereinafter, the Inter-American Court will examine the issues raised in the following order: a) the request for interpretation of paragraph 279 of the judgment, regarding the reason for determination of distribution of the corresponding compensation </w:t>
      </w:r>
      <w:r>
        <w:rPr>
          <w:sz w:val="20"/>
          <w:szCs w:val="20"/>
          <w:lang w:val="en"/>
        </w:rPr>
        <w:lastRenderedPageBreak/>
        <w:t>amount with respect to a specific victim among his heirs; and b) the request for interpretation of paragraph 278 of the judgment, regarding the possibility of updating, for the purpose of deducting from the amounts of compensation established in the judgment, the amounts of money paid to the victims prior to the issuance of the judgment as reparations.</w:t>
      </w:r>
    </w:p>
    <w:p w14:paraId="191A1F65" w14:textId="77777777" w:rsidR="000A5B2A" w:rsidRPr="00647F78" w:rsidRDefault="000A5B2A" w:rsidP="004B517F">
      <w:pPr>
        <w:pStyle w:val="Textoindependiente"/>
        <w:spacing w:before="1"/>
        <w:jc w:val="both"/>
        <w:rPr>
          <w:lang w:val="en-US"/>
        </w:rPr>
      </w:pPr>
    </w:p>
    <w:p w14:paraId="1A3329A7" w14:textId="009CA9E6" w:rsidR="000A5B2A" w:rsidRPr="00647F78" w:rsidRDefault="002E36D2" w:rsidP="004B517F">
      <w:pPr>
        <w:pStyle w:val="Ttulo2"/>
        <w:numPr>
          <w:ilvl w:val="1"/>
          <w:numId w:val="3"/>
        </w:numPr>
        <w:tabs>
          <w:tab w:val="left" w:pos="957"/>
        </w:tabs>
        <w:ind w:right="123" w:firstLine="0"/>
        <w:jc w:val="both"/>
        <w:rPr>
          <w:lang w:val="en-US"/>
        </w:rPr>
      </w:pPr>
      <w:r>
        <w:rPr>
          <w:lang w:val="en"/>
        </w:rPr>
        <w:t xml:space="preserve">Request for interpretation of the reason for the distribution of the amount of compensation corresponding to a victim among his </w:t>
      </w:r>
      <w:proofErr w:type="gramStart"/>
      <w:r>
        <w:rPr>
          <w:lang w:val="en"/>
        </w:rPr>
        <w:t>heirs</w:t>
      </w:r>
      <w:proofErr w:type="gramEnd"/>
    </w:p>
    <w:p w14:paraId="37D1BBD8" w14:textId="77777777" w:rsidR="000A5B2A" w:rsidRPr="00647F78" w:rsidRDefault="000A5B2A">
      <w:pPr>
        <w:pStyle w:val="Textoindependiente"/>
        <w:rPr>
          <w:b/>
          <w:i/>
          <w:lang w:val="en-US"/>
        </w:rPr>
      </w:pPr>
    </w:p>
    <w:p w14:paraId="04200E96" w14:textId="2A096C6C" w:rsidR="000A5B2A" w:rsidRPr="00647F78" w:rsidRDefault="004B517F">
      <w:pPr>
        <w:pStyle w:val="Prrafodelista"/>
        <w:numPr>
          <w:ilvl w:val="2"/>
          <w:numId w:val="3"/>
        </w:numPr>
        <w:tabs>
          <w:tab w:val="left" w:pos="1463"/>
        </w:tabs>
        <w:rPr>
          <w:b/>
          <w:i/>
          <w:sz w:val="20"/>
          <w:szCs w:val="20"/>
          <w:lang w:val="en-US"/>
        </w:rPr>
      </w:pPr>
      <w:r>
        <w:rPr>
          <w:b/>
          <w:bCs/>
          <w:i/>
          <w:iCs/>
          <w:sz w:val="20"/>
          <w:szCs w:val="20"/>
          <w:lang w:val="en"/>
        </w:rPr>
        <w:t>Consultation of the State and comments from the Commission</w:t>
      </w:r>
    </w:p>
    <w:p w14:paraId="5CDC3E0C" w14:textId="77777777" w:rsidR="000A5B2A" w:rsidRPr="00647F78" w:rsidRDefault="000A5B2A">
      <w:pPr>
        <w:pStyle w:val="Textoindependiente"/>
        <w:spacing w:before="1"/>
        <w:rPr>
          <w:b/>
          <w:i/>
          <w:lang w:val="en-US"/>
        </w:rPr>
      </w:pPr>
    </w:p>
    <w:p w14:paraId="3F1EC987" w14:textId="79D8E15D" w:rsidR="004B517F" w:rsidRPr="00647F78" w:rsidRDefault="004B517F" w:rsidP="0022044C">
      <w:pPr>
        <w:pStyle w:val="Prrafodelista"/>
        <w:widowControl/>
        <w:numPr>
          <w:ilvl w:val="0"/>
          <w:numId w:val="3"/>
        </w:numPr>
        <w:tabs>
          <w:tab w:val="left" w:pos="669"/>
        </w:tabs>
        <w:adjustRightInd w:val="0"/>
        <w:ind w:right="114" w:firstLine="0"/>
        <w:jc w:val="both"/>
        <w:rPr>
          <w:sz w:val="20"/>
          <w:szCs w:val="20"/>
          <w:lang w:val="en-US"/>
        </w:rPr>
      </w:pPr>
      <w:r>
        <w:rPr>
          <w:sz w:val="20"/>
          <w:szCs w:val="20"/>
          <w:lang w:val="en"/>
        </w:rPr>
        <w:t xml:space="preserve">The </w:t>
      </w:r>
      <w:r>
        <w:rPr>
          <w:b/>
          <w:bCs/>
          <w:i/>
          <w:iCs/>
          <w:sz w:val="20"/>
          <w:szCs w:val="20"/>
          <w:lang w:val="en"/>
        </w:rPr>
        <w:t>State</w:t>
      </w:r>
      <w:r>
        <w:rPr>
          <w:sz w:val="20"/>
          <w:szCs w:val="20"/>
          <w:lang w:val="en"/>
        </w:rPr>
        <w:t xml:space="preserve"> inquired as to the reason for the inclusion of the name of Washington Javier Barrios Fernández in paragraph 279 of the Judgment, since "the amount that corresponds to him is as a relative of his wife, and not as a victim of forced disappearance, as in the case for [Mr.] González </w:t>
      </w:r>
      <w:proofErr w:type="spellStart"/>
      <w:r>
        <w:rPr>
          <w:sz w:val="20"/>
          <w:szCs w:val="20"/>
          <w:lang w:val="en"/>
        </w:rPr>
        <w:t>González</w:t>
      </w:r>
      <w:proofErr w:type="spellEnd"/>
      <w:r>
        <w:rPr>
          <w:sz w:val="20"/>
          <w:szCs w:val="20"/>
          <w:lang w:val="en"/>
        </w:rPr>
        <w:t xml:space="preserve"> and Mr. </w:t>
      </w:r>
      <w:proofErr w:type="spellStart"/>
      <w:r>
        <w:rPr>
          <w:sz w:val="20"/>
          <w:szCs w:val="20"/>
          <w:lang w:val="en"/>
        </w:rPr>
        <w:t>Tassino</w:t>
      </w:r>
      <w:proofErr w:type="spellEnd"/>
      <w:r>
        <w:rPr>
          <w:sz w:val="20"/>
          <w:szCs w:val="20"/>
          <w:lang w:val="en"/>
        </w:rPr>
        <w:t xml:space="preserve"> </w:t>
      </w:r>
      <w:proofErr w:type="spellStart"/>
      <w:r>
        <w:rPr>
          <w:sz w:val="20"/>
          <w:szCs w:val="20"/>
          <w:lang w:val="en"/>
        </w:rPr>
        <w:t>Asteazú</w:t>
      </w:r>
      <w:proofErr w:type="spellEnd"/>
      <w:r>
        <w:rPr>
          <w:sz w:val="20"/>
          <w:szCs w:val="20"/>
          <w:lang w:val="en"/>
        </w:rPr>
        <w:t xml:space="preserve">." The State limited itself to the inquiry indicated, without elaborating on the grounds for its request. </w:t>
      </w:r>
    </w:p>
    <w:p w14:paraId="6341553A" w14:textId="77777777" w:rsidR="000A5B2A" w:rsidRPr="00647F78" w:rsidRDefault="000A5B2A">
      <w:pPr>
        <w:pStyle w:val="Textoindependiente"/>
        <w:spacing w:before="1"/>
        <w:rPr>
          <w:lang w:val="en-US"/>
        </w:rPr>
      </w:pPr>
    </w:p>
    <w:p w14:paraId="7B24EBD2" w14:textId="359F907D" w:rsidR="000A5B2A" w:rsidRPr="00647F78" w:rsidRDefault="0022044C" w:rsidP="00F313C7">
      <w:pPr>
        <w:pStyle w:val="Prrafodelista"/>
        <w:numPr>
          <w:ilvl w:val="0"/>
          <w:numId w:val="3"/>
        </w:numPr>
        <w:tabs>
          <w:tab w:val="left" w:pos="669"/>
        </w:tabs>
        <w:ind w:right="116" w:firstLine="0"/>
        <w:jc w:val="both"/>
        <w:rPr>
          <w:sz w:val="20"/>
          <w:szCs w:val="20"/>
          <w:lang w:val="en-US"/>
        </w:rPr>
      </w:pPr>
      <w:r>
        <w:rPr>
          <w:sz w:val="20"/>
          <w:szCs w:val="20"/>
          <w:lang w:val="en"/>
        </w:rPr>
        <w:t>The Commission stated that “there are no doubts as to the mention of Washington Javier Barrios Hernández in the Court's judgment on the merits, so this point does not appear to be open to interpretation.”</w:t>
      </w:r>
    </w:p>
    <w:p w14:paraId="5277D95D" w14:textId="77777777" w:rsidR="000A5B2A" w:rsidRPr="00647F78" w:rsidRDefault="000A5B2A">
      <w:pPr>
        <w:pStyle w:val="Textoindependiente"/>
        <w:rPr>
          <w:lang w:val="en-US"/>
        </w:rPr>
      </w:pPr>
    </w:p>
    <w:p w14:paraId="5ADAAB36" w14:textId="43BD20F5" w:rsidR="000A5B2A" w:rsidRPr="00E2191F" w:rsidRDefault="0022044C" w:rsidP="00206842">
      <w:pPr>
        <w:pStyle w:val="Ttulo2"/>
        <w:tabs>
          <w:tab w:val="left" w:pos="1463"/>
        </w:tabs>
        <w:spacing w:before="1"/>
        <w:ind w:left="993"/>
      </w:pPr>
      <w:r>
        <w:rPr>
          <w:lang w:val="en"/>
        </w:rPr>
        <w:t>A.2. Considerations of the Court</w:t>
      </w:r>
    </w:p>
    <w:p w14:paraId="11E71C13" w14:textId="77777777" w:rsidR="000A5B2A" w:rsidRPr="00E2191F" w:rsidRDefault="000A5B2A">
      <w:pPr>
        <w:pStyle w:val="Textoindependiente"/>
        <w:spacing w:before="10"/>
        <w:rPr>
          <w:b/>
          <w:i/>
        </w:rPr>
      </w:pPr>
    </w:p>
    <w:p w14:paraId="480B869F" w14:textId="2D751804" w:rsidR="00351F93" w:rsidRPr="00647F78" w:rsidRDefault="0005656F" w:rsidP="00BE39A5">
      <w:pPr>
        <w:pStyle w:val="Prrafodelista"/>
        <w:numPr>
          <w:ilvl w:val="0"/>
          <w:numId w:val="3"/>
        </w:numPr>
        <w:ind w:left="0" w:right="119" w:firstLine="0"/>
        <w:jc w:val="both"/>
        <w:rPr>
          <w:sz w:val="20"/>
          <w:szCs w:val="20"/>
          <w:lang w:val="en-US"/>
        </w:rPr>
      </w:pPr>
      <w:r>
        <w:rPr>
          <w:sz w:val="20"/>
          <w:szCs w:val="20"/>
          <w:lang w:val="en"/>
        </w:rPr>
        <w:t xml:space="preserve">The Court notes that, as recognized by the State, because he is the husband of Silvia Reyes, who was a victim of extrajudicial execution, </w:t>
      </w:r>
      <w:bookmarkStart w:id="0" w:name="_Hlk100485778"/>
      <w:r>
        <w:rPr>
          <w:sz w:val="20"/>
          <w:szCs w:val="20"/>
          <w:lang w:val="en"/>
        </w:rPr>
        <w:t>Washington Javier Barrios Fernández</w:t>
      </w:r>
      <w:bookmarkEnd w:id="0"/>
      <w:r>
        <w:rPr>
          <w:sz w:val="20"/>
          <w:szCs w:val="20"/>
          <w:lang w:val="en"/>
        </w:rPr>
        <w:t xml:space="preserve"> was himself considered by the judgment to be a victim of human rights violations and, therefore, a beneficiary of measures of reparation.</w:t>
      </w:r>
      <w:r>
        <w:rPr>
          <w:rStyle w:val="Refdenotaalpie"/>
          <w:rFonts w:eastAsiaTheme="minorHAnsi" w:cs="Times New Roman"/>
          <w:sz w:val="20"/>
          <w:szCs w:val="20"/>
          <w:lang w:val="en"/>
        </w:rPr>
        <w:footnoteReference w:id="8"/>
      </w:r>
      <w:r>
        <w:rPr>
          <w:sz w:val="20"/>
          <w:szCs w:val="20"/>
          <w:lang w:val="en"/>
        </w:rPr>
        <w:t xml:space="preserve"> Paragraph 277 of the judgment sets a sum of money as compensation for the non-pecuniary damage suffered by Mr. Barrios Fernandez due to the extrajudicial execution of his wife. The Court took cognizance of information—which is not in dispute—indicating that Mr. Barrios Fernandez is missing. While this matter of fact was noted in the judgment, its possible legal implications were not examined by the Court, since it was not one of the facts submitted to it.</w:t>
      </w:r>
      <w:r>
        <w:rPr>
          <w:rStyle w:val="Refdenotaalpie"/>
          <w:rFonts w:eastAsiaTheme="minorHAnsi" w:cs="Times New Roman"/>
          <w:sz w:val="20"/>
          <w:szCs w:val="20"/>
          <w:lang w:val="en"/>
        </w:rPr>
        <w:footnoteReference w:id="9"/>
      </w:r>
      <w:r>
        <w:rPr>
          <w:sz w:val="20"/>
          <w:szCs w:val="20"/>
          <w:lang w:val="en"/>
        </w:rPr>
        <w:t xml:space="preserve">  Taking into account this matter of fact, in paragraph 279 of its judgment, the Court established, in order to enable effective compliance with its decision, that the compensation amount corresponding to Mr. Barrios Fernández would be distributed among his heirs "pursuant to the applicable domestic law."</w:t>
      </w:r>
    </w:p>
    <w:p w14:paraId="7482D326" w14:textId="77777777" w:rsidR="00351F93" w:rsidRPr="00647F78" w:rsidRDefault="00351F93" w:rsidP="00351F93">
      <w:pPr>
        <w:pStyle w:val="Prrafodelista"/>
        <w:tabs>
          <w:tab w:val="left" w:pos="669"/>
        </w:tabs>
        <w:ind w:right="119"/>
        <w:jc w:val="left"/>
        <w:rPr>
          <w:sz w:val="20"/>
          <w:szCs w:val="20"/>
          <w:lang w:val="en-US"/>
        </w:rPr>
      </w:pPr>
    </w:p>
    <w:p w14:paraId="2B751ECD" w14:textId="002711AC" w:rsidR="00171F4A" w:rsidRPr="00647F78" w:rsidRDefault="00351F93" w:rsidP="009C53E9">
      <w:pPr>
        <w:pStyle w:val="Prrafodelista"/>
        <w:numPr>
          <w:ilvl w:val="0"/>
          <w:numId w:val="3"/>
        </w:numPr>
        <w:tabs>
          <w:tab w:val="left" w:pos="669"/>
        </w:tabs>
        <w:ind w:left="0" w:right="119" w:firstLine="0"/>
        <w:jc w:val="both"/>
        <w:rPr>
          <w:sz w:val="20"/>
          <w:szCs w:val="20"/>
          <w:lang w:val="en-US"/>
        </w:rPr>
      </w:pPr>
      <w:r>
        <w:rPr>
          <w:rFonts w:eastAsiaTheme="minorHAnsi" w:cs="Times New Roman"/>
          <w:sz w:val="20"/>
          <w:szCs w:val="20"/>
          <w:lang w:val="en"/>
        </w:rPr>
        <w:t xml:space="preserve">The judgment, then, is clear that the reasons why Washington Javier Barrios Fernández is included in paragraph 277 are not related to his possible status as a victim of forced disappearance, an issue that was not examined by the Court. </w:t>
      </w:r>
    </w:p>
    <w:p w14:paraId="7FD8BA14" w14:textId="77777777" w:rsidR="00750B35" w:rsidRPr="00647F78" w:rsidRDefault="00750B35" w:rsidP="00750B35">
      <w:pPr>
        <w:pStyle w:val="Prrafodelista"/>
        <w:rPr>
          <w:sz w:val="20"/>
          <w:szCs w:val="20"/>
          <w:lang w:val="en-US"/>
        </w:rPr>
      </w:pPr>
    </w:p>
    <w:p w14:paraId="080340C7" w14:textId="6AC1D6D2" w:rsidR="00750B35" w:rsidRPr="00647F78" w:rsidRDefault="00750B35">
      <w:pPr>
        <w:pStyle w:val="Prrafodelista"/>
        <w:numPr>
          <w:ilvl w:val="0"/>
          <w:numId w:val="3"/>
        </w:numPr>
        <w:tabs>
          <w:tab w:val="left" w:pos="669"/>
        </w:tabs>
        <w:ind w:right="119" w:firstLine="0"/>
        <w:jc w:val="both"/>
        <w:rPr>
          <w:sz w:val="20"/>
          <w:szCs w:val="20"/>
          <w:lang w:val="en-US"/>
        </w:rPr>
      </w:pPr>
      <w:r>
        <w:rPr>
          <w:sz w:val="20"/>
          <w:szCs w:val="20"/>
          <w:lang w:val="en"/>
        </w:rPr>
        <w:t xml:space="preserve">Therefore, the request for interpretation is inadmissible on this point. </w:t>
      </w:r>
    </w:p>
    <w:p w14:paraId="50AD34E0" w14:textId="77777777" w:rsidR="000A5B2A" w:rsidRPr="00647F78" w:rsidRDefault="000A5B2A">
      <w:pPr>
        <w:pStyle w:val="Textoindependiente"/>
        <w:rPr>
          <w:lang w:val="en-US"/>
        </w:rPr>
      </w:pPr>
    </w:p>
    <w:p w14:paraId="65941BDA" w14:textId="26478FBA" w:rsidR="000A5B2A" w:rsidRPr="00647F78" w:rsidRDefault="002E36D2" w:rsidP="007C4020">
      <w:pPr>
        <w:pStyle w:val="Ttulo2"/>
        <w:numPr>
          <w:ilvl w:val="0"/>
          <w:numId w:val="4"/>
        </w:numPr>
        <w:tabs>
          <w:tab w:val="left" w:pos="983"/>
        </w:tabs>
        <w:ind w:right="123" w:firstLine="0"/>
        <w:jc w:val="both"/>
        <w:rPr>
          <w:lang w:val="en-US"/>
        </w:rPr>
      </w:pPr>
      <w:r>
        <w:rPr>
          <w:lang w:val="en"/>
        </w:rPr>
        <w:t xml:space="preserve">Request for interpretation regarding the possibility of updating, for the purpose of deducting from the amounts of compensation established in </w:t>
      </w:r>
      <w:r>
        <w:rPr>
          <w:lang w:val="en"/>
        </w:rPr>
        <w:lastRenderedPageBreak/>
        <w:t xml:space="preserve">the judgment, the amounts of money paid to the victims prior to the issuance of the </w:t>
      </w:r>
      <w:proofErr w:type="gramStart"/>
      <w:r>
        <w:rPr>
          <w:lang w:val="en"/>
        </w:rPr>
        <w:t>judgment</w:t>
      </w:r>
      <w:proofErr w:type="gramEnd"/>
      <w:r>
        <w:rPr>
          <w:lang w:val="en"/>
        </w:rPr>
        <w:t xml:space="preserve"> </w:t>
      </w:r>
    </w:p>
    <w:p w14:paraId="54AC8338" w14:textId="77777777" w:rsidR="00206842" w:rsidRPr="00647F78" w:rsidRDefault="00206842" w:rsidP="00917935">
      <w:pPr>
        <w:pStyle w:val="Ttulo2"/>
        <w:tabs>
          <w:tab w:val="left" w:pos="983"/>
        </w:tabs>
        <w:ind w:left="0" w:right="123"/>
        <w:jc w:val="both"/>
        <w:rPr>
          <w:lang w:val="en-US"/>
        </w:rPr>
      </w:pPr>
    </w:p>
    <w:p w14:paraId="7DFD7141" w14:textId="162F6340" w:rsidR="000A5B2A" w:rsidRPr="00647F78" w:rsidRDefault="00206842">
      <w:pPr>
        <w:pStyle w:val="Prrafodelista"/>
        <w:numPr>
          <w:ilvl w:val="1"/>
          <w:numId w:val="4"/>
        </w:numPr>
        <w:tabs>
          <w:tab w:val="left" w:pos="1461"/>
        </w:tabs>
        <w:rPr>
          <w:b/>
          <w:i/>
          <w:sz w:val="20"/>
          <w:szCs w:val="20"/>
          <w:lang w:val="en-US"/>
        </w:rPr>
      </w:pPr>
      <w:r>
        <w:rPr>
          <w:b/>
          <w:bCs/>
          <w:i/>
          <w:iCs/>
          <w:sz w:val="20"/>
          <w:szCs w:val="20"/>
          <w:lang w:val="en"/>
        </w:rPr>
        <w:t>Consultation of the State and comments from the Commission</w:t>
      </w:r>
    </w:p>
    <w:p w14:paraId="7EEEBC80" w14:textId="77777777" w:rsidR="000A5B2A" w:rsidRPr="00647F78" w:rsidRDefault="000A5B2A">
      <w:pPr>
        <w:pStyle w:val="Textoindependiente"/>
        <w:spacing w:before="11"/>
        <w:rPr>
          <w:b/>
          <w:i/>
          <w:lang w:val="en-US"/>
        </w:rPr>
      </w:pPr>
    </w:p>
    <w:p w14:paraId="193E593C" w14:textId="378AFB40" w:rsidR="008B0111" w:rsidRPr="00647F78" w:rsidRDefault="002E36D2" w:rsidP="005E20A9">
      <w:pPr>
        <w:pStyle w:val="Prrafodelista"/>
        <w:numPr>
          <w:ilvl w:val="0"/>
          <w:numId w:val="3"/>
        </w:numPr>
        <w:tabs>
          <w:tab w:val="left" w:pos="669"/>
        </w:tabs>
        <w:ind w:right="117" w:firstLine="0"/>
        <w:jc w:val="both"/>
        <w:rPr>
          <w:sz w:val="20"/>
          <w:szCs w:val="20"/>
          <w:lang w:val="en-US"/>
        </w:rPr>
      </w:pPr>
      <w:r>
        <w:rPr>
          <w:sz w:val="20"/>
          <w:szCs w:val="20"/>
          <w:lang w:val="en"/>
        </w:rPr>
        <w:t xml:space="preserve">The </w:t>
      </w:r>
      <w:r>
        <w:rPr>
          <w:b/>
          <w:bCs/>
          <w:i/>
          <w:iCs/>
          <w:sz w:val="20"/>
          <w:szCs w:val="20"/>
          <w:lang w:val="en"/>
        </w:rPr>
        <w:t xml:space="preserve">State </w:t>
      </w:r>
      <w:r>
        <w:rPr>
          <w:sz w:val="20"/>
          <w:szCs w:val="20"/>
          <w:lang w:val="en"/>
        </w:rPr>
        <w:t xml:space="preserve">requested clarification as to whether "it is possible to update," upon "liquidation" of the pecuniary reparations, the monetary sums indicated in paragraph 278 of the judgment, which refers to sums already delivered to the victims in this case as reparations prior to the issuance of the judgment. Uruguay asked that it be </w:t>
      </w:r>
      <w:proofErr w:type="gramStart"/>
      <w:r>
        <w:rPr>
          <w:sz w:val="20"/>
          <w:szCs w:val="20"/>
          <w:lang w:val="en"/>
        </w:rPr>
        <w:t>taken into account</w:t>
      </w:r>
      <w:proofErr w:type="gramEnd"/>
      <w:r>
        <w:rPr>
          <w:sz w:val="20"/>
          <w:szCs w:val="20"/>
          <w:lang w:val="en"/>
        </w:rPr>
        <w:t xml:space="preserve"> that the "amounts already disbursed were disbursed some time ago." Beyond this statement, it did not offer further rationale for its request or detail the methodology to be used for the update. </w:t>
      </w:r>
    </w:p>
    <w:p w14:paraId="0A648967" w14:textId="77777777" w:rsidR="008B0111" w:rsidRPr="00647F78" w:rsidRDefault="008B0111">
      <w:pPr>
        <w:pStyle w:val="Textoindependiente"/>
        <w:spacing w:before="1"/>
        <w:rPr>
          <w:lang w:val="en-US"/>
        </w:rPr>
      </w:pPr>
    </w:p>
    <w:p w14:paraId="1C61066D" w14:textId="30715A97" w:rsidR="008B0111" w:rsidRPr="00647F78" w:rsidRDefault="002E36D2" w:rsidP="005E20A9">
      <w:pPr>
        <w:pStyle w:val="Prrafodelista"/>
        <w:numPr>
          <w:ilvl w:val="0"/>
          <w:numId w:val="3"/>
        </w:numPr>
        <w:tabs>
          <w:tab w:val="left" w:pos="669"/>
        </w:tabs>
        <w:ind w:right="124" w:firstLine="0"/>
        <w:jc w:val="both"/>
        <w:rPr>
          <w:sz w:val="20"/>
          <w:szCs w:val="20"/>
          <w:lang w:val="en-US"/>
        </w:rPr>
      </w:pPr>
      <w:r>
        <w:rPr>
          <w:sz w:val="20"/>
          <w:szCs w:val="20"/>
          <w:lang w:val="en"/>
        </w:rPr>
        <w:t xml:space="preserve">The </w:t>
      </w:r>
      <w:r>
        <w:rPr>
          <w:b/>
          <w:bCs/>
          <w:i/>
          <w:iCs/>
          <w:sz w:val="20"/>
          <w:szCs w:val="20"/>
          <w:lang w:val="en"/>
        </w:rPr>
        <w:t xml:space="preserve">Commission </w:t>
      </w:r>
      <w:r>
        <w:rPr>
          <w:sz w:val="20"/>
          <w:szCs w:val="20"/>
          <w:lang w:val="en"/>
        </w:rPr>
        <w:t>indicated that "it would be pertinent for the Inter-American Court to clarify the matter for the State".</w:t>
      </w:r>
    </w:p>
    <w:p w14:paraId="23EA2E8D" w14:textId="77777777" w:rsidR="000A5B2A" w:rsidRPr="00E2191F" w:rsidRDefault="002E36D2">
      <w:pPr>
        <w:pStyle w:val="Ttulo2"/>
        <w:numPr>
          <w:ilvl w:val="1"/>
          <w:numId w:val="4"/>
        </w:numPr>
        <w:tabs>
          <w:tab w:val="left" w:pos="1460"/>
        </w:tabs>
        <w:spacing w:before="161"/>
        <w:ind w:left="1459" w:hanging="506"/>
      </w:pPr>
      <w:r>
        <w:rPr>
          <w:lang w:val="en"/>
        </w:rPr>
        <w:t>Considerations of the Court</w:t>
      </w:r>
    </w:p>
    <w:p w14:paraId="6A08A55F" w14:textId="77777777" w:rsidR="000A5B2A" w:rsidRPr="00E2191F" w:rsidRDefault="000A5B2A">
      <w:pPr>
        <w:pStyle w:val="Textoindependiente"/>
        <w:spacing w:before="11"/>
        <w:rPr>
          <w:b/>
          <w:i/>
        </w:rPr>
      </w:pPr>
    </w:p>
    <w:p w14:paraId="68BD18A8" w14:textId="553F7313" w:rsidR="000A5B2A" w:rsidRPr="00647F78" w:rsidRDefault="002E36D2">
      <w:pPr>
        <w:pStyle w:val="Prrafodelista"/>
        <w:numPr>
          <w:ilvl w:val="0"/>
          <w:numId w:val="3"/>
        </w:numPr>
        <w:tabs>
          <w:tab w:val="left" w:pos="669"/>
        </w:tabs>
        <w:ind w:left="668"/>
        <w:jc w:val="both"/>
        <w:rPr>
          <w:sz w:val="20"/>
          <w:szCs w:val="20"/>
          <w:lang w:val="en-US"/>
        </w:rPr>
      </w:pPr>
      <w:r>
        <w:rPr>
          <w:sz w:val="20"/>
          <w:szCs w:val="20"/>
          <w:lang w:val="en"/>
        </w:rPr>
        <w:t>The Court recalls that paragraph 278 of the Judgment it stated the following:</w:t>
      </w:r>
    </w:p>
    <w:p w14:paraId="6351651A" w14:textId="44A09021" w:rsidR="005E20A9" w:rsidRPr="00647F78" w:rsidRDefault="005E20A9">
      <w:pPr>
        <w:pStyle w:val="Textoindependiente"/>
        <w:spacing w:before="3"/>
        <w:rPr>
          <w:lang w:val="en-US"/>
        </w:rPr>
      </w:pPr>
    </w:p>
    <w:p w14:paraId="2B59A2E6" w14:textId="67EB4FD3" w:rsidR="005E20A9" w:rsidRPr="00647F78" w:rsidRDefault="005E20A9" w:rsidP="00F13E06">
      <w:pPr>
        <w:widowControl/>
        <w:autoSpaceDE/>
        <w:autoSpaceDN/>
        <w:ind w:left="567" w:right="556"/>
        <w:jc w:val="both"/>
        <w:rPr>
          <w:rFonts w:eastAsiaTheme="minorHAnsi" w:cstheme="minorBidi"/>
          <w:sz w:val="16"/>
          <w:szCs w:val="16"/>
          <w:lang w:val="en-US"/>
        </w:rPr>
      </w:pPr>
      <w:r>
        <w:rPr>
          <w:sz w:val="16"/>
          <w:szCs w:val="16"/>
          <w:lang w:val="en"/>
        </w:rPr>
        <w:t xml:space="preserve">The amounts that have already been distributed domestically to the victims as monetary reparation for acts declared in violation of human rights in this judgment may be discounted by the State from the amount due to each victim as compensation under the terms of this judgment. This does not apply to the monetary reparations that the State awarded to the next of kin of Ms. </w:t>
      </w:r>
      <w:proofErr w:type="spellStart"/>
      <w:r>
        <w:rPr>
          <w:sz w:val="16"/>
          <w:szCs w:val="16"/>
          <w:lang w:val="en"/>
        </w:rPr>
        <w:t>Maidanik</w:t>
      </w:r>
      <w:proofErr w:type="spellEnd"/>
      <w:r>
        <w:rPr>
          <w:sz w:val="16"/>
          <w:szCs w:val="16"/>
          <w:lang w:val="en"/>
        </w:rPr>
        <w:t xml:space="preserve">, Ms. </w:t>
      </w:r>
      <w:proofErr w:type="gramStart"/>
      <w:r>
        <w:rPr>
          <w:sz w:val="16"/>
          <w:szCs w:val="16"/>
          <w:lang w:val="en"/>
        </w:rPr>
        <w:t>Reyes</w:t>
      </w:r>
      <w:proofErr w:type="gramEnd"/>
      <w:r>
        <w:rPr>
          <w:sz w:val="16"/>
          <w:szCs w:val="16"/>
          <w:lang w:val="en"/>
        </w:rPr>
        <w:t xml:space="preserve"> and Ms. Raggio for their deaths since that is beyond the determination of reparations of this judgment. Notwithstanding the information that the State has already provided to the Court (</w:t>
      </w:r>
      <w:r>
        <w:rPr>
          <w:i/>
          <w:iCs/>
          <w:sz w:val="16"/>
          <w:szCs w:val="16"/>
          <w:lang w:val="en"/>
        </w:rPr>
        <w:t>supra</w:t>
      </w:r>
      <w:r>
        <w:rPr>
          <w:sz w:val="16"/>
          <w:szCs w:val="16"/>
          <w:lang w:val="en"/>
        </w:rPr>
        <w:t xml:space="preserve"> para. 273), to implement the discount the State must, at the stage of monitoring compliance in this case, prove the effective delivery of the amounts awarded domestically. Moreover, in no case can the State view the domestic awarding of monetary reparations, set by domestic judicial and extrajudicial mechanisms, that might result in monetary amounts greater than those stipulated in this judgment as implying a balance in favor of the State that the beneficiaries are obligated to return. </w:t>
      </w:r>
    </w:p>
    <w:p w14:paraId="44BF77C5" w14:textId="77777777" w:rsidR="005E20A9" w:rsidRPr="00647F78" w:rsidRDefault="005E20A9">
      <w:pPr>
        <w:pStyle w:val="Textoindependiente"/>
        <w:spacing w:before="3"/>
        <w:rPr>
          <w:lang w:val="en-US"/>
        </w:rPr>
      </w:pPr>
    </w:p>
    <w:p w14:paraId="51EB3D1A" w14:textId="0DE6224A" w:rsidR="00D9434C" w:rsidRPr="00647F78" w:rsidRDefault="00D9434C">
      <w:pPr>
        <w:pStyle w:val="Prrafodelista"/>
        <w:numPr>
          <w:ilvl w:val="0"/>
          <w:numId w:val="3"/>
        </w:numPr>
        <w:tabs>
          <w:tab w:val="left" w:pos="669"/>
        </w:tabs>
        <w:ind w:right="121" w:firstLine="0"/>
        <w:jc w:val="both"/>
        <w:rPr>
          <w:sz w:val="20"/>
          <w:szCs w:val="20"/>
          <w:lang w:val="en-US"/>
        </w:rPr>
      </w:pPr>
      <w:r>
        <w:rPr>
          <w:sz w:val="20"/>
          <w:szCs w:val="20"/>
          <w:lang w:val="en"/>
        </w:rPr>
        <w:t xml:space="preserve">This paragraph makes no specifications with respect to updating the amounts of money delivered to the victims prior to the issuance of the judgment, nor does the judgment do so elsewhere. In view of the </w:t>
      </w:r>
      <w:proofErr w:type="gramStart"/>
      <w:r>
        <w:rPr>
          <w:sz w:val="20"/>
          <w:szCs w:val="20"/>
          <w:lang w:val="en"/>
        </w:rPr>
        <w:t>foregoing, and</w:t>
      </w:r>
      <w:proofErr w:type="gramEnd"/>
      <w:r>
        <w:rPr>
          <w:sz w:val="20"/>
          <w:szCs w:val="20"/>
          <w:lang w:val="en"/>
        </w:rPr>
        <w:t xml:space="preserve"> given that the State's consultation has a bearing on the manner in which it must comply with the pecuniary reparations ordered in favor of the victims, it is admissible.</w:t>
      </w:r>
    </w:p>
    <w:p w14:paraId="5A51650E" w14:textId="753A2004" w:rsidR="005E20A9" w:rsidRPr="00647F78" w:rsidRDefault="00D9434C" w:rsidP="00D9434C">
      <w:pPr>
        <w:pStyle w:val="Prrafodelista"/>
        <w:tabs>
          <w:tab w:val="left" w:pos="669"/>
        </w:tabs>
        <w:ind w:right="121"/>
        <w:jc w:val="left"/>
        <w:rPr>
          <w:sz w:val="20"/>
          <w:szCs w:val="20"/>
          <w:lang w:val="en-US"/>
        </w:rPr>
      </w:pPr>
      <w:r>
        <w:rPr>
          <w:sz w:val="20"/>
          <w:szCs w:val="20"/>
          <w:lang w:val="en"/>
        </w:rPr>
        <w:t xml:space="preserve"> </w:t>
      </w:r>
    </w:p>
    <w:p w14:paraId="73D02AC3" w14:textId="6BB4E6B3" w:rsidR="0060034A" w:rsidRPr="00647F78" w:rsidRDefault="000B60F7" w:rsidP="004924CA">
      <w:pPr>
        <w:pStyle w:val="Prrafodelista"/>
        <w:numPr>
          <w:ilvl w:val="0"/>
          <w:numId w:val="3"/>
        </w:numPr>
        <w:tabs>
          <w:tab w:val="left" w:pos="669"/>
        </w:tabs>
        <w:ind w:right="121" w:firstLine="0"/>
        <w:jc w:val="both"/>
        <w:rPr>
          <w:sz w:val="20"/>
          <w:szCs w:val="20"/>
          <w:lang w:val="en-US"/>
        </w:rPr>
      </w:pPr>
      <w:r>
        <w:rPr>
          <w:sz w:val="20"/>
          <w:szCs w:val="20"/>
          <w:lang w:val="en"/>
        </w:rPr>
        <w:t xml:space="preserve">The Court notes that paragraph 273 of the judgment included some monetary amounts that the State reported that it had paid to the next of kin of the direct victims in this case, with their equivalence in United States dollars—included in the judgment—reported by Uruguay. The Court also provided for the possibility that, during the execution stage of the judgment, Uruguay may “prove the effective delivery of the amounts awarded domestically.” Therefore, at that stage, the State may submit complete and accurate information on the amounts paid out prior to issuance of the judgment. </w:t>
      </w:r>
    </w:p>
    <w:p w14:paraId="2E1DCB79" w14:textId="77777777" w:rsidR="0060034A" w:rsidRPr="00647F78" w:rsidRDefault="0060034A" w:rsidP="005E20A9">
      <w:pPr>
        <w:pStyle w:val="Prrafodelista"/>
        <w:rPr>
          <w:sz w:val="20"/>
          <w:szCs w:val="20"/>
          <w:lang w:val="en-US"/>
        </w:rPr>
      </w:pPr>
    </w:p>
    <w:p w14:paraId="1AF1D473" w14:textId="33FB938E" w:rsidR="005E20A9" w:rsidRPr="00647F78" w:rsidRDefault="007D2C3D">
      <w:pPr>
        <w:pStyle w:val="Prrafodelista"/>
        <w:numPr>
          <w:ilvl w:val="0"/>
          <w:numId w:val="3"/>
        </w:numPr>
        <w:tabs>
          <w:tab w:val="left" w:pos="669"/>
        </w:tabs>
        <w:ind w:right="121" w:firstLine="0"/>
        <w:jc w:val="both"/>
        <w:rPr>
          <w:sz w:val="20"/>
          <w:szCs w:val="20"/>
          <w:lang w:val="en-US"/>
        </w:rPr>
      </w:pPr>
      <w:r>
        <w:rPr>
          <w:sz w:val="20"/>
          <w:szCs w:val="20"/>
          <w:lang w:val="en"/>
        </w:rPr>
        <w:t xml:space="preserve">However, it should be noted that prior to the issuance of the judgment, when reporting on the amounts paid, the State gave their equivalence in United States dollars and did not request that provision be made to update those amounts should pecuniary reparations be ordered.  Furthermore, in its request for interpretation of the Judgment, Uruguay merely asked whether it would be possible to update the monetary amounts paid prior to the issuance of the judgment. It offered no further considerations or explanations in this regard, beyond highlighting the obvious fact that they were paid "some time ago," something that can be ascertained from the information contained in </w:t>
      </w:r>
      <w:r>
        <w:rPr>
          <w:sz w:val="20"/>
          <w:szCs w:val="20"/>
          <w:lang w:val="en"/>
        </w:rPr>
        <w:lastRenderedPageBreak/>
        <w:t xml:space="preserve">the judgment and that has therefore already been considered by this Court. In short, the State did not present enough information—either before the issuance of the judgment or </w:t>
      </w:r>
      <w:proofErr w:type="gramStart"/>
      <w:r>
        <w:rPr>
          <w:sz w:val="20"/>
          <w:szCs w:val="20"/>
          <w:lang w:val="en"/>
        </w:rPr>
        <w:t>subsequent to</w:t>
      </w:r>
      <w:proofErr w:type="gramEnd"/>
      <w:r>
        <w:rPr>
          <w:sz w:val="20"/>
          <w:szCs w:val="20"/>
          <w:lang w:val="en"/>
        </w:rPr>
        <w:t xml:space="preserve"> it—to allow for evaluation of whether it would be appropriate to update the amounts of the money delivered to the victims in the case.  </w:t>
      </w:r>
    </w:p>
    <w:p w14:paraId="486EFCAD" w14:textId="77777777" w:rsidR="00F009BD" w:rsidRPr="00647F78" w:rsidRDefault="00F009BD" w:rsidP="00F009BD">
      <w:pPr>
        <w:pStyle w:val="Prrafodelista"/>
        <w:rPr>
          <w:sz w:val="20"/>
          <w:szCs w:val="20"/>
          <w:lang w:val="en-US"/>
        </w:rPr>
      </w:pPr>
    </w:p>
    <w:p w14:paraId="2CC62465" w14:textId="7E954432" w:rsidR="00F009BD" w:rsidRPr="00647F78" w:rsidRDefault="003041B5">
      <w:pPr>
        <w:pStyle w:val="Prrafodelista"/>
        <w:numPr>
          <w:ilvl w:val="0"/>
          <w:numId w:val="3"/>
        </w:numPr>
        <w:tabs>
          <w:tab w:val="left" w:pos="669"/>
        </w:tabs>
        <w:ind w:right="121" w:firstLine="0"/>
        <w:jc w:val="both"/>
        <w:rPr>
          <w:sz w:val="20"/>
          <w:szCs w:val="20"/>
          <w:lang w:val="en-US"/>
        </w:rPr>
      </w:pPr>
      <w:r>
        <w:rPr>
          <w:sz w:val="20"/>
          <w:szCs w:val="20"/>
          <w:lang w:val="en"/>
        </w:rPr>
        <w:t xml:space="preserve">This Court therefore clarifies that it is not appropriate to update the amounts set in paragraph 278 of the judgment </w:t>
      </w:r>
      <w:proofErr w:type="gramStart"/>
      <w:r>
        <w:rPr>
          <w:sz w:val="20"/>
          <w:szCs w:val="20"/>
          <w:lang w:val="en"/>
        </w:rPr>
        <w:t>at the moment</w:t>
      </w:r>
      <w:proofErr w:type="gramEnd"/>
      <w:r>
        <w:rPr>
          <w:sz w:val="20"/>
          <w:szCs w:val="20"/>
          <w:lang w:val="en"/>
        </w:rPr>
        <w:t xml:space="preserve"> the pecuniary amounts are paid out. </w:t>
      </w:r>
    </w:p>
    <w:p w14:paraId="3CFD936B" w14:textId="77777777" w:rsidR="000A5B2A" w:rsidRPr="00647F78" w:rsidRDefault="000A5B2A">
      <w:pPr>
        <w:pStyle w:val="Textoindependiente"/>
        <w:spacing w:before="11"/>
        <w:rPr>
          <w:lang w:val="en-US"/>
        </w:rPr>
      </w:pPr>
    </w:p>
    <w:p w14:paraId="670D5459" w14:textId="77777777" w:rsidR="000A5B2A" w:rsidRPr="00E2191F" w:rsidRDefault="002E36D2">
      <w:pPr>
        <w:pStyle w:val="Ttulo1"/>
        <w:ind w:left="0" w:right="17"/>
      </w:pPr>
      <w:r>
        <w:rPr>
          <w:lang w:val="en"/>
        </w:rPr>
        <w:t>V</w:t>
      </w:r>
    </w:p>
    <w:p w14:paraId="4687873F" w14:textId="350F2B8F" w:rsidR="000A5B2A" w:rsidRPr="009C53E9" w:rsidRDefault="002E36D2" w:rsidP="009C53E9">
      <w:pPr>
        <w:spacing w:before="2"/>
        <w:ind w:left="1630" w:right="1648"/>
        <w:jc w:val="center"/>
        <w:rPr>
          <w:b/>
          <w:sz w:val="20"/>
          <w:szCs w:val="20"/>
        </w:rPr>
      </w:pPr>
      <w:r>
        <w:rPr>
          <w:b/>
          <w:bCs/>
          <w:sz w:val="20"/>
          <w:szCs w:val="20"/>
          <w:lang w:val="en"/>
        </w:rPr>
        <w:t>OPERATIVE PARAGRAPHS</w:t>
      </w:r>
    </w:p>
    <w:p w14:paraId="585C58F2" w14:textId="77777777" w:rsidR="000A5B2A" w:rsidRPr="00E2191F" w:rsidRDefault="002E36D2">
      <w:pPr>
        <w:pStyle w:val="Prrafodelista"/>
        <w:numPr>
          <w:ilvl w:val="0"/>
          <w:numId w:val="3"/>
        </w:numPr>
        <w:tabs>
          <w:tab w:val="left" w:pos="669"/>
        </w:tabs>
        <w:ind w:left="668"/>
        <w:jc w:val="both"/>
        <w:rPr>
          <w:sz w:val="20"/>
          <w:szCs w:val="20"/>
        </w:rPr>
      </w:pPr>
      <w:r>
        <w:rPr>
          <w:sz w:val="20"/>
          <w:szCs w:val="20"/>
          <w:lang w:val="en"/>
        </w:rPr>
        <w:t>Therefore,</w:t>
      </w:r>
    </w:p>
    <w:p w14:paraId="69CD2CAE" w14:textId="77777777" w:rsidR="000A5B2A" w:rsidRPr="00E2191F" w:rsidRDefault="000A5B2A">
      <w:pPr>
        <w:pStyle w:val="Textoindependiente"/>
        <w:spacing w:before="1"/>
      </w:pPr>
    </w:p>
    <w:p w14:paraId="2113B0F4" w14:textId="7377A3C0" w:rsidR="000A5B2A" w:rsidRPr="00E540A8" w:rsidRDefault="002E36D2" w:rsidP="00E540A8">
      <w:pPr>
        <w:pStyle w:val="Ttulo1"/>
        <w:spacing w:before="1"/>
        <w:ind w:left="102"/>
        <w:jc w:val="left"/>
      </w:pPr>
      <w:r>
        <w:rPr>
          <w:lang w:val="en"/>
        </w:rPr>
        <w:t>THE COURT</w:t>
      </w:r>
    </w:p>
    <w:p w14:paraId="5A570F13" w14:textId="77777777" w:rsidR="000A5B2A" w:rsidRPr="00647F78" w:rsidRDefault="002E36D2">
      <w:pPr>
        <w:pStyle w:val="Textoindependiente"/>
        <w:spacing w:before="161"/>
        <w:ind w:left="102" w:right="101"/>
        <w:rPr>
          <w:lang w:val="en-US"/>
        </w:rPr>
      </w:pPr>
      <w:r>
        <w:rPr>
          <w:lang w:val="en"/>
        </w:rPr>
        <w:t>pursuant to Article 67 of the American Convention on Human Rights and articles 31(3) and 68 of the Rules of Procedure of the Court,</w:t>
      </w:r>
    </w:p>
    <w:p w14:paraId="58EA3BD8" w14:textId="77777777" w:rsidR="000A5B2A" w:rsidRPr="00647F78" w:rsidRDefault="000A5B2A">
      <w:pPr>
        <w:pStyle w:val="Textoindependiente"/>
        <w:spacing w:before="1"/>
        <w:rPr>
          <w:lang w:val="en-US"/>
        </w:rPr>
      </w:pPr>
    </w:p>
    <w:p w14:paraId="2D06B58C" w14:textId="77777777" w:rsidR="000A5B2A" w:rsidRPr="00E2191F" w:rsidRDefault="002E36D2">
      <w:pPr>
        <w:pStyle w:val="Ttulo1"/>
        <w:ind w:left="102"/>
        <w:jc w:val="left"/>
      </w:pPr>
      <w:r>
        <w:rPr>
          <w:lang w:val="en"/>
        </w:rPr>
        <w:t>DECIDES:</w:t>
      </w:r>
    </w:p>
    <w:p w14:paraId="756F7ACC" w14:textId="77777777" w:rsidR="000A5B2A" w:rsidRPr="00E2191F" w:rsidRDefault="000A5B2A">
      <w:pPr>
        <w:pStyle w:val="Textoindependiente"/>
        <w:spacing w:before="10"/>
        <w:rPr>
          <w:b/>
        </w:rPr>
      </w:pPr>
    </w:p>
    <w:p w14:paraId="50C6D420" w14:textId="77777777" w:rsidR="000A5B2A" w:rsidRPr="00E2191F" w:rsidRDefault="002E36D2">
      <w:pPr>
        <w:pStyle w:val="Textoindependiente"/>
        <w:spacing w:before="1"/>
        <w:ind w:left="102"/>
      </w:pPr>
      <w:r>
        <w:rPr>
          <w:lang w:val="en"/>
        </w:rPr>
        <w:t>Unanimously:</w:t>
      </w:r>
    </w:p>
    <w:p w14:paraId="76C4BEBE" w14:textId="77777777" w:rsidR="000A5B2A" w:rsidRPr="00E2191F" w:rsidRDefault="000A5B2A">
      <w:pPr>
        <w:pStyle w:val="Textoindependiente"/>
        <w:spacing w:before="1"/>
      </w:pPr>
    </w:p>
    <w:p w14:paraId="6040EF67" w14:textId="1CE2BE76" w:rsidR="000A5B2A" w:rsidRPr="00647F78" w:rsidRDefault="002E36D2" w:rsidP="00E2191F">
      <w:pPr>
        <w:pStyle w:val="Prrafodelista"/>
        <w:numPr>
          <w:ilvl w:val="0"/>
          <w:numId w:val="1"/>
        </w:numPr>
        <w:tabs>
          <w:tab w:val="left" w:pos="669"/>
        </w:tabs>
        <w:ind w:right="116" w:firstLine="0"/>
        <w:jc w:val="both"/>
        <w:rPr>
          <w:sz w:val="20"/>
          <w:szCs w:val="20"/>
          <w:lang w:val="en-US"/>
        </w:rPr>
      </w:pPr>
      <w:r>
        <w:rPr>
          <w:sz w:val="20"/>
          <w:szCs w:val="20"/>
          <w:lang w:val="en"/>
        </w:rPr>
        <w:t xml:space="preserve">To dismiss as inadmissible the request for interpretation of the Judgment on the Merits and Reparations in the case of </w:t>
      </w:r>
      <w:proofErr w:type="spellStart"/>
      <w:r>
        <w:rPr>
          <w:i/>
          <w:iCs/>
          <w:sz w:val="20"/>
          <w:szCs w:val="20"/>
          <w:lang w:val="en"/>
        </w:rPr>
        <w:t>Maidanik</w:t>
      </w:r>
      <w:proofErr w:type="spellEnd"/>
      <w:r>
        <w:rPr>
          <w:i/>
          <w:iCs/>
          <w:sz w:val="20"/>
          <w:szCs w:val="20"/>
          <w:lang w:val="en"/>
        </w:rPr>
        <w:t xml:space="preserve"> et al. v. Uruguay</w:t>
      </w:r>
      <w:r>
        <w:rPr>
          <w:sz w:val="20"/>
          <w:szCs w:val="20"/>
          <w:lang w:val="en"/>
        </w:rPr>
        <w:t xml:space="preserve"> presented by the State, with respect to why it was determined that for one of the victims, Washington Javier Barrios Fernández, the corresponding reparation amount would be distributed to his heirs, pursuant to the terms of paragraphs 14 to 16 of this judgment on interpretation. </w:t>
      </w:r>
    </w:p>
    <w:p w14:paraId="31AA62C5" w14:textId="77777777" w:rsidR="006773FE" w:rsidRPr="00647F78" w:rsidRDefault="006773FE" w:rsidP="00E2191F">
      <w:pPr>
        <w:pStyle w:val="Prrafodelista"/>
        <w:tabs>
          <w:tab w:val="left" w:pos="669"/>
        </w:tabs>
        <w:ind w:right="116"/>
        <w:rPr>
          <w:sz w:val="20"/>
          <w:szCs w:val="20"/>
          <w:lang w:val="en-US"/>
        </w:rPr>
      </w:pPr>
    </w:p>
    <w:p w14:paraId="16B8B9FC" w14:textId="4631E941" w:rsidR="00917935" w:rsidRPr="00647F78" w:rsidRDefault="002E36D2" w:rsidP="00E2191F">
      <w:pPr>
        <w:pStyle w:val="Prrafodelista"/>
        <w:numPr>
          <w:ilvl w:val="0"/>
          <w:numId w:val="1"/>
        </w:numPr>
        <w:tabs>
          <w:tab w:val="left" w:pos="669"/>
        </w:tabs>
        <w:ind w:right="116" w:firstLine="0"/>
        <w:jc w:val="both"/>
        <w:rPr>
          <w:sz w:val="20"/>
          <w:szCs w:val="20"/>
          <w:lang w:val="en-US"/>
        </w:rPr>
      </w:pPr>
      <w:r>
        <w:rPr>
          <w:sz w:val="20"/>
          <w:szCs w:val="20"/>
          <w:lang w:val="en"/>
        </w:rPr>
        <w:t xml:space="preserve">To declare admissible the request for interpretation of the judgment on the merits and reparations in the case of </w:t>
      </w:r>
      <w:proofErr w:type="spellStart"/>
      <w:r>
        <w:rPr>
          <w:i/>
          <w:iCs/>
          <w:sz w:val="20"/>
          <w:szCs w:val="20"/>
          <w:lang w:val="en"/>
        </w:rPr>
        <w:t>Maidanik</w:t>
      </w:r>
      <w:proofErr w:type="spellEnd"/>
      <w:r>
        <w:rPr>
          <w:i/>
          <w:iCs/>
          <w:sz w:val="20"/>
          <w:szCs w:val="20"/>
          <w:lang w:val="en"/>
        </w:rPr>
        <w:t xml:space="preserve"> et al. v. Uruguay</w:t>
      </w:r>
      <w:r>
        <w:rPr>
          <w:sz w:val="20"/>
          <w:szCs w:val="20"/>
          <w:lang w:val="en"/>
        </w:rPr>
        <w:t xml:space="preserve"> presented by the State regarding the possibility of updating, for the purpose of deducting from the amounts of compensation established in the judgment, the amounts of money paid to the victims prior to the issuance of the judgment as reparations, pursuant to the terms of paragraphs 7 and 20 of this judgment of interpretation. </w:t>
      </w:r>
    </w:p>
    <w:p w14:paraId="6AD502E7" w14:textId="77777777" w:rsidR="00917935" w:rsidRPr="00647F78" w:rsidRDefault="00917935" w:rsidP="00E2191F">
      <w:pPr>
        <w:jc w:val="both"/>
        <w:rPr>
          <w:sz w:val="20"/>
          <w:szCs w:val="20"/>
          <w:lang w:val="en-US"/>
        </w:rPr>
      </w:pPr>
    </w:p>
    <w:p w14:paraId="296B3E47" w14:textId="19F4DFB0" w:rsidR="000A5B2A" w:rsidRPr="00647F78" w:rsidRDefault="00917935" w:rsidP="00E2191F">
      <w:pPr>
        <w:pStyle w:val="Prrafodelista"/>
        <w:numPr>
          <w:ilvl w:val="0"/>
          <w:numId w:val="1"/>
        </w:numPr>
        <w:tabs>
          <w:tab w:val="left" w:pos="669"/>
        </w:tabs>
        <w:spacing w:before="1"/>
        <w:ind w:right="116" w:firstLine="0"/>
        <w:jc w:val="both"/>
        <w:rPr>
          <w:sz w:val="20"/>
          <w:szCs w:val="20"/>
          <w:lang w:val="en-US"/>
        </w:rPr>
      </w:pPr>
      <w:r>
        <w:rPr>
          <w:sz w:val="20"/>
          <w:szCs w:val="20"/>
          <w:lang w:val="en"/>
        </w:rPr>
        <w:t xml:space="preserve">To clarify, by means of interpretation, the judgment on the merits and reparations in the case of </w:t>
      </w:r>
      <w:proofErr w:type="spellStart"/>
      <w:r>
        <w:rPr>
          <w:i/>
          <w:iCs/>
          <w:sz w:val="20"/>
          <w:szCs w:val="20"/>
          <w:lang w:val="en"/>
        </w:rPr>
        <w:t>Maidanik</w:t>
      </w:r>
      <w:proofErr w:type="spellEnd"/>
      <w:r>
        <w:rPr>
          <w:i/>
          <w:iCs/>
          <w:sz w:val="20"/>
          <w:szCs w:val="20"/>
          <w:lang w:val="en"/>
        </w:rPr>
        <w:t xml:space="preserve"> et al. vs. Uruguay</w:t>
      </w:r>
      <w:r>
        <w:rPr>
          <w:sz w:val="20"/>
          <w:szCs w:val="20"/>
          <w:lang w:val="en"/>
        </w:rPr>
        <w:t xml:space="preserve"> regarding the possibility of updating, for the purpose of deducting from the amounts of compensation established in the Judgment the amounts of money paid to the victims prior to the issuance of the judgment, pursuant to the terms of paragraphs 19 to 23 of this judgment on interpretation.</w:t>
      </w:r>
    </w:p>
    <w:p w14:paraId="64BF8ED3" w14:textId="77777777" w:rsidR="00917935" w:rsidRPr="00647F78" w:rsidRDefault="00917935" w:rsidP="00E2191F">
      <w:pPr>
        <w:tabs>
          <w:tab w:val="left" w:pos="669"/>
        </w:tabs>
        <w:spacing w:before="1"/>
        <w:ind w:right="116"/>
        <w:jc w:val="both"/>
        <w:rPr>
          <w:sz w:val="20"/>
          <w:szCs w:val="20"/>
          <w:lang w:val="en-US"/>
        </w:rPr>
      </w:pPr>
    </w:p>
    <w:p w14:paraId="21ADA1BC" w14:textId="3C47FC2D" w:rsidR="000A5B2A" w:rsidRPr="00647F78" w:rsidRDefault="002E36D2" w:rsidP="009C53E9">
      <w:pPr>
        <w:pStyle w:val="Prrafodelista"/>
        <w:numPr>
          <w:ilvl w:val="0"/>
          <w:numId w:val="1"/>
        </w:numPr>
        <w:tabs>
          <w:tab w:val="left" w:pos="669"/>
        </w:tabs>
        <w:ind w:right="114" w:firstLine="0"/>
        <w:jc w:val="both"/>
        <w:rPr>
          <w:sz w:val="20"/>
          <w:szCs w:val="20"/>
          <w:lang w:val="en-US"/>
        </w:rPr>
      </w:pPr>
      <w:r>
        <w:rPr>
          <w:sz w:val="20"/>
          <w:szCs w:val="20"/>
          <w:lang w:val="en"/>
        </w:rPr>
        <w:t>To order the Office of the Registrar of the Court to notify the Oriental Republic of Uruguay, the representatives of the victims, and the Inter-American Commission on Human Rights of this judgment of interpretation.</w:t>
      </w:r>
    </w:p>
    <w:p w14:paraId="5852EB99" w14:textId="77777777" w:rsidR="00CA3762" w:rsidRPr="00647F78" w:rsidRDefault="00CA3762" w:rsidP="00CA3762">
      <w:pPr>
        <w:pStyle w:val="Prrafodelista"/>
        <w:rPr>
          <w:sz w:val="20"/>
          <w:szCs w:val="20"/>
          <w:lang w:val="en-US"/>
        </w:rPr>
      </w:pPr>
    </w:p>
    <w:p w14:paraId="30A22ADB" w14:textId="289121B4" w:rsidR="00CA3762" w:rsidRPr="00647F78" w:rsidRDefault="00CA3762" w:rsidP="00CA3762">
      <w:pPr>
        <w:tabs>
          <w:tab w:val="left" w:pos="669"/>
        </w:tabs>
        <w:ind w:right="114"/>
        <w:jc w:val="both"/>
        <w:rPr>
          <w:sz w:val="20"/>
          <w:szCs w:val="20"/>
          <w:lang w:val="en-US"/>
        </w:rPr>
      </w:pPr>
    </w:p>
    <w:p w14:paraId="62C6B541" w14:textId="7C2467A9" w:rsidR="00CA3762" w:rsidRPr="00647F78" w:rsidRDefault="00CA3762" w:rsidP="00CA3762">
      <w:pPr>
        <w:tabs>
          <w:tab w:val="left" w:pos="669"/>
        </w:tabs>
        <w:ind w:right="114"/>
        <w:jc w:val="both"/>
        <w:rPr>
          <w:sz w:val="20"/>
          <w:szCs w:val="20"/>
          <w:lang w:val="en-US"/>
        </w:rPr>
      </w:pPr>
    </w:p>
    <w:p w14:paraId="1BA9B190" w14:textId="580D9BD5" w:rsidR="00CA3762" w:rsidRPr="00647F78" w:rsidRDefault="00CA3762" w:rsidP="00CA3762">
      <w:pPr>
        <w:tabs>
          <w:tab w:val="left" w:pos="669"/>
        </w:tabs>
        <w:ind w:right="114"/>
        <w:jc w:val="both"/>
        <w:rPr>
          <w:sz w:val="20"/>
          <w:szCs w:val="20"/>
          <w:lang w:val="en-US"/>
        </w:rPr>
      </w:pPr>
    </w:p>
    <w:p w14:paraId="1D200EE7" w14:textId="71E86332" w:rsidR="00CA3762" w:rsidRPr="00647F78" w:rsidRDefault="00CA3762" w:rsidP="00CA3762">
      <w:pPr>
        <w:tabs>
          <w:tab w:val="left" w:pos="669"/>
        </w:tabs>
        <w:ind w:right="114"/>
        <w:jc w:val="both"/>
        <w:rPr>
          <w:sz w:val="20"/>
          <w:szCs w:val="20"/>
          <w:lang w:val="en-US"/>
        </w:rPr>
      </w:pPr>
    </w:p>
    <w:p w14:paraId="4B99C1FF" w14:textId="77777777" w:rsidR="00647F78" w:rsidRDefault="00647F78">
      <w:pPr>
        <w:rPr>
          <w:sz w:val="20"/>
          <w:lang w:val="en"/>
        </w:rPr>
      </w:pPr>
      <w:r>
        <w:rPr>
          <w:sz w:val="20"/>
          <w:lang w:val="en"/>
        </w:rPr>
        <w:br w:type="page"/>
      </w:r>
    </w:p>
    <w:p w14:paraId="3CBAC597" w14:textId="6195D1AD" w:rsidR="00CA3762" w:rsidRPr="00647F78" w:rsidRDefault="00CA3762" w:rsidP="00CA3762">
      <w:pPr>
        <w:jc w:val="both"/>
        <w:rPr>
          <w:sz w:val="20"/>
          <w:lang w:val="pt-BR"/>
        </w:rPr>
      </w:pPr>
      <w:r>
        <w:rPr>
          <w:sz w:val="20"/>
          <w:lang w:val="en"/>
        </w:rPr>
        <w:lastRenderedPageBreak/>
        <w:t xml:space="preserve">I/A Court H.R. </w:t>
      </w:r>
      <w:r>
        <w:rPr>
          <w:i/>
          <w:iCs/>
          <w:sz w:val="20"/>
          <w:lang w:val="en"/>
        </w:rPr>
        <w:t xml:space="preserve">Case of </w:t>
      </w:r>
      <w:proofErr w:type="spellStart"/>
      <w:r>
        <w:rPr>
          <w:i/>
          <w:iCs/>
          <w:sz w:val="20"/>
          <w:lang w:val="en"/>
        </w:rPr>
        <w:t>Maidanik</w:t>
      </w:r>
      <w:proofErr w:type="spellEnd"/>
      <w:r>
        <w:rPr>
          <w:i/>
          <w:iCs/>
          <w:sz w:val="20"/>
          <w:lang w:val="en"/>
        </w:rPr>
        <w:t xml:space="preserve"> et al. v. Uruguay.</w:t>
      </w:r>
      <w:r>
        <w:rPr>
          <w:sz w:val="20"/>
          <w:lang w:val="en"/>
        </w:rPr>
        <w:t xml:space="preserve"> Interpretation of Judgment on Merits and Reparations. </w:t>
      </w:r>
      <w:proofErr w:type="spellStart"/>
      <w:r w:rsidRPr="00647F78">
        <w:rPr>
          <w:sz w:val="20"/>
          <w:lang w:val="pt-BR"/>
        </w:rPr>
        <w:t>Judgment</w:t>
      </w:r>
      <w:proofErr w:type="spellEnd"/>
      <w:r w:rsidRPr="00647F78">
        <w:rPr>
          <w:sz w:val="20"/>
          <w:lang w:val="pt-BR"/>
        </w:rPr>
        <w:t xml:space="preserve"> </w:t>
      </w:r>
      <w:proofErr w:type="spellStart"/>
      <w:r w:rsidRPr="00647F78">
        <w:rPr>
          <w:sz w:val="20"/>
          <w:lang w:val="pt-BR"/>
        </w:rPr>
        <w:t>of</w:t>
      </w:r>
      <w:proofErr w:type="spellEnd"/>
      <w:r w:rsidRPr="00647F78">
        <w:rPr>
          <w:sz w:val="20"/>
          <w:lang w:val="pt-BR"/>
        </w:rPr>
        <w:t xml:space="preserve"> </w:t>
      </w:r>
      <w:proofErr w:type="spellStart"/>
      <w:r w:rsidRPr="00647F78">
        <w:rPr>
          <w:sz w:val="20"/>
          <w:lang w:val="pt-BR"/>
        </w:rPr>
        <w:t>November</w:t>
      </w:r>
      <w:proofErr w:type="spellEnd"/>
      <w:r w:rsidRPr="00647F78">
        <w:rPr>
          <w:sz w:val="20"/>
          <w:lang w:val="pt-BR"/>
        </w:rPr>
        <w:t xml:space="preserve"> 21, 2022.</w:t>
      </w:r>
    </w:p>
    <w:p w14:paraId="643B15F5" w14:textId="77777777" w:rsidR="00CA3762" w:rsidRPr="00647F78" w:rsidRDefault="00CA3762" w:rsidP="00CA3762">
      <w:pPr>
        <w:jc w:val="both"/>
        <w:rPr>
          <w:sz w:val="20"/>
          <w:lang w:val="pt-BR"/>
        </w:rPr>
      </w:pPr>
    </w:p>
    <w:p w14:paraId="49C64B9E" w14:textId="77777777" w:rsidR="00CA3762" w:rsidRPr="00647F78" w:rsidRDefault="00CA3762" w:rsidP="00CA3762">
      <w:pPr>
        <w:rPr>
          <w:szCs w:val="20"/>
          <w:lang w:val="pt-BR"/>
        </w:rPr>
      </w:pPr>
    </w:p>
    <w:p w14:paraId="574FD0A7" w14:textId="77777777" w:rsidR="00CA3762" w:rsidRPr="00647F78" w:rsidRDefault="00CA3762" w:rsidP="00CA3762">
      <w:pPr>
        <w:jc w:val="center"/>
        <w:rPr>
          <w:lang w:val="pt-BR"/>
        </w:rPr>
      </w:pPr>
    </w:p>
    <w:p w14:paraId="2C0471DB" w14:textId="77777777" w:rsidR="00CA3762" w:rsidRPr="00647F78" w:rsidRDefault="00CA3762" w:rsidP="00CA3762">
      <w:pPr>
        <w:jc w:val="center"/>
        <w:rPr>
          <w:sz w:val="20"/>
          <w:szCs w:val="20"/>
          <w:lang w:val="pt-BR"/>
        </w:rPr>
      </w:pPr>
    </w:p>
    <w:p w14:paraId="4190BA92" w14:textId="77777777" w:rsidR="00CA3762" w:rsidRPr="00647F78" w:rsidRDefault="00CA3762" w:rsidP="00CA3762">
      <w:pPr>
        <w:jc w:val="center"/>
        <w:rPr>
          <w:sz w:val="20"/>
          <w:szCs w:val="20"/>
          <w:lang w:val="pt-BR"/>
        </w:rPr>
      </w:pPr>
    </w:p>
    <w:p w14:paraId="68524EF9" w14:textId="77777777" w:rsidR="00CA3762" w:rsidRPr="00647F78" w:rsidRDefault="00CA3762" w:rsidP="00CA3762">
      <w:pPr>
        <w:jc w:val="center"/>
        <w:rPr>
          <w:sz w:val="20"/>
          <w:szCs w:val="20"/>
          <w:lang w:val="pt-BR"/>
        </w:rPr>
      </w:pPr>
    </w:p>
    <w:p w14:paraId="38ACA1CA" w14:textId="77777777" w:rsidR="00CA3762" w:rsidRPr="00647F78" w:rsidRDefault="00CA3762" w:rsidP="00CA3762">
      <w:pPr>
        <w:tabs>
          <w:tab w:val="left" w:pos="2027"/>
        </w:tabs>
        <w:rPr>
          <w:sz w:val="20"/>
          <w:szCs w:val="20"/>
          <w:lang w:val="pt-BR"/>
        </w:rPr>
      </w:pPr>
      <w:r w:rsidRPr="00647F78">
        <w:rPr>
          <w:lang w:val="pt-BR"/>
        </w:rPr>
        <w:tab/>
      </w:r>
    </w:p>
    <w:p w14:paraId="51C79B79" w14:textId="77777777" w:rsidR="00CA3762" w:rsidRPr="00647F78" w:rsidRDefault="00CA3762" w:rsidP="00CA3762">
      <w:pPr>
        <w:jc w:val="center"/>
        <w:rPr>
          <w:sz w:val="20"/>
          <w:szCs w:val="20"/>
          <w:lang w:val="pt-BR"/>
        </w:rPr>
      </w:pPr>
      <w:r w:rsidRPr="00647F78">
        <w:rPr>
          <w:sz w:val="20"/>
          <w:szCs w:val="20"/>
          <w:lang w:val="pt-BR"/>
        </w:rPr>
        <w:t xml:space="preserve">Elizabeth </w:t>
      </w:r>
      <w:proofErr w:type="spellStart"/>
      <w:r w:rsidRPr="00647F78">
        <w:rPr>
          <w:sz w:val="20"/>
          <w:szCs w:val="20"/>
          <w:lang w:val="pt-BR"/>
        </w:rPr>
        <w:t>Odio</w:t>
      </w:r>
      <w:proofErr w:type="spellEnd"/>
      <w:r w:rsidRPr="00647F78">
        <w:rPr>
          <w:sz w:val="20"/>
          <w:szCs w:val="20"/>
          <w:lang w:val="pt-BR"/>
        </w:rPr>
        <w:t xml:space="preserve"> Benito</w:t>
      </w:r>
    </w:p>
    <w:p w14:paraId="71A449AB" w14:textId="77777777" w:rsidR="00CA3762" w:rsidRPr="00647F78" w:rsidRDefault="00CA3762" w:rsidP="00CA3762">
      <w:pPr>
        <w:jc w:val="center"/>
        <w:rPr>
          <w:sz w:val="20"/>
          <w:szCs w:val="20"/>
          <w:lang w:val="pt-BR"/>
        </w:rPr>
      </w:pPr>
      <w:proofErr w:type="spellStart"/>
      <w:r w:rsidRPr="00647F78">
        <w:rPr>
          <w:sz w:val="20"/>
          <w:szCs w:val="20"/>
          <w:lang w:val="pt-BR"/>
        </w:rPr>
        <w:t>President</w:t>
      </w:r>
      <w:proofErr w:type="spellEnd"/>
    </w:p>
    <w:p w14:paraId="46AB27B9" w14:textId="77777777" w:rsidR="00CA3762" w:rsidRPr="00647F78" w:rsidRDefault="00CA3762" w:rsidP="00CA3762">
      <w:pPr>
        <w:jc w:val="center"/>
        <w:rPr>
          <w:sz w:val="20"/>
          <w:szCs w:val="20"/>
          <w:lang w:val="pt-BR"/>
        </w:rPr>
      </w:pPr>
    </w:p>
    <w:p w14:paraId="2F1FAEC3" w14:textId="77777777" w:rsidR="00CA3762" w:rsidRPr="00647F78" w:rsidRDefault="00CA3762" w:rsidP="00CA3762">
      <w:pPr>
        <w:jc w:val="center"/>
        <w:rPr>
          <w:sz w:val="20"/>
          <w:szCs w:val="20"/>
          <w:lang w:val="pt-BR"/>
        </w:rPr>
      </w:pPr>
    </w:p>
    <w:p w14:paraId="6D803E69" w14:textId="77777777" w:rsidR="00CA3762" w:rsidRPr="00647F78" w:rsidRDefault="00CA3762" w:rsidP="00CA3762">
      <w:pPr>
        <w:ind w:firstLine="720"/>
        <w:rPr>
          <w:sz w:val="20"/>
          <w:szCs w:val="20"/>
          <w:lang w:val="pt-BR"/>
        </w:rPr>
      </w:pPr>
    </w:p>
    <w:p w14:paraId="6BE73E99" w14:textId="77777777" w:rsidR="00CA3762" w:rsidRPr="00647F78" w:rsidRDefault="00CA3762" w:rsidP="00CA3762">
      <w:pPr>
        <w:rPr>
          <w:sz w:val="20"/>
          <w:szCs w:val="20"/>
          <w:lang w:val="pt-BR"/>
        </w:rPr>
      </w:pPr>
      <w:r w:rsidRPr="00647F78">
        <w:rPr>
          <w:noProof/>
          <w:sz w:val="20"/>
          <w:szCs w:val="20"/>
          <w:lang w:val="pt-BR"/>
        </w:rPr>
        <w:t xml:space="preserve">  </w:t>
      </w:r>
    </w:p>
    <w:p w14:paraId="2159688C" w14:textId="77777777" w:rsidR="00CA3762" w:rsidRPr="00647F78" w:rsidRDefault="00CA3762" w:rsidP="00CA3762">
      <w:pPr>
        <w:rPr>
          <w:sz w:val="20"/>
          <w:szCs w:val="20"/>
          <w:lang w:val="pt-BR"/>
        </w:rPr>
      </w:pPr>
      <w:r w:rsidRPr="00647F78">
        <w:rPr>
          <w:noProof/>
          <w:sz w:val="20"/>
          <w:szCs w:val="20"/>
          <w:lang w:val="pt-BR"/>
        </w:rPr>
        <w:t xml:space="preserve"> </w:t>
      </w:r>
      <w:r w:rsidRPr="00647F78">
        <w:rPr>
          <w:sz w:val="20"/>
          <w:szCs w:val="20"/>
          <w:lang w:val="pt-BR"/>
        </w:rPr>
        <w:t xml:space="preserve">L. Patricio </w:t>
      </w:r>
      <w:proofErr w:type="spellStart"/>
      <w:r w:rsidRPr="00647F78">
        <w:rPr>
          <w:sz w:val="20"/>
          <w:szCs w:val="20"/>
          <w:lang w:val="pt-BR"/>
        </w:rPr>
        <w:t>Pazmiño</w:t>
      </w:r>
      <w:proofErr w:type="spellEnd"/>
      <w:r w:rsidRPr="00647F78">
        <w:rPr>
          <w:sz w:val="20"/>
          <w:szCs w:val="20"/>
          <w:lang w:val="pt-BR"/>
        </w:rPr>
        <w:t xml:space="preserve"> Freire</w:t>
      </w:r>
      <w:r w:rsidRPr="00647F78">
        <w:rPr>
          <w:sz w:val="20"/>
          <w:szCs w:val="20"/>
          <w:lang w:val="pt-BR"/>
        </w:rPr>
        <w:tab/>
      </w:r>
      <w:r w:rsidRPr="00647F78">
        <w:rPr>
          <w:sz w:val="20"/>
          <w:szCs w:val="20"/>
          <w:lang w:val="pt-BR"/>
        </w:rPr>
        <w:tab/>
      </w:r>
      <w:r w:rsidRPr="00647F78">
        <w:rPr>
          <w:sz w:val="20"/>
          <w:szCs w:val="20"/>
          <w:lang w:val="pt-BR"/>
        </w:rPr>
        <w:tab/>
        <w:t xml:space="preserve">     Humberto </w:t>
      </w:r>
      <w:proofErr w:type="spellStart"/>
      <w:r w:rsidRPr="00647F78">
        <w:rPr>
          <w:sz w:val="20"/>
          <w:szCs w:val="20"/>
          <w:lang w:val="pt-BR"/>
        </w:rPr>
        <w:t>Antonio</w:t>
      </w:r>
      <w:proofErr w:type="spellEnd"/>
      <w:r w:rsidRPr="00647F78">
        <w:rPr>
          <w:sz w:val="20"/>
          <w:szCs w:val="20"/>
          <w:lang w:val="pt-BR"/>
        </w:rPr>
        <w:t xml:space="preserve"> </w:t>
      </w:r>
      <w:proofErr w:type="spellStart"/>
      <w:r w:rsidRPr="00647F78">
        <w:rPr>
          <w:sz w:val="20"/>
          <w:szCs w:val="20"/>
          <w:lang w:val="pt-BR"/>
        </w:rPr>
        <w:t>Sierra</w:t>
      </w:r>
      <w:proofErr w:type="spellEnd"/>
      <w:r w:rsidRPr="00647F78">
        <w:rPr>
          <w:sz w:val="20"/>
          <w:szCs w:val="20"/>
          <w:lang w:val="pt-BR"/>
        </w:rPr>
        <w:t xml:space="preserve"> Porto</w:t>
      </w:r>
    </w:p>
    <w:p w14:paraId="7E0C8B29" w14:textId="77777777" w:rsidR="00CA3762" w:rsidRPr="00647F78" w:rsidRDefault="00CA3762" w:rsidP="00CA3762">
      <w:pPr>
        <w:rPr>
          <w:sz w:val="20"/>
          <w:szCs w:val="20"/>
          <w:lang w:val="pt-BR"/>
        </w:rPr>
      </w:pPr>
    </w:p>
    <w:p w14:paraId="4243AEF6" w14:textId="77777777" w:rsidR="00CA3762" w:rsidRPr="00647F78" w:rsidRDefault="00CA3762" w:rsidP="00CA3762">
      <w:pPr>
        <w:rPr>
          <w:sz w:val="20"/>
          <w:szCs w:val="20"/>
          <w:lang w:val="pt-BR"/>
        </w:rPr>
      </w:pPr>
    </w:p>
    <w:p w14:paraId="399BF201" w14:textId="77777777" w:rsidR="00CA3762" w:rsidRPr="00647F78" w:rsidRDefault="00CA3762" w:rsidP="00CA3762">
      <w:pPr>
        <w:rPr>
          <w:sz w:val="20"/>
          <w:szCs w:val="20"/>
          <w:lang w:val="pt-BR"/>
        </w:rPr>
      </w:pPr>
    </w:p>
    <w:p w14:paraId="2E9FD3A6" w14:textId="77777777" w:rsidR="00CA3762" w:rsidRPr="00647F78" w:rsidRDefault="00CA3762" w:rsidP="00CA3762">
      <w:pPr>
        <w:rPr>
          <w:sz w:val="20"/>
          <w:szCs w:val="20"/>
          <w:lang w:val="pt-BR"/>
        </w:rPr>
      </w:pPr>
    </w:p>
    <w:p w14:paraId="4487657D" w14:textId="77777777" w:rsidR="00CA3762" w:rsidRPr="00647F78" w:rsidRDefault="00CA3762" w:rsidP="00CA3762">
      <w:pPr>
        <w:rPr>
          <w:sz w:val="20"/>
          <w:szCs w:val="20"/>
          <w:lang w:val="pt-BR"/>
        </w:rPr>
      </w:pPr>
    </w:p>
    <w:p w14:paraId="194D529D" w14:textId="77777777" w:rsidR="00CA3762" w:rsidRPr="00647F78" w:rsidRDefault="00CA3762" w:rsidP="00CA3762">
      <w:pPr>
        <w:rPr>
          <w:sz w:val="20"/>
          <w:szCs w:val="20"/>
          <w:lang w:val="pt-BR"/>
        </w:rPr>
      </w:pPr>
    </w:p>
    <w:p w14:paraId="46672195" w14:textId="77777777" w:rsidR="00CA3762" w:rsidRPr="00647F78" w:rsidRDefault="00CA3762" w:rsidP="00CA3762">
      <w:pPr>
        <w:rPr>
          <w:sz w:val="20"/>
          <w:szCs w:val="20"/>
          <w:lang w:val="pt-BR"/>
        </w:rPr>
      </w:pPr>
      <w:r w:rsidRPr="00647F78">
        <w:rPr>
          <w:sz w:val="20"/>
          <w:szCs w:val="20"/>
          <w:lang w:val="pt-BR"/>
        </w:rPr>
        <w:t xml:space="preserve">Eduardo Ferrer </w:t>
      </w:r>
      <w:proofErr w:type="spellStart"/>
      <w:r w:rsidRPr="00647F78">
        <w:rPr>
          <w:sz w:val="20"/>
          <w:szCs w:val="20"/>
          <w:lang w:val="pt-BR"/>
        </w:rPr>
        <w:t>Mac-Gregor</w:t>
      </w:r>
      <w:proofErr w:type="spellEnd"/>
      <w:r w:rsidRPr="00647F78">
        <w:rPr>
          <w:sz w:val="20"/>
          <w:szCs w:val="20"/>
          <w:lang w:val="pt-BR"/>
        </w:rPr>
        <w:t xml:space="preserve"> Poisot</w:t>
      </w:r>
      <w:r w:rsidRPr="00647F78">
        <w:rPr>
          <w:sz w:val="20"/>
          <w:szCs w:val="20"/>
          <w:lang w:val="pt-BR"/>
        </w:rPr>
        <w:tab/>
        <w:t xml:space="preserve">                           Eugenio </w:t>
      </w:r>
      <w:proofErr w:type="spellStart"/>
      <w:r w:rsidRPr="00647F78">
        <w:rPr>
          <w:sz w:val="20"/>
          <w:szCs w:val="20"/>
          <w:lang w:val="pt-BR"/>
        </w:rPr>
        <w:t>Raúl</w:t>
      </w:r>
      <w:proofErr w:type="spellEnd"/>
      <w:r w:rsidRPr="00647F78">
        <w:rPr>
          <w:sz w:val="20"/>
          <w:szCs w:val="20"/>
          <w:lang w:val="pt-BR"/>
        </w:rPr>
        <w:t xml:space="preserve"> Zaffaroni</w:t>
      </w:r>
      <w:r w:rsidRPr="00647F78">
        <w:rPr>
          <w:sz w:val="20"/>
          <w:szCs w:val="20"/>
          <w:lang w:val="pt-BR"/>
        </w:rPr>
        <w:tab/>
      </w:r>
      <w:r w:rsidRPr="00647F78">
        <w:rPr>
          <w:sz w:val="20"/>
          <w:szCs w:val="20"/>
          <w:lang w:val="pt-BR"/>
        </w:rPr>
        <w:tab/>
      </w:r>
      <w:r w:rsidRPr="00647F78">
        <w:rPr>
          <w:sz w:val="20"/>
          <w:szCs w:val="20"/>
          <w:lang w:val="pt-BR"/>
        </w:rPr>
        <w:tab/>
        <w:t xml:space="preserve">                                 </w:t>
      </w:r>
    </w:p>
    <w:p w14:paraId="7D803514" w14:textId="77777777" w:rsidR="00CA3762" w:rsidRPr="00647F78" w:rsidRDefault="00CA3762" w:rsidP="00CA3762">
      <w:pPr>
        <w:rPr>
          <w:sz w:val="20"/>
          <w:szCs w:val="20"/>
          <w:lang w:val="pt-BR"/>
        </w:rPr>
      </w:pPr>
    </w:p>
    <w:p w14:paraId="3A814C4F" w14:textId="77777777" w:rsidR="00CA3762" w:rsidRPr="00647F78" w:rsidRDefault="00CA3762" w:rsidP="00CA3762">
      <w:pPr>
        <w:rPr>
          <w:sz w:val="20"/>
          <w:szCs w:val="20"/>
          <w:lang w:val="pt-BR"/>
        </w:rPr>
      </w:pPr>
    </w:p>
    <w:p w14:paraId="0D5938E9" w14:textId="77777777" w:rsidR="00CA3762" w:rsidRPr="00647F78" w:rsidRDefault="00CA3762" w:rsidP="00CA3762">
      <w:pPr>
        <w:rPr>
          <w:sz w:val="20"/>
          <w:szCs w:val="20"/>
          <w:lang w:val="pt-BR"/>
        </w:rPr>
      </w:pPr>
    </w:p>
    <w:p w14:paraId="32E8FDB0" w14:textId="77777777" w:rsidR="00CA3762" w:rsidRPr="00647F78" w:rsidRDefault="00CA3762" w:rsidP="00CA3762">
      <w:pPr>
        <w:rPr>
          <w:sz w:val="20"/>
          <w:szCs w:val="20"/>
          <w:lang w:val="pt-BR"/>
        </w:rPr>
      </w:pPr>
    </w:p>
    <w:p w14:paraId="2F5927DF" w14:textId="77777777" w:rsidR="00CA3762" w:rsidRPr="00647F78" w:rsidRDefault="00CA3762" w:rsidP="00CA3762">
      <w:pPr>
        <w:rPr>
          <w:sz w:val="20"/>
          <w:szCs w:val="20"/>
          <w:lang w:val="pt-BR"/>
        </w:rPr>
      </w:pPr>
    </w:p>
    <w:p w14:paraId="0A5B752D" w14:textId="77777777" w:rsidR="00CA3762" w:rsidRPr="00647F78" w:rsidRDefault="00CA3762" w:rsidP="00CA3762">
      <w:pPr>
        <w:jc w:val="center"/>
        <w:rPr>
          <w:sz w:val="20"/>
          <w:szCs w:val="20"/>
          <w:lang w:val="pt-BR"/>
        </w:rPr>
      </w:pPr>
      <w:r w:rsidRPr="00647F78">
        <w:rPr>
          <w:sz w:val="20"/>
          <w:szCs w:val="20"/>
          <w:lang w:val="pt-BR"/>
        </w:rPr>
        <w:t>Pablo Saavedra Alessandri</w:t>
      </w:r>
    </w:p>
    <w:p w14:paraId="71AAE6AF" w14:textId="77777777" w:rsidR="00CA3762" w:rsidRPr="00647F78" w:rsidRDefault="00CA3762" w:rsidP="00CA3762">
      <w:pPr>
        <w:jc w:val="center"/>
        <w:rPr>
          <w:sz w:val="20"/>
          <w:szCs w:val="20"/>
          <w:lang w:val="pt-BR"/>
        </w:rPr>
      </w:pPr>
      <w:r w:rsidRPr="00647F78">
        <w:rPr>
          <w:sz w:val="20"/>
          <w:szCs w:val="20"/>
          <w:lang w:val="pt-BR"/>
        </w:rPr>
        <w:t>Registrar</w:t>
      </w:r>
    </w:p>
    <w:p w14:paraId="4460AF46" w14:textId="77777777" w:rsidR="00CA3762" w:rsidRPr="00647F78" w:rsidRDefault="00CA3762" w:rsidP="00CA3762">
      <w:pPr>
        <w:pStyle w:val="Textonotapie"/>
        <w:rPr>
          <w:lang w:val="pt-BR"/>
        </w:rPr>
      </w:pPr>
    </w:p>
    <w:p w14:paraId="4C30F941" w14:textId="77777777" w:rsidR="00CA3762" w:rsidRPr="00647F78" w:rsidRDefault="00CA3762" w:rsidP="00CA3762">
      <w:pPr>
        <w:rPr>
          <w:sz w:val="20"/>
          <w:szCs w:val="20"/>
          <w:lang w:val="pt-BR"/>
        </w:rPr>
      </w:pPr>
      <w:proofErr w:type="spellStart"/>
      <w:r w:rsidRPr="00647F78">
        <w:rPr>
          <w:sz w:val="20"/>
          <w:szCs w:val="20"/>
          <w:lang w:val="pt-BR"/>
        </w:rPr>
        <w:t>So</w:t>
      </w:r>
      <w:proofErr w:type="spellEnd"/>
      <w:r w:rsidRPr="00647F78">
        <w:rPr>
          <w:sz w:val="20"/>
          <w:szCs w:val="20"/>
          <w:lang w:val="pt-BR"/>
        </w:rPr>
        <w:t xml:space="preserve"> ordered,</w:t>
      </w:r>
    </w:p>
    <w:p w14:paraId="0DD710E0" w14:textId="77777777" w:rsidR="00CA3762" w:rsidRPr="00647F78" w:rsidRDefault="00CA3762" w:rsidP="00CA3762">
      <w:pPr>
        <w:rPr>
          <w:sz w:val="20"/>
          <w:szCs w:val="20"/>
          <w:lang w:val="pt-BR"/>
        </w:rPr>
      </w:pPr>
    </w:p>
    <w:p w14:paraId="0EAF2830" w14:textId="77777777" w:rsidR="00CA3762" w:rsidRPr="00647F78" w:rsidRDefault="00CA3762" w:rsidP="00CA3762">
      <w:pPr>
        <w:jc w:val="center"/>
        <w:rPr>
          <w:sz w:val="20"/>
          <w:szCs w:val="20"/>
          <w:lang w:val="pt-BR"/>
        </w:rPr>
      </w:pPr>
    </w:p>
    <w:p w14:paraId="70A55F80" w14:textId="77777777" w:rsidR="00CA3762" w:rsidRPr="00647F78" w:rsidRDefault="00CA3762" w:rsidP="00CA3762">
      <w:pPr>
        <w:jc w:val="right"/>
        <w:rPr>
          <w:sz w:val="20"/>
          <w:szCs w:val="20"/>
          <w:lang w:val="pt-BR"/>
        </w:rPr>
      </w:pPr>
    </w:p>
    <w:p w14:paraId="134D95D5" w14:textId="77777777" w:rsidR="00CA3762" w:rsidRPr="00CA3762" w:rsidRDefault="00CA3762" w:rsidP="00CA3762">
      <w:pPr>
        <w:jc w:val="center"/>
        <w:rPr>
          <w:sz w:val="20"/>
          <w:szCs w:val="20"/>
        </w:rPr>
      </w:pPr>
      <w:r w:rsidRPr="00647F78">
        <w:rPr>
          <w:sz w:val="20"/>
          <w:szCs w:val="20"/>
          <w:lang w:val="pt-BR"/>
        </w:rPr>
        <w:t xml:space="preserve">                                                                                      </w:t>
      </w:r>
      <w:r>
        <w:rPr>
          <w:sz w:val="20"/>
          <w:szCs w:val="20"/>
          <w:lang w:val="en"/>
        </w:rPr>
        <w:t>Elizabeth Odio Benito</w:t>
      </w:r>
    </w:p>
    <w:p w14:paraId="2279C840" w14:textId="77777777" w:rsidR="00CA3762" w:rsidRPr="00CA3762" w:rsidRDefault="00CA3762" w:rsidP="00CA3762">
      <w:pPr>
        <w:ind w:firstLine="720"/>
        <w:rPr>
          <w:sz w:val="20"/>
          <w:szCs w:val="20"/>
        </w:rPr>
      </w:pPr>
      <w:r>
        <w:rPr>
          <w:sz w:val="20"/>
          <w:szCs w:val="20"/>
          <w:lang w:val="en"/>
        </w:rPr>
        <w:t xml:space="preserve">     </w:t>
      </w:r>
      <w:r>
        <w:rPr>
          <w:sz w:val="20"/>
          <w:szCs w:val="20"/>
          <w:lang w:val="en"/>
        </w:rPr>
        <w:tab/>
      </w:r>
      <w:r>
        <w:rPr>
          <w:sz w:val="20"/>
          <w:szCs w:val="20"/>
          <w:lang w:val="en"/>
        </w:rPr>
        <w:tab/>
      </w:r>
      <w:r>
        <w:rPr>
          <w:sz w:val="20"/>
          <w:szCs w:val="20"/>
          <w:lang w:val="en"/>
        </w:rPr>
        <w:tab/>
      </w:r>
      <w:r>
        <w:rPr>
          <w:sz w:val="20"/>
          <w:szCs w:val="20"/>
          <w:lang w:val="en"/>
        </w:rPr>
        <w:tab/>
      </w:r>
      <w:r>
        <w:rPr>
          <w:sz w:val="20"/>
          <w:szCs w:val="20"/>
          <w:lang w:val="en"/>
        </w:rPr>
        <w:tab/>
      </w:r>
      <w:r>
        <w:rPr>
          <w:sz w:val="20"/>
          <w:szCs w:val="20"/>
          <w:lang w:val="en"/>
        </w:rPr>
        <w:tab/>
      </w:r>
      <w:r>
        <w:rPr>
          <w:sz w:val="20"/>
          <w:szCs w:val="20"/>
          <w:lang w:val="en"/>
        </w:rPr>
        <w:tab/>
      </w:r>
      <w:r>
        <w:rPr>
          <w:sz w:val="20"/>
          <w:szCs w:val="20"/>
          <w:lang w:val="en"/>
        </w:rPr>
        <w:tab/>
      </w:r>
      <w:r>
        <w:rPr>
          <w:sz w:val="20"/>
          <w:szCs w:val="20"/>
          <w:lang w:val="en"/>
        </w:rPr>
        <w:tab/>
        <w:t xml:space="preserve">  President</w:t>
      </w:r>
    </w:p>
    <w:p w14:paraId="3503F7BF" w14:textId="77777777" w:rsidR="00CA3762" w:rsidRPr="00CA3762" w:rsidRDefault="00CA3762" w:rsidP="00CA3762">
      <w:pPr>
        <w:rPr>
          <w:sz w:val="20"/>
          <w:szCs w:val="20"/>
        </w:rPr>
      </w:pPr>
    </w:p>
    <w:p w14:paraId="74443293" w14:textId="77777777" w:rsidR="00CA3762" w:rsidRPr="00CA3762" w:rsidRDefault="00CA3762" w:rsidP="00CA3762">
      <w:pPr>
        <w:rPr>
          <w:sz w:val="20"/>
          <w:szCs w:val="20"/>
        </w:rPr>
      </w:pPr>
    </w:p>
    <w:p w14:paraId="77552996" w14:textId="77777777" w:rsidR="00CA3762" w:rsidRPr="00CA3762" w:rsidRDefault="00CA3762" w:rsidP="00CA3762">
      <w:pPr>
        <w:rPr>
          <w:sz w:val="20"/>
          <w:szCs w:val="20"/>
        </w:rPr>
      </w:pPr>
    </w:p>
    <w:p w14:paraId="192946D2" w14:textId="77777777" w:rsidR="00CA3762" w:rsidRPr="00CA3762" w:rsidRDefault="00CA3762" w:rsidP="00CA3762">
      <w:pPr>
        <w:rPr>
          <w:sz w:val="20"/>
          <w:szCs w:val="20"/>
        </w:rPr>
      </w:pPr>
    </w:p>
    <w:p w14:paraId="5F8EAC58" w14:textId="77777777" w:rsidR="00CA3762" w:rsidRPr="00CA3762" w:rsidRDefault="00CA3762" w:rsidP="00CA3762">
      <w:pPr>
        <w:rPr>
          <w:sz w:val="20"/>
          <w:szCs w:val="20"/>
        </w:rPr>
      </w:pPr>
      <w:r>
        <w:rPr>
          <w:sz w:val="20"/>
          <w:szCs w:val="20"/>
          <w:lang w:val="en"/>
        </w:rPr>
        <w:t>Pablo Saavedra Alessandri</w:t>
      </w:r>
    </w:p>
    <w:p w14:paraId="7F76A5CC" w14:textId="77777777" w:rsidR="00CA3762" w:rsidRPr="00CA3762" w:rsidRDefault="00CA3762" w:rsidP="00CA3762">
      <w:pPr>
        <w:rPr>
          <w:sz w:val="20"/>
          <w:szCs w:val="20"/>
        </w:rPr>
      </w:pPr>
      <w:r>
        <w:rPr>
          <w:sz w:val="20"/>
          <w:szCs w:val="20"/>
          <w:lang w:val="en"/>
        </w:rPr>
        <w:t xml:space="preserve">          Registrar</w:t>
      </w:r>
    </w:p>
    <w:p w14:paraId="05C390A7" w14:textId="77777777" w:rsidR="00CA3762" w:rsidRPr="00CA3762" w:rsidRDefault="00CA3762" w:rsidP="00CA3762">
      <w:pPr>
        <w:jc w:val="both"/>
        <w:rPr>
          <w:sz w:val="20"/>
          <w:szCs w:val="20"/>
        </w:rPr>
      </w:pPr>
    </w:p>
    <w:p w14:paraId="5C115D08" w14:textId="77777777" w:rsidR="00CA3762" w:rsidRPr="00CA3762" w:rsidRDefault="00CA3762" w:rsidP="00CA3762">
      <w:pPr>
        <w:tabs>
          <w:tab w:val="left" w:pos="669"/>
        </w:tabs>
        <w:ind w:right="114"/>
        <w:jc w:val="both"/>
        <w:rPr>
          <w:sz w:val="20"/>
          <w:szCs w:val="20"/>
        </w:rPr>
      </w:pPr>
    </w:p>
    <w:sectPr w:rsidR="00CA3762" w:rsidRPr="00CA3762">
      <w:pgSz w:w="12240" w:h="15840"/>
      <w:pgMar w:top="1500" w:right="1580" w:bottom="1180" w:left="1600" w:header="0"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B48C8E" w14:textId="77777777" w:rsidR="00E826E3" w:rsidRDefault="00E826E3">
      <w:r>
        <w:separator/>
      </w:r>
    </w:p>
  </w:endnote>
  <w:endnote w:type="continuationSeparator" w:id="0">
    <w:p w14:paraId="39646650" w14:textId="77777777" w:rsidR="00E826E3" w:rsidRDefault="00E82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5947E8" w14:textId="1087665C" w:rsidR="000A5B2A" w:rsidRDefault="007353B3">
    <w:pPr>
      <w:pStyle w:val="Textoindependiente"/>
      <w:spacing w:line="14" w:lineRule="auto"/>
    </w:pPr>
    <w:r>
      <w:rPr>
        <w:noProof/>
        <w:lang w:val="en"/>
      </w:rPr>
      <mc:AlternateContent>
        <mc:Choice Requires="wps">
          <w:drawing>
            <wp:anchor distT="0" distB="0" distL="114300" distR="114300" simplePos="0" relativeHeight="251657728" behindDoc="1" locked="0" layoutInCell="1" allowOverlap="1" wp14:anchorId="0E78E014" wp14:editId="78C3F47D">
              <wp:simplePos x="0" y="0"/>
              <wp:positionH relativeFrom="page">
                <wp:posOffset>3768090</wp:posOffset>
              </wp:positionH>
              <wp:positionV relativeFrom="page">
                <wp:posOffset>9288780</wp:posOffset>
              </wp:positionV>
              <wp:extent cx="250825" cy="179705"/>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3920E7" w14:textId="77777777" w:rsidR="000A5B2A" w:rsidRDefault="002E36D2">
                          <w:pPr>
                            <w:pStyle w:val="Textoindependiente"/>
                            <w:spacing w:before="19"/>
                            <w:ind w:left="60"/>
                          </w:pPr>
                          <w:r>
                            <w:rPr>
                              <w:lang w:val="en"/>
                            </w:rPr>
                            <w:fldChar w:fldCharType="begin"/>
                          </w:r>
                          <w:r>
                            <w:rPr>
                              <w:lang w:val="en"/>
                            </w:rPr>
                            <w:instrText xml:space="preserve"> PAGE </w:instrText>
                          </w:r>
                          <w:r>
                            <w:rPr>
                              <w:lang w:val="en"/>
                            </w:rPr>
                            <w:fldChar w:fldCharType="separate"/>
                          </w:r>
                          <w:r>
                            <w:rPr>
                              <w:lang w:val="en"/>
                            </w:rPr>
                            <w:t>10</w:t>
                          </w:r>
                          <w:r>
                            <w:rPr>
                              <w:lang w:val="en"/>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78E014" id="_x0000_t202" coordsize="21600,21600" o:spt="202" path="m,l,21600r21600,l21600,xe">
              <v:stroke joinstyle="miter"/>
              <v:path gradientshapeok="t" o:connecttype="rect"/>
            </v:shapetype>
            <v:shape id="docshape1" o:spid="_x0000_s1026" type="#_x0000_t202" style="position:absolute;margin-left:296.7pt;margin-top:731.4pt;width:19.75pt;height:14.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" filled="f" stroked="f">
              <v:textbox inset="0,0,0,0">
                <w:txbxContent>
                  <w:p w14:paraId="4E3920E7" w14:textId="77777777" w:rsidR="000A5B2A" w:rsidRDefault="002E36D2">
                    <w:pPr>
                      <w:pStyle w:val="Textoindependiente"/>
                      <w:spacing w:before="19"/>
                      <w:ind w:left="60"/>
                      <w:bidi w:val="0"/>
                    </w:pPr>
                    <w:r>
                      <w:rPr>
                        <w:lang w:val="en"/>
                        <w:b w:val="0"/>
                        <w:bCs w:val="0"/>
                        <w:i w:val="0"/>
                        <w:iCs w:val="0"/>
                        <w:u w:val="none"/>
                        <w:vertAlign w:val="baseline"/>
                        <w:rtl w:val="0"/>
                      </w:rPr>
                      <w:fldChar w:fldCharType="begin"/>
                    </w:r>
                    <w:r>
                      <w:rPr>
                        <w:lang w:val="en"/>
                        <w:b w:val="0"/>
                        <w:bCs w:val="0"/>
                        <w:i w:val="0"/>
                        <w:iCs w:val="0"/>
                        <w:u w:val="none"/>
                        <w:vertAlign w:val="baseline"/>
                        <w:rtl w:val="0"/>
                      </w:rPr>
                      <w:instrText xml:space="preserve"> PAGE </w:instrText>
                    </w:r>
                    <w:r>
                      <w:rPr>
                        <w:lang w:val="en"/>
                        <w:b w:val="0"/>
                        <w:bCs w:val="0"/>
                        <w:i w:val="0"/>
                        <w:iCs w:val="0"/>
                        <w:u w:val="none"/>
                        <w:vertAlign w:val="baseline"/>
                        <w:rtl w:val="0"/>
                      </w:rPr>
                      <w:fldChar w:fldCharType="separate"/>
                    </w:r>
                    <w:r>
                      <w:rPr>
                        <w:lang w:val="en"/>
                        <w:b w:val="0"/>
                        <w:bCs w:val="0"/>
                        <w:i w:val="0"/>
                        <w:iCs w:val="0"/>
                        <w:u w:val="none"/>
                        <w:vertAlign w:val="baseline"/>
                        <w:rtl w:val="0"/>
                      </w:rPr>
                      <w:t xml:space="preserve">10</w:t>
                    </w:r>
                    <w:r>
                      <w:rPr>
                        <w:lang w:val="en"/>
                        <w:b w:val="0"/>
                        <w:bCs w:val="0"/>
                        <w:i w:val="0"/>
                        <w:iCs w:val="0"/>
                        <w:u w:val="none"/>
                        <w:vertAlign w:val="baseline"/>
                        <w:rtl w:val="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13D478" w14:textId="77777777" w:rsidR="00E826E3" w:rsidRDefault="00E826E3">
      <w:r>
        <w:separator/>
      </w:r>
    </w:p>
  </w:footnote>
  <w:footnote w:type="continuationSeparator" w:id="0">
    <w:p w14:paraId="3B787465" w14:textId="77777777" w:rsidR="00E826E3" w:rsidRDefault="00E826E3">
      <w:r>
        <w:continuationSeparator/>
      </w:r>
    </w:p>
  </w:footnote>
  <w:footnote w:id="1">
    <w:p w14:paraId="18D194EA" w14:textId="2FE6CB59" w:rsidR="00E218C4" w:rsidRPr="007B5FFD" w:rsidRDefault="00E218C4" w:rsidP="00E540A8">
      <w:pPr>
        <w:pStyle w:val="Textonotapie"/>
        <w:jc w:val="both"/>
        <w:rPr>
          <w:rFonts w:ascii="Verdana" w:hAnsi="Verdana"/>
          <w:sz w:val="16"/>
          <w:szCs w:val="16"/>
        </w:rPr>
      </w:pPr>
      <w:r>
        <w:rPr>
          <w:rStyle w:val="Refdenotaalpie"/>
          <w:rFonts w:ascii="Verdana" w:hAnsi="Verdana"/>
          <w:sz w:val="16"/>
          <w:szCs w:val="16"/>
          <w:lang w:val="en"/>
        </w:rPr>
        <w:t>*</w:t>
      </w:r>
      <w:r>
        <w:rPr>
          <w:rFonts w:ascii="Verdana" w:hAnsi="Verdana"/>
          <w:sz w:val="16"/>
          <w:szCs w:val="16"/>
          <w:lang w:val="en"/>
        </w:rPr>
        <w:tab/>
        <w:t xml:space="preserve">Judge Ricardo C. Pérez Manrique, a Uruguayan national, did not take part in the deliberation or signature of this judgment, in accordance with the provisions of Article 19(2) of the Statute and 19(1) of the Rules of Procedure of the Court. Judge Eduardo </w:t>
      </w:r>
      <w:proofErr w:type="spellStart"/>
      <w:r>
        <w:rPr>
          <w:rFonts w:ascii="Verdana" w:hAnsi="Verdana"/>
          <w:sz w:val="16"/>
          <w:szCs w:val="16"/>
          <w:lang w:val="en"/>
        </w:rPr>
        <w:t>Vio</w:t>
      </w:r>
      <w:proofErr w:type="spellEnd"/>
      <w:r>
        <w:rPr>
          <w:rFonts w:ascii="Verdana" w:hAnsi="Verdana"/>
          <w:sz w:val="16"/>
          <w:szCs w:val="16"/>
          <w:lang w:val="en"/>
        </w:rPr>
        <w:t xml:space="preserve"> Grossi recused himself from participating in this case for reasons of force majeure, pursuant to the provisions of Article 19(2) of the Statute of the Court and Article 21 of its Rules of Procedure, which was accepted by the full Court.</w:t>
      </w:r>
    </w:p>
  </w:footnote>
  <w:footnote w:id="2">
    <w:p w14:paraId="1667C273" w14:textId="07668FB5" w:rsidR="0023286B" w:rsidRDefault="0023286B" w:rsidP="00E540A8">
      <w:pPr>
        <w:pStyle w:val="Textonotapie"/>
        <w:jc w:val="both"/>
        <w:rPr>
          <w:rFonts w:ascii="Verdana" w:hAnsi="Verdana"/>
          <w:sz w:val="16"/>
          <w:szCs w:val="16"/>
        </w:rPr>
      </w:pPr>
      <w:r>
        <w:rPr>
          <w:rStyle w:val="Refdenotaalpie"/>
          <w:rFonts w:ascii="Verdana" w:hAnsi="Verdana"/>
          <w:sz w:val="16"/>
          <w:szCs w:val="16"/>
          <w:lang w:val="en"/>
        </w:rPr>
        <w:footnoteRef/>
      </w:r>
      <w:r>
        <w:rPr>
          <w:rFonts w:ascii="Verdana" w:hAnsi="Verdana"/>
          <w:sz w:val="16"/>
          <w:szCs w:val="16"/>
          <w:lang w:val="en"/>
        </w:rPr>
        <w:t xml:space="preserve"> </w:t>
      </w:r>
      <w:r>
        <w:rPr>
          <w:rFonts w:ascii="Verdana" w:hAnsi="Verdana"/>
          <w:sz w:val="16"/>
          <w:szCs w:val="16"/>
          <w:lang w:val="en"/>
        </w:rPr>
        <w:tab/>
        <w:t xml:space="preserve">The State also noted an editing error in the judgment. The Court corrected the error on its own motion, in accordance with Article 76 of the Rules of Procedure of the Court. The parties and the Commission were notified on February 23, 2022. The notification also clarified that the editing correction pointed out by Uruguay was not part of the judgment interpretation process. </w:t>
      </w:r>
    </w:p>
    <w:p w14:paraId="303C6A6E" w14:textId="77777777" w:rsidR="00E540A8" w:rsidRPr="00E2191F" w:rsidRDefault="00E540A8" w:rsidP="00E540A8">
      <w:pPr>
        <w:pStyle w:val="Textonotapie"/>
        <w:jc w:val="both"/>
        <w:rPr>
          <w:rFonts w:ascii="Verdana" w:hAnsi="Verdana"/>
          <w:sz w:val="16"/>
          <w:szCs w:val="16"/>
        </w:rPr>
      </w:pPr>
    </w:p>
  </w:footnote>
  <w:footnote w:id="3">
    <w:p w14:paraId="7A04E415" w14:textId="5C0AE753" w:rsidR="00AC2C3C" w:rsidRPr="004B1446" w:rsidRDefault="00AC2C3C" w:rsidP="004B1446">
      <w:pPr>
        <w:pStyle w:val="Textonotapie"/>
        <w:jc w:val="both"/>
        <w:rPr>
          <w:rFonts w:ascii="Verdana" w:hAnsi="Verdana"/>
          <w:sz w:val="16"/>
          <w:szCs w:val="16"/>
        </w:rPr>
      </w:pPr>
      <w:r>
        <w:rPr>
          <w:rStyle w:val="Refdenotaalpie"/>
          <w:rFonts w:ascii="Verdana" w:hAnsi="Verdana"/>
          <w:sz w:val="16"/>
          <w:szCs w:val="16"/>
          <w:lang w:val="en"/>
        </w:rPr>
        <w:footnoteRef/>
      </w:r>
      <w:r>
        <w:rPr>
          <w:rFonts w:ascii="Verdana" w:hAnsi="Verdana"/>
          <w:sz w:val="16"/>
          <w:szCs w:val="16"/>
          <w:lang w:val="en"/>
        </w:rPr>
        <w:t xml:space="preserve"> </w:t>
      </w:r>
      <w:r>
        <w:rPr>
          <w:rFonts w:ascii="Verdana" w:hAnsi="Verdana"/>
          <w:sz w:val="16"/>
          <w:szCs w:val="16"/>
          <w:lang w:val="en"/>
        </w:rPr>
        <w:tab/>
        <w:t xml:space="preserve">The victims are represented by the Instituto de </w:t>
      </w:r>
      <w:proofErr w:type="spellStart"/>
      <w:r>
        <w:rPr>
          <w:rFonts w:ascii="Verdana" w:hAnsi="Verdana"/>
          <w:sz w:val="16"/>
          <w:szCs w:val="16"/>
          <w:lang w:val="en"/>
        </w:rPr>
        <w:t>Estudios</w:t>
      </w:r>
      <w:proofErr w:type="spellEnd"/>
      <w:r>
        <w:rPr>
          <w:rFonts w:ascii="Verdana" w:hAnsi="Verdana"/>
          <w:sz w:val="16"/>
          <w:szCs w:val="16"/>
          <w:lang w:val="en"/>
        </w:rPr>
        <w:t xml:space="preserve"> </w:t>
      </w:r>
      <w:proofErr w:type="spellStart"/>
      <w:r>
        <w:rPr>
          <w:rFonts w:ascii="Verdana" w:hAnsi="Verdana"/>
          <w:sz w:val="16"/>
          <w:szCs w:val="16"/>
          <w:lang w:val="en"/>
        </w:rPr>
        <w:t>Legales</w:t>
      </w:r>
      <w:proofErr w:type="spellEnd"/>
      <w:r>
        <w:rPr>
          <w:rFonts w:ascii="Verdana" w:hAnsi="Verdana"/>
          <w:sz w:val="16"/>
          <w:szCs w:val="16"/>
          <w:lang w:val="en"/>
        </w:rPr>
        <w:t xml:space="preserve"> y </w:t>
      </w:r>
      <w:proofErr w:type="spellStart"/>
      <w:r>
        <w:rPr>
          <w:rFonts w:ascii="Verdana" w:hAnsi="Verdana"/>
          <w:sz w:val="16"/>
          <w:szCs w:val="16"/>
          <w:lang w:val="en"/>
        </w:rPr>
        <w:t>Sociales</w:t>
      </w:r>
      <w:proofErr w:type="spellEnd"/>
      <w:r>
        <w:rPr>
          <w:rFonts w:ascii="Verdana" w:hAnsi="Verdana"/>
          <w:sz w:val="16"/>
          <w:szCs w:val="16"/>
          <w:lang w:val="en"/>
        </w:rPr>
        <w:t xml:space="preserve"> de Uruguay (IELSUR).</w:t>
      </w:r>
    </w:p>
  </w:footnote>
  <w:footnote w:id="4">
    <w:p w14:paraId="6CCFEBC9" w14:textId="5B200B03" w:rsidR="004F67DD" w:rsidRPr="00647F78" w:rsidRDefault="004F67DD" w:rsidP="00E540A8">
      <w:pPr>
        <w:spacing w:before="100"/>
        <w:ind w:left="102" w:right="115"/>
        <w:jc w:val="both"/>
        <w:rPr>
          <w:sz w:val="16"/>
          <w:szCs w:val="16"/>
          <w:lang w:val="en-US"/>
        </w:rPr>
      </w:pPr>
      <w:r>
        <w:rPr>
          <w:rStyle w:val="Refdenotaalpie"/>
          <w:sz w:val="16"/>
          <w:szCs w:val="16"/>
          <w:lang w:val="en"/>
        </w:rPr>
        <w:footnoteRef/>
      </w:r>
      <w:r>
        <w:rPr>
          <w:sz w:val="16"/>
          <w:szCs w:val="16"/>
          <w:lang w:val="en"/>
        </w:rPr>
        <w:t xml:space="preserve"> </w:t>
      </w:r>
      <w:r>
        <w:rPr>
          <w:sz w:val="16"/>
          <w:szCs w:val="16"/>
          <w:lang w:val="en"/>
        </w:rPr>
        <w:tab/>
      </w:r>
      <w:r>
        <w:rPr>
          <w:i/>
          <w:iCs/>
          <w:sz w:val="16"/>
          <w:szCs w:val="16"/>
          <w:lang w:val="en"/>
        </w:rPr>
        <w:t xml:space="preserve">Cf. Case of Loayza Tamayo v. Peru. Interpretation of Judgment on Merits. </w:t>
      </w:r>
      <w:r>
        <w:rPr>
          <w:sz w:val="16"/>
          <w:szCs w:val="16"/>
          <w:lang w:val="en"/>
        </w:rPr>
        <w:t xml:space="preserve">Order of the Court of March 8, 1998. Series C No. 47, para. 16, and </w:t>
      </w:r>
      <w:r>
        <w:rPr>
          <w:i/>
          <w:iCs/>
          <w:sz w:val="16"/>
          <w:szCs w:val="16"/>
          <w:shd w:val="clear" w:color="auto" w:fill="FFFFFF"/>
          <w:lang w:val="en"/>
        </w:rPr>
        <w:t>Case of Manuela et al. v. El Salvador. Interpretation of Judgment of Preliminary Objections, Merits, Reparations, and Costs.</w:t>
      </w:r>
      <w:r>
        <w:rPr>
          <w:sz w:val="16"/>
          <w:szCs w:val="16"/>
          <w:shd w:val="clear" w:color="auto" w:fill="FFFFFF"/>
          <w:lang w:val="en"/>
        </w:rPr>
        <w:t xml:space="preserve"> Judgment of July 27, 2022. Series C No. 461, para. 10.</w:t>
      </w:r>
    </w:p>
    <w:p w14:paraId="0B3A0019" w14:textId="7F956365" w:rsidR="004F67DD" w:rsidRPr="007F5340" w:rsidRDefault="004F67DD" w:rsidP="00E540A8">
      <w:pPr>
        <w:pStyle w:val="Textonotapie"/>
        <w:jc w:val="both"/>
        <w:rPr>
          <w:rFonts w:ascii="Verdana" w:hAnsi="Verdana"/>
          <w:sz w:val="16"/>
          <w:szCs w:val="16"/>
        </w:rPr>
      </w:pPr>
    </w:p>
  </w:footnote>
  <w:footnote w:id="5">
    <w:p w14:paraId="7EFFBB92" w14:textId="449504EA" w:rsidR="004F67DD" w:rsidRPr="00647F78" w:rsidRDefault="004F67DD" w:rsidP="007F5340">
      <w:pPr>
        <w:spacing w:before="100"/>
        <w:ind w:left="102" w:right="115"/>
        <w:jc w:val="both"/>
        <w:rPr>
          <w:sz w:val="16"/>
          <w:szCs w:val="16"/>
          <w:lang w:val="en-US"/>
        </w:rPr>
      </w:pPr>
      <w:r>
        <w:rPr>
          <w:rStyle w:val="Refdenotaalpie"/>
          <w:sz w:val="16"/>
          <w:szCs w:val="16"/>
          <w:lang w:val="en"/>
        </w:rPr>
        <w:footnoteRef/>
      </w:r>
      <w:r>
        <w:rPr>
          <w:sz w:val="16"/>
          <w:szCs w:val="16"/>
          <w:lang w:val="en"/>
        </w:rPr>
        <w:t xml:space="preserve"> </w:t>
      </w:r>
      <w:r>
        <w:rPr>
          <w:sz w:val="16"/>
          <w:szCs w:val="16"/>
          <w:lang w:val="en"/>
        </w:rPr>
        <w:tab/>
      </w:r>
      <w:r>
        <w:rPr>
          <w:i/>
          <w:iCs/>
          <w:sz w:val="16"/>
          <w:szCs w:val="16"/>
          <w:lang w:val="en"/>
        </w:rPr>
        <w:t xml:space="preserve">Cf. Case of Loayza Tamayo v. Peru. Interpretation of Judgment on Reparations and Costs. </w:t>
      </w:r>
      <w:r>
        <w:rPr>
          <w:sz w:val="16"/>
          <w:szCs w:val="16"/>
          <w:lang w:val="en"/>
        </w:rPr>
        <w:t xml:space="preserve">Judgment of June 3, 1999. Series C No. 53, para. 15, and </w:t>
      </w:r>
      <w:r>
        <w:rPr>
          <w:i/>
          <w:iCs/>
          <w:sz w:val="16"/>
          <w:szCs w:val="16"/>
          <w:shd w:val="clear" w:color="auto" w:fill="FFFFFF"/>
          <w:lang w:val="en"/>
        </w:rPr>
        <w:t>Case of Manuela et al. v. El Salvador. Interpretation of Judgment of Preliminary Objections, Merits, Reparations, and Costs.</w:t>
      </w:r>
      <w:r>
        <w:rPr>
          <w:sz w:val="16"/>
          <w:szCs w:val="16"/>
          <w:shd w:val="clear" w:color="auto" w:fill="FFFFFF"/>
          <w:lang w:val="en"/>
        </w:rPr>
        <w:t xml:space="preserve"> Judgment of July 27, 2022. Series C No. 461, para. 11.</w:t>
      </w:r>
    </w:p>
    <w:p w14:paraId="3E19303A" w14:textId="33CBDEC7" w:rsidR="004F67DD" w:rsidRPr="007F5340" w:rsidRDefault="004F67DD" w:rsidP="00E540A8">
      <w:pPr>
        <w:pStyle w:val="Textonotapie"/>
        <w:jc w:val="both"/>
        <w:rPr>
          <w:rFonts w:ascii="Verdana" w:hAnsi="Verdana"/>
          <w:sz w:val="16"/>
          <w:szCs w:val="16"/>
        </w:rPr>
      </w:pPr>
    </w:p>
  </w:footnote>
  <w:footnote w:id="6">
    <w:p w14:paraId="706860B6" w14:textId="0B17C2D6" w:rsidR="004F67DD" w:rsidRPr="00647F78" w:rsidRDefault="004F67DD" w:rsidP="007F5340">
      <w:pPr>
        <w:spacing w:before="100"/>
        <w:ind w:left="102" w:right="115"/>
        <w:jc w:val="both"/>
        <w:rPr>
          <w:sz w:val="16"/>
          <w:szCs w:val="16"/>
          <w:lang w:val="en-US"/>
        </w:rPr>
      </w:pPr>
      <w:r>
        <w:rPr>
          <w:rStyle w:val="Refdenotaalpie"/>
          <w:sz w:val="16"/>
          <w:szCs w:val="16"/>
          <w:lang w:val="en"/>
        </w:rPr>
        <w:footnoteRef/>
      </w:r>
      <w:r>
        <w:rPr>
          <w:sz w:val="16"/>
          <w:szCs w:val="16"/>
          <w:lang w:val="en"/>
        </w:rPr>
        <w:t xml:space="preserve"> </w:t>
      </w:r>
      <w:r>
        <w:rPr>
          <w:sz w:val="16"/>
          <w:szCs w:val="16"/>
          <w:lang w:val="en"/>
        </w:rPr>
        <w:tab/>
      </w:r>
      <w:r>
        <w:rPr>
          <w:i/>
          <w:iCs/>
          <w:sz w:val="16"/>
          <w:szCs w:val="16"/>
          <w:lang w:val="en"/>
        </w:rPr>
        <w:t xml:space="preserve">Cf. Case of Salvador Chiriboga v. Ecuador. Interpretation of Judgment on Reparations and Costs. </w:t>
      </w:r>
      <w:r>
        <w:rPr>
          <w:sz w:val="16"/>
          <w:szCs w:val="16"/>
          <w:lang w:val="en"/>
        </w:rPr>
        <w:t xml:space="preserve">Judgment of August 29, 2011. Series C No. 230, para. 30, and </w:t>
      </w:r>
      <w:r>
        <w:rPr>
          <w:i/>
          <w:iCs/>
          <w:sz w:val="16"/>
          <w:szCs w:val="16"/>
          <w:shd w:val="clear" w:color="auto" w:fill="FFFFFF"/>
          <w:lang w:val="en"/>
        </w:rPr>
        <w:t>Case of Manuela et al. v. El Salvador. Interpretation of Judgment of Preliminary Objections, Merits, Reparations, and Costs.</w:t>
      </w:r>
      <w:r>
        <w:rPr>
          <w:sz w:val="16"/>
          <w:szCs w:val="16"/>
          <w:shd w:val="clear" w:color="auto" w:fill="FFFFFF"/>
          <w:lang w:val="en"/>
        </w:rPr>
        <w:t xml:space="preserve"> Judgment of July 27, 2022. Series C No. 461, para. 11.</w:t>
      </w:r>
    </w:p>
    <w:p w14:paraId="728EC098" w14:textId="6F5318AE" w:rsidR="004F67DD" w:rsidRPr="007F5340" w:rsidRDefault="004F67DD" w:rsidP="00E540A8">
      <w:pPr>
        <w:pStyle w:val="Textonotapie"/>
        <w:jc w:val="both"/>
        <w:rPr>
          <w:rFonts w:ascii="Verdana" w:hAnsi="Verdana"/>
          <w:sz w:val="16"/>
          <w:szCs w:val="16"/>
        </w:rPr>
      </w:pPr>
    </w:p>
  </w:footnote>
  <w:footnote w:id="7">
    <w:p w14:paraId="681E7E4D" w14:textId="0B82F276" w:rsidR="004F67DD" w:rsidRPr="00647F78" w:rsidRDefault="004F67DD" w:rsidP="007F5340">
      <w:pPr>
        <w:spacing w:before="100"/>
        <w:ind w:left="102" w:right="115"/>
        <w:jc w:val="both"/>
        <w:rPr>
          <w:sz w:val="16"/>
          <w:szCs w:val="16"/>
          <w:lang w:val="en-US"/>
        </w:rPr>
      </w:pPr>
      <w:r>
        <w:rPr>
          <w:rStyle w:val="Refdenotaalpie"/>
          <w:sz w:val="16"/>
          <w:szCs w:val="16"/>
          <w:lang w:val="en"/>
        </w:rPr>
        <w:footnoteRef/>
      </w:r>
      <w:r>
        <w:rPr>
          <w:sz w:val="16"/>
          <w:szCs w:val="16"/>
          <w:lang w:val="en"/>
        </w:rPr>
        <w:t xml:space="preserve"> </w:t>
      </w:r>
      <w:r>
        <w:rPr>
          <w:sz w:val="16"/>
          <w:szCs w:val="16"/>
          <w:lang w:val="en"/>
        </w:rPr>
        <w:tab/>
      </w:r>
      <w:r>
        <w:rPr>
          <w:i/>
          <w:iCs/>
          <w:sz w:val="16"/>
          <w:szCs w:val="16"/>
          <w:lang w:val="en"/>
        </w:rPr>
        <w:t>Cf. Case of Escher et al. v. Brazil. Interpretation of Judgment of Preliminary Objections, Merits, Reparations, and Costs.</w:t>
      </w:r>
      <w:r>
        <w:rPr>
          <w:sz w:val="16"/>
          <w:szCs w:val="16"/>
          <w:lang w:val="en"/>
        </w:rPr>
        <w:t xml:space="preserve"> Judgment of November 20, 2009. Series C No. 208, para. 11, and </w:t>
      </w:r>
      <w:r>
        <w:rPr>
          <w:i/>
          <w:iCs/>
          <w:sz w:val="16"/>
          <w:szCs w:val="16"/>
          <w:shd w:val="clear" w:color="auto" w:fill="FFFFFF"/>
          <w:lang w:val="en"/>
        </w:rPr>
        <w:t>Case of Manuela et al. v. El Salvador. Interpretation of Judgment of Preliminary Objections, Merits, Reparations, and Costs.</w:t>
      </w:r>
      <w:r>
        <w:rPr>
          <w:sz w:val="16"/>
          <w:szCs w:val="16"/>
          <w:shd w:val="clear" w:color="auto" w:fill="FFFFFF"/>
          <w:lang w:val="en"/>
        </w:rPr>
        <w:t xml:space="preserve"> Judgment of July 27, 2022. Series C No. 461, para. 11.</w:t>
      </w:r>
    </w:p>
    <w:p w14:paraId="614EB732" w14:textId="77777777" w:rsidR="00E540A8" w:rsidRPr="004F67DD" w:rsidRDefault="00E540A8" w:rsidP="00E540A8">
      <w:pPr>
        <w:pStyle w:val="Textonotapie"/>
        <w:jc w:val="both"/>
      </w:pPr>
    </w:p>
  </w:footnote>
  <w:footnote w:id="8">
    <w:p w14:paraId="5FA22606" w14:textId="07FE6A46" w:rsidR="0005656F" w:rsidRDefault="0005656F" w:rsidP="00E540A8">
      <w:pPr>
        <w:pStyle w:val="Textonotapie"/>
        <w:jc w:val="both"/>
        <w:rPr>
          <w:rFonts w:ascii="Verdana" w:hAnsi="Verdana"/>
          <w:sz w:val="16"/>
          <w:szCs w:val="16"/>
        </w:rPr>
      </w:pPr>
      <w:r>
        <w:rPr>
          <w:rStyle w:val="Refdenotaalpie"/>
          <w:rFonts w:ascii="Verdana" w:hAnsi="Verdana"/>
          <w:sz w:val="16"/>
          <w:szCs w:val="16"/>
          <w:lang w:val="en"/>
        </w:rPr>
        <w:footnoteRef/>
      </w:r>
      <w:r>
        <w:rPr>
          <w:rFonts w:ascii="Verdana" w:hAnsi="Verdana"/>
          <w:sz w:val="16"/>
          <w:szCs w:val="16"/>
          <w:lang w:val="en"/>
        </w:rPr>
        <w:t xml:space="preserve"> </w:t>
      </w:r>
      <w:r>
        <w:rPr>
          <w:rFonts w:ascii="Verdana" w:hAnsi="Verdana"/>
          <w:sz w:val="16"/>
          <w:szCs w:val="16"/>
          <w:lang w:val="en"/>
        </w:rPr>
        <w:tab/>
        <w:t>This is established in operative paragraphs 3, 4, and 13 of the judgment, as well as paragraphs 150, 182, 190, 195 and 277 thereof.</w:t>
      </w:r>
    </w:p>
    <w:p w14:paraId="463FB90D" w14:textId="77777777" w:rsidR="00E540A8" w:rsidRPr="00E2191F" w:rsidRDefault="00E540A8" w:rsidP="00E540A8">
      <w:pPr>
        <w:pStyle w:val="Textonotapie"/>
        <w:jc w:val="both"/>
        <w:rPr>
          <w:rFonts w:ascii="Verdana" w:hAnsi="Verdana"/>
          <w:sz w:val="16"/>
          <w:szCs w:val="16"/>
        </w:rPr>
      </w:pPr>
    </w:p>
  </w:footnote>
  <w:footnote w:id="9">
    <w:p w14:paraId="4E3D63AD" w14:textId="31E65F87" w:rsidR="00C20E3B" w:rsidRDefault="00C20E3B" w:rsidP="00E540A8">
      <w:pPr>
        <w:pStyle w:val="Textonotapie"/>
        <w:jc w:val="both"/>
        <w:rPr>
          <w:rFonts w:ascii="Verdana" w:hAnsi="Verdana"/>
          <w:sz w:val="16"/>
          <w:szCs w:val="16"/>
        </w:rPr>
      </w:pPr>
      <w:r>
        <w:rPr>
          <w:rStyle w:val="Refdenotaalpie"/>
          <w:rFonts w:ascii="Verdana" w:hAnsi="Verdana"/>
          <w:sz w:val="16"/>
          <w:szCs w:val="16"/>
          <w:lang w:val="en"/>
        </w:rPr>
        <w:footnoteRef/>
      </w:r>
      <w:r>
        <w:rPr>
          <w:rFonts w:ascii="Verdana" w:hAnsi="Verdana"/>
          <w:sz w:val="16"/>
          <w:szCs w:val="16"/>
          <w:lang w:val="en"/>
        </w:rPr>
        <w:t xml:space="preserve"> </w:t>
      </w:r>
      <w:r>
        <w:rPr>
          <w:rFonts w:ascii="Verdana" w:hAnsi="Verdana"/>
          <w:sz w:val="16"/>
          <w:szCs w:val="16"/>
          <w:lang w:val="en"/>
        </w:rPr>
        <w:tab/>
        <w:t>Thus, in footnote 41 of the judgment, which corresponds to paragraph 51, in chapter VI entitled “Facts," in the section headed “Regarding the alleged victims", it is stated: "The representative pointed out that Washington Javier Barrios Fernández is disappeared. The facts surrounding his disappearance were not submitted to the Court.”</w:t>
      </w:r>
    </w:p>
    <w:p w14:paraId="6C64D621" w14:textId="77777777" w:rsidR="00E540A8" w:rsidRPr="00C20E3B" w:rsidRDefault="00E540A8" w:rsidP="00E2191F">
      <w:pPr>
        <w:pStyle w:val="Textonotapie"/>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6F29F" w14:textId="36CEA4B0" w:rsidR="006273D7" w:rsidRDefault="00000000">
    <w:pPr>
      <w:pStyle w:val="Encabezado"/>
    </w:pPr>
    <w:r>
      <w:rPr>
        <w:noProof/>
        <w:lang w:val="en"/>
      </w:rPr>
      <w:pict w14:anchorId="2E9575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281782" o:spid="_x0000_s1026" type="#_x0000_t136" style="position:absolute;margin-left:0;margin-top:0;width:540.4pt;height:98.25pt;rotation:315;z-index:-251654656;mso-position-horizontal:center;mso-position-horizontal-relative:margin;mso-position-vertical:center;mso-position-vertical-relative:margin" o:allowincell="f" fillcolor="silver" stroked="f">
          <v:fill opacity=".5"/>
          <v:textpath style="font-family:&quot;Verdana&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253190" w14:textId="77777777" w:rsidR="006273D7" w:rsidRDefault="006273D7">
    <w:pPr>
      <w:pStyle w:val="Encabezado"/>
    </w:pPr>
  </w:p>
  <w:p w14:paraId="51326FBF" w14:textId="2183C968" w:rsidR="006273D7" w:rsidRDefault="006273D7" w:rsidP="006273D7">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4AD2AD" w14:textId="5E753D98" w:rsidR="006273D7" w:rsidRDefault="00000000">
    <w:pPr>
      <w:pStyle w:val="Encabezado"/>
    </w:pPr>
    <w:r>
      <w:rPr>
        <w:noProof/>
        <w:lang w:val="en"/>
      </w:rPr>
      <w:pict w14:anchorId="280EE5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281781" o:spid="_x0000_s1025" type="#_x0000_t136" style="position:absolute;margin-left:0;margin-top:0;width:540.4pt;height:98.25pt;rotation:315;z-index:-251656704;mso-position-horizontal:center;mso-position-horizontal-relative:margin;mso-position-vertical:center;mso-position-vertical-relative:margin" o:allowincell="f" fillcolor="silver" stroked="f">
          <v:fill opacity=".5"/>
          <v:textpath style="font-family:&quot;Verdana&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23BA1"/>
    <w:multiLevelType w:val="multilevel"/>
    <w:tmpl w:val="9BE65888"/>
    <w:lvl w:ilvl="0">
      <w:start w:val="2"/>
      <w:numFmt w:val="upperLetter"/>
      <w:lvlText w:val="%1."/>
      <w:lvlJc w:val="left"/>
      <w:pPr>
        <w:ind w:left="668" w:hanging="315"/>
        <w:jc w:val="left"/>
      </w:pPr>
      <w:rPr>
        <w:rFonts w:ascii="Verdana" w:eastAsia="Verdana" w:hAnsi="Verdana" w:cs="Verdana" w:hint="default"/>
        <w:b/>
        <w:bCs/>
        <w:i/>
        <w:iCs/>
        <w:w w:val="99"/>
        <w:sz w:val="20"/>
        <w:szCs w:val="20"/>
        <w:lang w:val="es-CR" w:eastAsia="en-US" w:bidi="ar-SA"/>
      </w:rPr>
    </w:lvl>
    <w:lvl w:ilvl="1">
      <w:start w:val="1"/>
      <w:numFmt w:val="decimal"/>
      <w:lvlText w:val="%1.%2."/>
      <w:lvlJc w:val="left"/>
      <w:pPr>
        <w:ind w:left="1460" w:hanging="507"/>
        <w:jc w:val="left"/>
      </w:pPr>
      <w:rPr>
        <w:rFonts w:ascii="Verdana" w:eastAsia="Verdana" w:hAnsi="Verdana" w:cs="Verdana" w:hint="default"/>
        <w:b/>
        <w:bCs/>
        <w:i/>
        <w:iCs/>
        <w:w w:val="99"/>
        <w:sz w:val="20"/>
        <w:szCs w:val="20"/>
        <w:lang w:val="es-CR" w:eastAsia="en-US" w:bidi="ar-SA"/>
      </w:rPr>
    </w:lvl>
    <w:lvl w:ilvl="2">
      <w:numFmt w:val="bullet"/>
      <w:lvlText w:val="•"/>
      <w:lvlJc w:val="left"/>
      <w:pPr>
        <w:ind w:left="1460" w:hanging="507"/>
      </w:pPr>
      <w:rPr>
        <w:rFonts w:hint="default"/>
        <w:lang w:val="es-CR" w:eastAsia="en-US" w:bidi="ar-SA"/>
      </w:rPr>
    </w:lvl>
    <w:lvl w:ilvl="3">
      <w:numFmt w:val="bullet"/>
      <w:lvlText w:val="•"/>
      <w:lvlJc w:val="left"/>
      <w:pPr>
        <w:ind w:left="1480" w:hanging="507"/>
      </w:pPr>
      <w:rPr>
        <w:rFonts w:hint="default"/>
        <w:lang w:val="es-CR" w:eastAsia="en-US" w:bidi="ar-SA"/>
      </w:rPr>
    </w:lvl>
    <w:lvl w:ilvl="4">
      <w:numFmt w:val="bullet"/>
      <w:lvlText w:val="•"/>
      <w:lvlJc w:val="left"/>
      <w:pPr>
        <w:ind w:left="2562" w:hanging="507"/>
      </w:pPr>
      <w:rPr>
        <w:rFonts w:hint="default"/>
        <w:lang w:val="es-CR" w:eastAsia="en-US" w:bidi="ar-SA"/>
      </w:rPr>
    </w:lvl>
    <w:lvl w:ilvl="5">
      <w:numFmt w:val="bullet"/>
      <w:lvlText w:val="•"/>
      <w:lvlJc w:val="left"/>
      <w:pPr>
        <w:ind w:left="3645" w:hanging="507"/>
      </w:pPr>
      <w:rPr>
        <w:rFonts w:hint="default"/>
        <w:lang w:val="es-CR" w:eastAsia="en-US" w:bidi="ar-SA"/>
      </w:rPr>
    </w:lvl>
    <w:lvl w:ilvl="6">
      <w:numFmt w:val="bullet"/>
      <w:lvlText w:val="•"/>
      <w:lvlJc w:val="left"/>
      <w:pPr>
        <w:ind w:left="4728" w:hanging="507"/>
      </w:pPr>
      <w:rPr>
        <w:rFonts w:hint="default"/>
        <w:lang w:val="es-CR" w:eastAsia="en-US" w:bidi="ar-SA"/>
      </w:rPr>
    </w:lvl>
    <w:lvl w:ilvl="7">
      <w:numFmt w:val="bullet"/>
      <w:lvlText w:val="•"/>
      <w:lvlJc w:val="left"/>
      <w:pPr>
        <w:ind w:left="5811" w:hanging="507"/>
      </w:pPr>
      <w:rPr>
        <w:rFonts w:hint="default"/>
        <w:lang w:val="es-CR" w:eastAsia="en-US" w:bidi="ar-SA"/>
      </w:rPr>
    </w:lvl>
    <w:lvl w:ilvl="8">
      <w:numFmt w:val="bullet"/>
      <w:lvlText w:val="•"/>
      <w:lvlJc w:val="left"/>
      <w:pPr>
        <w:ind w:left="6894" w:hanging="507"/>
      </w:pPr>
      <w:rPr>
        <w:rFonts w:hint="default"/>
        <w:lang w:val="es-CR" w:eastAsia="en-US" w:bidi="ar-SA"/>
      </w:rPr>
    </w:lvl>
  </w:abstractNum>
  <w:abstractNum w:abstractNumId="1" w15:restartNumberingAfterBreak="0">
    <w:nsid w:val="239B17E7"/>
    <w:multiLevelType w:val="multilevel"/>
    <w:tmpl w:val="6B46BB54"/>
    <w:lvl w:ilvl="0">
      <w:start w:val="1"/>
      <w:numFmt w:val="decimal"/>
      <w:lvlText w:val="%1."/>
      <w:lvlJc w:val="left"/>
      <w:pPr>
        <w:ind w:left="102" w:hanging="567"/>
        <w:jc w:val="left"/>
      </w:pPr>
      <w:rPr>
        <w:rFonts w:ascii="Verdana" w:eastAsia="Verdana" w:hAnsi="Verdana" w:cs="Verdana" w:hint="default"/>
        <w:b w:val="0"/>
        <w:bCs w:val="0"/>
        <w:i w:val="0"/>
        <w:iCs w:val="0"/>
        <w:w w:val="99"/>
        <w:sz w:val="20"/>
        <w:szCs w:val="20"/>
        <w:lang w:val="es-CR" w:eastAsia="en-US" w:bidi="ar-SA"/>
      </w:rPr>
    </w:lvl>
    <w:lvl w:ilvl="1">
      <w:start w:val="1"/>
      <w:numFmt w:val="upperLetter"/>
      <w:lvlText w:val="%2."/>
      <w:lvlJc w:val="left"/>
      <w:pPr>
        <w:ind w:left="668" w:hanging="288"/>
        <w:jc w:val="left"/>
      </w:pPr>
      <w:rPr>
        <w:rFonts w:ascii="Verdana" w:eastAsia="Verdana" w:hAnsi="Verdana" w:cs="Verdana" w:hint="default"/>
        <w:b/>
        <w:bCs/>
        <w:i/>
        <w:iCs/>
        <w:spacing w:val="-2"/>
        <w:w w:val="99"/>
        <w:sz w:val="20"/>
        <w:szCs w:val="20"/>
        <w:lang w:val="es-CR" w:eastAsia="en-US" w:bidi="ar-SA"/>
      </w:rPr>
    </w:lvl>
    <w:lvl w:ilvl="2">
      <w:start w:val="1"/>
      <w:numFmt w:val="decimal"/>
      <w:lvlText w:val="%2.%3."/>
      <w:lvlJc w:val="left"/>
      <w:pPr>
        <w:ind w:left="1462" w:hanging="509"/>
        <w:jc w:val="left"/>
      </w:pPr>
      <w:rPr>
        <w:rFonts w:ascii="Verdana" w:eastAsia="Verdana" w:hAnsi="Verdana" w:cs="Verdana" w:hint="default"/>
        <w:b/>
        <w:bCs/>
        <w:i/>
        <w:iCs/>
        <w:spacing w:val="-2"/>
        <w:w w:val="99"/>
        <w:sz w:val="20"/>
        <w:szCs w:val="20"/>
        <w:lang w:val="es-CR" w:eastAsia="en-US" w:bidi="ar-SA"/>
      </w:rPr>
    </w:lvl>
    <w:lvl w:ilvl="3">
      <w:numFmt w:val="bullet"/>
      <w:lvlText w:val="•"/>
      <w:lvlJc w:val="left"/>
      <w:pPr>
        <w:ind w:left="2410" w:hanging="509"/>
      </w:pPr>
      <w:rPr>
        <w:rFonts w:hint="default"/>
        <w:lang w:val="es-CR" w:eastAsia="en-US" w:bidi="ar-SA"/>
      </w:rPr>
    </w:lvl>
    <w:lvl w:ilvl="4">
      <w:numFmt w:val="bullet"/>
      <w:lvlText w:val="•"/>
      <w:lvlJc w:val="left"/>
      <w:pPr>
        <w:ind w:left="3360" w:hanging="509"/>
      </w:pPr>
      <w:rPr>
        <w:rFonts w:hint="default"/>
        <w:lang w:val="es-CR" w:eastAsia="en-US" w:bidi="ar-SA"/>
      </w:rPr>
    </w:lvl>
    <w:lvl w:ilvl="5">
      <w:numFmt w:val="bullet"/>
      <w:lvlText w:val="•"/>
      <w:lvlJc w:val="left"/>
      <w:pPr>
        <w:ind w:left="4310" w:hanging="509"/>
      </w:pPr>
      <w:rPr>
        <w:rFonts w:hint="default"/>
        <w:lang w:val="es-CR" w:eastAsia="en-US" w:bidi="ar-SA"/>
      </w:rPr>
    </w:lvl>
    <w:lvl w:ilvl="6">
      <w:numFmt w:val="bullet"/>
      <w:lvlText w:val="•"/>
      <w:lvlJc w:val="left"/>
      <w:pPr>
        <w:ind w:left="5260" w:hanging="509"/>
      </w:pPr>
      <w:rPr>
        <w:rFonts w:hint="default"/>
        <w:lang w:val="es-CR" w:eastAsia="en-US" w:bidi="ar-SA"/>
      </w:rPr>
    </w:lvl>
    <w:lvl w:ilvl="7">
      <w:numFmt w:val="bullet"/>
      <w:lvlText w:val="•"/>
      <w:lvlJc w:val="left"/>
      <w:pPr>
        <w:ind w:left="6210" w:hanging="509"/>
      </w:pPr>
      <w:rPr>
        <w:rFonts w:hint="default"/>
        <w:lang w:val="es-CR" w:eastAsia="en-US" w:bidi="ar-SA"/>
      </w:rPr>
    </w:lvl>
    <w:lvl w:ilvl="8">
      <w:numFmt w:val="bullet"/>
      <w:lvlText w:val="•"/>
      <w:lvlJc w:val="left"/>
      <w:pPr>
        <w:ind w:left="7160" w:hanging="509"/>
      </w:pPr>
      <w:rPr>
        <w:rFonts w:hint="default"/>
        <w:lang w:val="es-CR" w:eastAsia="en-US" w:bidi="ar-SA"/>
      </w:rPr>
    </w:lvl>
  </w:abstractNum>
  <w:abstractNum w:abstractNumId="2" w15:restartNumberingAfterBreak="0">
    <w:nsid w:val="251A7F5B"/>
    <w:multiLevelType w:val="hybridMultilevel"/>
    <w:tmpl w:val="11A2F646"/>
    <w:lvl w:ilvl="0" w:tplc="9A04FE7C">
      <w:start w:val="1"/>
      <w:numFmt w:val="decimal"/>
      <w:lvlText w:val="%1."/>
      <w:lvlJc w:val="left"/>
      <w:pPr>
        <w:ind w:left="102" w:hanging="567"/>
        <w:jc w:val="left"/>
      </w:pPr>
      <w:rPr>
        <w:rFonts w:ascii="Verdana" w:eastAsia="Verdana" w:hAnsi="Verdana" w:cs="Verdana" w:hint="default"/>
        <w:b w:val="0"/>
        <w:bCs w:val="0"/>
        <w:i w:val="0"/>
        <w:iCs w:val="0"/>
        <w:w w:val="99"/>
        <w:sz w:val="20"/>
        <w:szCs w:val="20"/>
        <w:lang w:val="es-CR" w:eastAsia="en-US" w:bidi="ar-SA"/>
      </w:rPr>
    </w:lvl>
    <w:lvl w:ilvl="1" w:tplc="6F7AF432">
      <w:numFmt w:val="bullet"/>
      <w:lvlText w:val="•"/>
      <w:lvlJc w:val="left"/>
      <w:pPr>
        <w:ind w:left="996" w:hanging="567"/>
      </w:pPr>
      <w:rPr>
        <w:rFonts w:hint="default"/>
        <w:lang w:val="es-CR" w:eastAsia="en-US" w:bidi="ar-SA"/>
      </w:rPr>
    </w:lvl>
    <w:lvl w:ilvl="2" w:tplc="E17AB7C6">
      <w:numFmt w:val="bullet"/>
      <w:lvlText w:val="•"/>
      <w:lvlJc w:val="left"/>
      <w:pPr>
        <w:ind w:left="1892" w:hanging="567"/>
      </w:pPr>
      <w:rPr>
        <w:rFonts w:hint="default"/>
        <w:lang w:val="es-CR" w:eastAsia="en-US" w:bidi="ar-SA"/>
      </w:rPr>
    </w:lvl>
    <w:lvl w:ilvl="3" w:tplc="BFA017C4">
      <w:numFmt w:val="bullet"/>
      <w:lvlText w:val="•"/>
      <w:lvlJc w:val="left"/>
      <w:pPr>
        <w:ind w:left="2788" w:hanging="567"/>
      </w:pPr>
      <w:rPr>
        <w:rFonts w:hint="default"/>
        <w:lang w:val="es-CR" w:eastAsia="en-US" w:bidi="ar-SA"/>
      </w:rPr>
    </w:lvl>
    <w:lvl w:ilvl="4" w:tplc="426C7C7C">
      <w:numFmt w:val="bullet"/>
      <w:lvlText w:val="•"/>
      <w:lvlJc w:val="left"/>
      <w:pPr>
        <w:ind w:left="3684" w:hanging="567"/>
      </w:pPr>
      <w:rPr>
        <w:rFonts w:hint="default"/>
        <w:lang w:val="es-CR" w:eastAsia="en-US" w:bidi="ar-SA"/>
      </w:rPr>
    </w:lvl>
    <w:lvl w:ilvl="5" w:tplc="389AD09C">
      <w:numFmt w:val="bullet"/>
      <w:lvlText w:val="•"/>
      <w:lvlJc w:val="left"/>
      <w:pPr>
        <w:ind w:left="4580" w:hanging="567"/>
      </w:pPr>
      <w:rPr>
        <w:rFonts w:hint="default"/>
        <w:lang w:val="es-CR" w:eastAsia="en-US" w:bidi="ar-SA"/>
      </w:rPr>
    </w:lvl>
    <w:lvl w:ilvl="6" w:tplc="99D4C728">
      <w:numFmt w:val="bullet"/>
      <w:lvlText w:val="•"/>
      <w:lvlJc w:val="left"/>
      <w:pPr>
        <w:ind w:left="5476" w:hanging="567"/>
      </w:pPr>
      <w:rPr>
        <w:rFonts w:hint="default"/>
        <w:lang w:val="es-CR" w:eastAsia="en-US" w:bidi="ar-SA"/>
      </w:rPr>
    </w:lvl>
    <w:lvl w:ilvl="7" w:tplc="EA647D40">
      <w:numFmt w:val="bullet"/>
      <w:lvlText w:val="•"/>
      <w:lvlJc w:val="left"/>
      <w:pPr>
        <w:ind w:left="6372" w:hanging="567"/>
      </w:pPr>
      <w:rPr>
        <w:rFonts w:hint="default"/>
        <w:lang w:val="es-CR" w:eastAsia="en-US" w:bidi="ar-SA"/>
      </w:rPr>
    </w:lvl>
    <w:lvl w:ilvl="8" w:tplc="6FCAF08A">
      <w:numFmt w:val="bullet"/>
      <w:lvlText w:val="•"/>
      <w:lvlJc w:val="left"/>
      <w:pPr>
        <w:ind w:left="7268" w:hanging="567"/>
      </w:pPr>
      <w:rPr>
        <w:rFonts w:hint="default"/>
        <w:lang w:val="es-CR" w:eastAsia="en-US" w:bidi="ar-SA"/>
      </w:rPr>
    </w:lvl>
  </w:abstractNum>
  <w:abstractNum w:abstractNumId="3" w15:restartNumberingAfterBreak="0">
    <w:nsid w:val="54F202E2"/>
    <w:multiLevelType w:val="hybridMultilevel"/>
    <w:tmpl w:val="7FA8CDD6"/>
    <w:lvl w:ilvl="0" w:tplc="48A0B54C">
      <w:start w:val="136"/>
      <w:numFmt w:val="decimal"/>
      <w:lvlText w:val="%1."/>
      <w:lvlJc w:val="left"/>
      <w:pPr>
        <w:ind w:left="668" w:hanging="434"/>
        <w:jc w:val="left"/>
      </w:pPr>
      <w:rPr>
        <w:rFonts w:ascii="Verdana" w:eastAsia="Verdana" w:hAnsi="Verdana" w:cs="Verdana" w:hint="default"/>
        <w:b w:val="0"/>
        <w:bCs w:val="0"/>
        <w:i w:val="0"/>
        <w:iCs w:val="0"/>
        <w:spacing w:val="-2"/>
        <w:w w:val="100"/>
        <w:sz w:val="16"/>
        <w:szCs w:val="16"/>
        <w:lang w:val="es-CR" w:eastAsia="en-US" w:bidi="ar-SA"/>
      </w:rPr>
    </w:lvl>
    <w:lvl w:ilvl="1" w:tplc="91FC03A4">
      <w:numFmt w:val="bullet"/>
      <w:lvlText w:val="•"/>
      <w:lvlJc w:val="left"/>
      <w:pPr>
        <w:ind w:left="1500" w:hanging="434"/>
      </w:pPr>
      <w:rPr>
        <w:rFonts w:hint="default"/>
        <w:lang w:val="es-CR" w:eastAsia="en-US" w:bidi="ar-SA"/>
      </w:rPr>
    </w:lvl>
    <w:lvl w:ilvl="2" w:tplc="22325A58">
      <w:numFmt w:val="bullet"/>
      <w:lvlText w:val="•"/>
      <w:lvlJc w:val="left"/>
      <w:pPr>
        <w:ind w:left="2340" w:hanging="434"/>
      </w:pPr>
      <w:rPr>
        <w:rFonts w:hint="default"/>
        <w:lang w:val="es-CR" w:eastAsia="en-US" w:bidi="ar-SA"/>
      </w:rPr>
    </w:lvl>
    <w:lvl w:ilvl="3" w:tplc="747C3C5A">
      <w:numFmt w:val="bullet"/>
      <w:lvlText w:val="•"/>
      <w:lvlJc w:val="left"/>
      <w:pPr>
        <w:ind w:left="3180" w:hanging="434"/>
      </w:pPr>
      <w:rPr>
        <w:rFonts w:hint="default"/>
        <w:lang w:val="es-CR" w:eastAsia="en-US" w:bidi="ar-SA"/>
      </w:rPr>
    </w:lvl>
    <w:lvl w:ilvl="4" w:tplc="C7DCFA2A">
      <w:numFmt w:val="bullet"/>
      <w:lvlText w:val="•"/>
      <w:lvlJc w:val="left"/>
      <w:pPr>
        <w:ind w:left="4020" w:hanging="434"/>
      </w:pPr>
      <w:rPr>
        <w:rFonts w:hint="default"/>
        <w:lang w:val="es-CR" w:eastAsia="en-US" w:bidi="ar-SA"/>
      </w:rPr>
    </w:lvl>
    <w:lvl w:ilvl="5" w:tplc="DF52F6DC">
      <w:numFmt w:val="bullet"/>
      <w:lvlText w:val="•"/>
      <w:lvlJc w:val="left"/>
      <w:pPr>
        <w:ind w:left="4860" w:hanging="434"/>
      </w:pPr>
      <w:rPr>
        <w:rFonts w:hint="default"/>
        <w:lang w:val="es-CR" w:eastAsia="en-US" w:bidi="ar-SA"/>
      </w:rPr>
    </w:lvl>
    <w:lvl w:ilvl="6" w:tplc="E600309E">
      <w:numFmt w:val="bullet"/>
      <w:lvlText w:val="•"/>
      <w:lvlJc w:val="left"/>
      <w:pPr>
        <w:ind w:left="5700" w:hanging="434"/>
      </w:pPr>
      <w:rPr>
        <w:rFonts w:hint="default"/>
        <w:lang w:val="es-CR" w:eastAsia="en-US" w:bidi="ar-SA"/>
      </w:rPr>
    </w:lvl>
    <w:lvl w:ilvl="7" w:tplc="974E357E">
      <w:numFmt w:val="bullet"/>
      <w:lvlText w:val="•"/>
      <w:lvlJc w:val="left"/>
      <w:pPr>
        <w:ind w:left="6540" w:hanging="434"/>
      </w:pPr>
      <w:rPr>
        <w:rFonts w:hint="default"/>
        <w:lang w:val="es-CR" w:eastAsia="en-US" w:bidi="ar-SA"/>
      </w:rPr>
    </w:lvl>
    <w:lvl w:ilvl="8" w:tplc="AC6630BE">
      <w:numFmt w:val="bullet"/>
      <w:lvlText w:val="•"/>
      <w:lvlJc w:val="left"/>
      <w:pPr>
        <w:ind w:left="7380" w:hanging="434"/>
      </w:pPr>
      <w:rPr>
        <w:rFonts w:hint="default"/>
        <w:lang w:val="es-CR" w:eastAsia="en-US" w:bidi="ar-SA"/>
      </w:rPr>
    </w:lvl>
  </w:abstractNum>
  <w:abstractNum w:abstractNumId="4" w15:restartNumberingAfterBreak="0">
    <w:nsid w:val="70914B93"/>
    <w:multiLevelType w:val="hybridMultilevel"/>
    <w:tmpl w:val="60AAEFBC"/>
    <w:lvl w:ilvl="0" w:tplc="9A1EE3C6">
      <w:start w:val="107"/>
      <w:numFmt w:val="decimal"/>
      <w:lvlText w:val="%1."/>
      <w:lvlJc w:val="left"/>
      <w:pPr>
        <w:ind w:left="795" w:hanging="360"/>
      </w:pPr>
      <w:rPr>
        <w:rFonts w:ascii="Verdana" w:hAnsi="Verdana" w:hint="default"/>
        <w:i w:val="0"/>
        <w:strike w:val="0"/>
        <w:dstrike w:val="0"/>
        <w:sz w:val="20"/>
        <w:szCs w:val="20"/>
        <w:u w:val="none"/>
        <w:effect w:val="none"/>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num w:numId="1" w16cid:durableId="355430187">
    <w:abstractNumId w:val="2"/>
  </w:num>
  <w:num w:numId="2" w16cid:durableId="1551309874">
    <w:abstractNumId w:val="3"/>
  </w:num>
  <w:num w:numId="3" w16cid:durableId="915868154">
    <w:abstractNumId w:val="1"/>
  </w:num>
  <w:num w:numId="4" w16cid:durableId="1384140797">
    <w:abstractNumId w:val="0"/>
  </w:num>
  <w:num w:numId="5" w16cid:durableId="2111119861">
    <w:abstractNumId w:val="4"/>
    <w:lvlOverride w:ilvl="0">
      <w:startOverride w:val="10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B2A"/>
    <w:rsid w:val="0005116B"/>
    <w:rsid w:val="0005656F"/>
    <w:rsid w:val="0009670B"/>
    <w:rsid w:val="000A5B2A"/>
    <w:rsid w:val="000B15A7"/>
    <w:rsid w:val="000B60F7"/>
    <w:rsid w:val="001077F4"/>
    <w:rsid w:val="0015161B"/>
    <w:rsid w:val="00171F4A"/>
    <w:rsid w:val="00184579"/>
    <w:rsid w:val="0018650F"/>
    <w:rsid w:val="001A72F4"/>
    <w:rsid w:val="00206842"/>
    <w:rsid w:val="00206DCD"/>
    <w:rsid w:val="0022044C"/>
    <w:rsid w:val="0023286B"/>
    <w:rsid w:val="002C31BA"/>
    <w:rsid w:val="002E36D2"/>
    <w:rsid w:val="002F0689"/>
    <w:rsid w:val="00303BFB"/>
    <w:rsid w:val="003041B5"/>
    <w:rsid w:val="00351F93"/>
    <w:rsid w:val="003B07EC"/>
    <w:rsid w:val="003B7A89"/>
    <w:rsid w:val="00403C72"/>
    <w:rsid w:val="00462F6F"/>
    <w:rsid w:val="00476D17"/>
    <w:rsid w:val="004924CA"/>
    <w:rsid w:val="004B1446"/>
    <w:rsid w:val="004B517F"/>
    <w:rsid w:val="004F67DD"/>
    <w:rsid w:val="00507275"/>
    <w:rsid w:val="0056055F"/>
    <w:rsid w:val="005938D1"/>
    <w:rsid w:val="005C5554"/>
    <w:rsid w:val="005E20A9"/>
    <w:rsid w:val="0060034A"/>
    <w:rsid w:val="006273D7"/>
    <w:rsid w:val="00634D80"/>
    <w:rsid w:val="00647F78"/>
    <w:rsid w:val="00674A93"/>
    <w:rsid w:val="006773FE"/>
    <w:rsid w:val="006846E0"/>
    <w:rsid w:val="007208CD"/>
    <w:rsid w:val="007353B3"/>
    <w:rsid w:val="007449CE"/>
    <w:rsid w:val="00750B35"/>
    <w:rsid w:val="007B5FFD"/>
    <w:rsid w:val="007B6A5C"/>
    <w:rsid w:val="007D2C3D"/>
    <w:rsid w:val="007E41B7"/>
    <w:rsid w:val="007F5340"/>
    <w:rsid w:val="00852411"/>
    <w:rsid w:val="0088674E"/>
    <w:rsid w:val="008B0111"/>
    <w:rsid w:val="008C675B"/>
    <w:rsid w:val="008D0B13"/>
    <w:rsid w:val="00917935"/>
    <w:rsid w:val="00946EFA"/>
    <w:rsid w:val="009514E3"/>
    <w:rsid w:val="0096306C"/>
    <w:rsid w:val="009C53E9"/>
    <w:rsid w:val="009E4EA3"/>
    <w:rsid w:val="009F1D33"/>
    <w:rsid w:val="009F7867"/>
    <w:rsid w:val="00A23816"/>
    <w:rsid w:val="00AA3D64"/>
    <w:rsid w:val="00AC2C3C"/>
    <w:rsid w:val="00AF5DAE"/>
    <w:rsid w:val="00BE16A6"/>
    <w:rsid w:val="00BE39A5"/>
    <w:rsid w:val="00BF7C46"/>
    <w:rsid w:val="00C20E3B"/>
    <w:rsid w:val="00C860E4"/>
    <w:rsid w:val="00C94248"/>
    <w:rsid w:val="00CA3762"/>
    <w:rsid w:val="00D15079"/>
    <w:rsid w:val="00D76DA3"/>
    <w:rsid w:val="00D9434C"/>
    <w:rsid w:val="00E052A8"/>
    <w:rsid w:val="00E218C4"/>
    <w:rsid w:val="00E2191F"/>
    <w:rsid w:val="00E32366"/>
    <w:rsid w:val="00E41960"/>
    <w:rsid w:val="00E540A8"/>
    <w:rsid w:val="00E63947"/>
    <w:rsid w:val="00E7398C"/>
    <w:rsid w:val="00E826E3"/>
    <w:rsid w:val="00EB299D"/>
    <w:rsid w:val="00F009BD"/>
    <w:rsid w:val="00F13E06"/>
    <w:rsid w:val="00F313C7"/>
    <w:rsid w:val="00F523BD"/>
    <w:rsid w:val="00F75CC7"/>
    <w:rsid w:val="00F927DA"/>
    <w:rsid w:val="00F931FB"/>
    <w:rsid w:val="00FD0A3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F61A2B"/>
  <w15:docId w15:val="{939D094D-C98A-436F-AD44-B34B63050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val="es-CR"/>
    </w:rPr>
  </w:style>
  <w:style w:type="paragraph" w:styleId="Ttulo1">
    <w:name w:val="heading 1"/>
    <w:basedOn w:val="Normal"/>
    <w:uiPriority w:val="9"/>
    <w:qFormat/>
    <w:pPr>
      <w:ind w:left="1630"/>
      <w:jc w:val="center"/>
      <w:outlineLvl w:val="0"/>
    </w:pPr>
    <w:rPr>
      <w:b/>
      <w:bCs/>
      <w:sz w:val="20"/>
      <w:szCs w:val="20"/>
    </w:rPr>
  </w:style>
  <w:style w:type="paragraph" w:styleId="Ttulo2">
    <w:name w:val="heading 2"/>
    <w:basedOn w:val="Normal"/>
    <w:uiPriority w:val="9"/>
    <w:unhideWhenUsed/>
    <w:qFormat/>
    <w:pPr>
      <w:ind w:left="668"/>
      <w:outlineLvl w:val="1"/>
    </w:pPr>
    <w:rPr>
      <w:b/>
      <w:bCs/>
      <w:i/>
      <w:i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ind w:left="102"/>
      <w:jc w:val="both"/>
    </w:pPr>
  </w:style>
  <w:style w:type="paragraph" w:customStyle="1" w:styleId="TableParagraph">
    <w:name w:val="Table Paragraph"/>
    <w:basedOn w:val="Normal"/>
    <w:uiPriority w:val="1"/>
    <w:qFormat/>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Ca Car,FA Fu Car Car Car"/>
    <w:basedOn w:val="Fuentedeprrafopredeter"/>
    <w:link w:val="Textonotapie"/>
    <w:qFormat/>
    <w:locked/>
    <w:rsid w:val="00E218C4"/>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Ca,FA Fu?notentext,FA Fu Car Car,C,ft"/>
    <w:basedOn w:val="Normal"/>
    <w:link w:val="TextonotapieCar"/>
    <w:unhideWhenUsed/>
    <w:qFormat/>
    <w:rsid w:val="00E218C4"/>
    <w:pPr>
      <w:widowControl/>
      <w:autoSpaceDE/>
      <w:autoSpaceDN/>
    </w:pPr>
    <w:rPr>
      <w:rFonts w:asciiTheme="minorHAnsi" w:eastAsiaTheme="minorHAnsi" w:hAnsiTheme="minorHAnsi" w:cstheme="minorBidi"/>
      <w:sz w:val="20"/>
      <w:szCs w:val="20"/>
      <w:lang w:val="en-US"/>
    </w:rPr>
  </w:style>
  <w:style w:type="character" w:customStyle="1" w:styleId="TextonotapieCar1">
    <w:name w:val="Texto nota pie Car1"/>
    <w:basedOn w:val="Fuentedeprrafopredeter"/>
    <w:uiPriority w:val="99"/>
    <w:semiHidden/>
    <w:rsid w:val="00E218C4"/>
    <w:rPr>
      <w:rFonts w:ascii="Verdana" w:eastAsia="Verdana" w:hAnsi="Verdana" w:cs="Verdana"/>
      <w:sz w:val="20"/>
      <w:szCs w:val="20"/>
      <w:lang w:val="es-CR"/>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link w:val="4GChar"/>
    <w:unhideWhenUsed/>
    <w:qFormat/>
    <w:rsid w:val="00E218C4"/>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E218C4"/>
    <w:pPr>
      <w:widowControl/>
      <w:autoSpaceDE/>
      <w:autoSpaceDN/>
      <w:jc w:val="both"/>
    </w:pPr>
    <w:rPr>
      <w:rFonts w:asciiTheme="minorHAnsi" w:eastAsiaTheme="minorHAnsi" w:hAnsiTheme="minorHAnsi" w:cstheme="minorBidi"/>
      <w:vertAlign w:val="superscript"/>
      <w:lang w:val="en-US"/>
    </w:rPr>
  </w:style>
  <w:style w:type="character" w:styleId="Refdecomentario">
    <w:name w:val="annotation reference"/>
    <w:basedOn w:val="Fuentedeprrafopredeter"/>
    <w:uiPriority w:val="99"/>
    <w:semiHidden/>
    <w:unhideWhenUsed/>
    <w:rsid w:val="00403C72"/>
    <w:rPr>
      <w:sz w:val="16"/>
      <w:szCs w:val="16"/>
    </w:rPr>
  </w:style>
  <w:style w:type="paragraph" w:styleId="Textocomentario">
    <w:name w:val="annotation text"/>
    <w:basedOn w:val="Normal"/>
    <w:link w:val="TextocomentarioCar"/>
    <w:uiPriority w:val="99"/>
    <w:unhideWhenUsed/>
    <w:rsid w:val="00403C72"/>
    <w:rPr>
      <w:sz w:val="20"/>
      <w:szCs w:val="20"/>
    </w:rPr>
  </w:style>
  <w:style w:type="character" w:customStyle="1" w:styleId="TextocomentarioCar">
    <w:name w:val="Texto comentario Car"/>
    <w:basedOn w:val="Fuentedeprrafopredeter"/>
    <w:link w:val="Textocomentario"/>
    <w:uiPriority w:val="99"/>
    <w:rsid w:val="00403C72"/>
    <w:rPr>
      <w:rFonts w:ascii="Verdana" w:eastAsia="Verdana" w:hAnsi="Verdana" w:cs="Verdana"/>
      <w:sz w:val="20"/>
      <w:szCs w:val="20"/>
      <w:lang w:val="es-CR"/>
    </w:rPr>
  </w:style>
  <w:style w:type="paragraph" w:styleId="Asuntodelcomentario">
    <w:name w:val="annotation subject"/>
    <w:basedOn w:val="Textocomentario"/>
    <w:next w:val="Textocomentario"/>
    <w:link w:val="AsuntodelcomentarioCar"/>
    <w:uiPriority w:val="99"/>
    <w:semiHidden/>
    <w:unhideWhenUsed/>
    <w:rsid w:val="00403C72"/>
    <w:rPr>
      <w:b/>
      <w:bCs/>
    </w:rPr>
  </w:style>
  <w:style w:type="character" w:customStyle="1" w:styleId="AsuntodelcomentarioCar">
    <w:name w:val="Asunto del comentario Car"/>
    <w:basedOn w:val="TextocomentarioCar"/>
    <w:link w:val="Asuntodelcomentario"/>
    <w:uiPriority w:val="99"/>
    <w:semiHidden/>
    <w:rsid w:val="00403C72"/>
    <w:rPr>
      <w:rFonts w:ascii="Verdana" w:eastAsia="Verdana" w:hAnsi="Verdana" w:cs="Verdana"/>
      <w:b/>
      <w:bCs/>
      <w:sz w:val="20"/>
      <w:szCs w:val="20"/>
      <w:lang w:val="es-CR"/>
    </w:rPr>
  </w:style>
  <w:style w:type="paragraph" w:styleId="Revisin">
    <w:name w:val="Revision"/>
    <w:hidden/>
    <w:uiPriority w:val="99"/>
    <w:semiHidden/>
    <w:rsid w:val="003B07EC"/>
    <w:pPr>
      <w:widowControl/>
      <w:autoSpaceDE/>
      <w:autoSpaceDN/>
    </w:pPr>
    <w:rPr>
      <w:rFonts w:ascii="Verdana" w:eastAsia="Verdana" w:hAnsi="Verdana" w:cs="Verdana"/>
      <w:lang w:val="es-CR"/>
    </w:rPr>
  </w:style>
  <w:style w:type="paragraph" w:styleId="Encabezado">
    <w:name w:val="header"/>
    <w:aliases w:val="encabezado"/>
    <w:basedOn w:val="Normal"/>
    <w:link w:val="EncabezadoCar"/>
    <w:uiPriority w:val="99"/>
    <w:unhideWhenUsed/>
    <w:rsid w:val="006273D7"/>
    <w:pPr>
      <w:tabs>
        <w:tab w:val="center" w:pos="4680"/>
        <w:tab w:val="right" w:pos="9360"/>
      </w:tabs>
    </w:pPr>
  </w:style>
  <w:style w:type="character" w:customStyle="1" w:styleId="EncabezadoCar">
    <w:name w:val="Encabezado Car"/>
    <w:aliases w:val="encabezado Car"/>
    <w:basedOn w:val="Fuentedeprrafopredeter"/>
    <w:link w:val="Encabezado"/>
    <w:uiPriority w:val="99"/>
    <w:rsid w:val="006273D7"/>
    <w:rPr>
      <w:rFonts w:ascii="Verdana" w:eastAsia="Verdana" w:hAnsi="Verdana" w:cs="Verdana"/>
      <w:lang w:val="es-CR"/>
    </w:rPr>
  </w:style>
  <w:style w:type="paragraph" w:styleId="Piedepgina">
    <w:name w:val="footer"/>
    <w:basedOn w:val="Normal"/>
    <w:link w:val="PiedepginaCar"/>
    <w:uiPriority w:val="99"/>
    <w:unhideWhenUsed/>
    <w:rsid w:val="006273D7"/>
    <w:pPr>
      <w:tabs>
        <w:tab w:val="center" w:pos="4680"/>
        <w:tab w:val="right" w:pos="9360"/>
      </w:tabs>
    </w:pPr>
  </w:style>
  <w:style w:type="character" w:customStyle="1" w:styleId="PiedepginaCar">
    <w:name w:val="Pie de página Car"/>
    <w:basedOn w:val="Fuentedeprrafopredeter"/>
    <w:link w:val="Piedepgina"/>
    <w:uiPriority w:val="99"/>
    <w:rsid w:val="006273D7"/>
    <w:rPr>
      <w:rFonts w:ascii="Verdana" w:eastAsia="Verdana" w:hAnsi="Verdana" w:cs="Verdana"/>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21735">
      <w:bodyDiv w:val="1"/>
      <w:marLeft w:val="0"/>
      <w:marRight w:val="0"/>
      <w:marTop w:val="0"/>
      <w:marBottom w:val="0"/>
      <w:divBdr>
        <w:top w:val="none" w:sz="0" w:space="0" w:color="auto"/>
        <w:left w:val="none" w:sz="0" w:space="0" w:color="auto"/>
        <w:bottom w:val="none" w:sz="0" w:space="0" w:color="auto"/>
        <w:right w:val="none" w:sz="0" w:space="0" w:color="auto"/>
      </w:divBdr>
    </w:div>
    <w:div w:id="848565768">
      <w:bodyDiv w:val="1"/>
      <w:marLeft w:val="0"/>
      <w:marRight w:val="0"/>
      <w:marTop w:val="0"/>
      <w:marBottom w:val="0"/>
      <w:divBdr>
        <w:top w:val="none" w:sz="0" w:space="0" w:color="auto"/>
        <w:left w:val="none" w:sz="0" w:space="0" w:color="auto"/>
        <w:bottom w:val="none" w:sz="0" w:space="0" w:color="auto"/>
        <w:right w:val="none" w:sz="0" w:space="0" w:color="auto"/>
      </w:divBdr>
    </w:div>
    <w:div w:id="16774150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1F1BD5-3772-4190-9F92-FA493D431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2343</Words>
  <Characters>12677</Characters>
  <Application>Microsoft Office Word</Application>
  <DocSecurity>0</DocSecurity>
  <Lines>352</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Corte IDH</dc:creator>
  <cp:lastModifiedBy>Liliana Tojo</cp:lastModifiedBy>
  <cp:revision>2</cp:revision>
  <dcterms:created xsi:type="dcterms:W3CDTF">2024-06-04T19:28:00Z</dcterms:created>
  <dcterms:modified xsi:type="dcterms:W3CDTF">2024-06-04T19:28:00Z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2021-09-02T00:00:00Z</vt:filetime>
  </property>
  <property fmtid="{D5CDD505-2E9C-101B-9397-08002B2CF9AE}" pid="3" name="Creator">
    <vt:lpwstr>Microsoft® Word 2016</vt:lpwstr>
  </property>
  <property fmtid="{D5CDD505-2E9C-101B-9397-08002B2CF9AE}" pid="4" name="LastSaved">
    <vt:filetime>2021-09-02T00:00:00Z</vt:filetime>
  </property>
</Properties>
</file>