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85D2C5" w14:textId="0D354229" w:rsidR="00B23593" w:rsidRDefault="00000000">
      <w:pPr>
        <w:pStyle w:val="P68B1DB1-Normal1"/>
        <w:tabs>
          <w:tab w:val="left" w:pos="709"/>
        </w:tabs>
        <w:spacing w:before="240" w:after="120"/>
        <w:jc w:val="center"/>
      </w:pPr>
      <w:r>
        <w:t xml:space="preserve">PARTIALLY DISSENTING OPINION OF THE </w:t>
      </w:r>
    </w:p>
    <w:p w14:paraId="55F37C73" w14:textId="77777777" w:rsidR="00B23593" w:rsidRDefault="00000000">
      <w:pPr>
        <w:pStyle w:val="P68B1DB1-Normal1"/>
        <w:tabs>
          <w:tab w:val="left" w:pos="709"/>
        </w:tabs>
        <w:spacing w:before="240" w:after="120"/>
        <w:jc w:val="center"/>
      </w:pPr>
      <w:r>
        <w:t>JUDGE HUMBERTO ANTONIO SIERRA PORTO</w:t>
      </w:r>
    </w:p>
    <w:p w14:paraId="78FA1A0C" w14:textId="77777777" w:rsidR="00B23593" w:rsidRDefault="00B23593">
      <w:pPr>
        <w:tabs>
          <w:tab w:val="left" w:pos="709"/>
        </w:tabs>
        <w:spacing w:before="240" w:after="120"/>
        <w:jc w:val="center"/>
        <w:rPr>
          <w:rFonts w:ascii="Verdana" w:hAnsi="Verdana"/>
          <w:b/>
          <w:sz w:val="20"/>
        </w:rPr>
      </w:pPr>
    </w:p>
    <w:p w14:paraId="09D6D834" w14:textId="30E9CA25" w:rsidR="00B23593" w:rsidRPr="00EE7231" w:rsidRDefault="00000000">
      <w:pPr>
        <w:pStyle w:val="P68B1DB1-Normal2"/>
        <w:spacing w:before="240" w:after="120"/>
        <w:jc w:val="center"/>
        <w:rPr>
          <w:lang w:val="es-EC"/>
        </w:rPr>
      </w:pPr>
      <w:r w:rsidRPr="00EE7231">
        <w:rPr>
          <w:lang w:val="es-EC"/>
        </w:rPr>
        <w:t>CASE OF MINA CUERO V. ECUADOR</w:t>
      </w:r>
    </w:p>
    <w:p w14:paraId="7DD24A03" w14:textId="57FC52E7" w:rsidR="00B23593" w:rsidRDefault="00000000">
      <w:pPr>
        <w:pStyle w:val="P68B1DB1-Normal2"/>
        <w:spacing w:before="240" w:after="120"/>
        <w:jc w:val="center"/>
      </w:pPr>
      <w:r>
        <w:t>JUDGMENT OF SEPTEMBER 7, 2022</w:t>
      </w:r>
    </w:p>
    <w:p w14:paraId="076E512D" w14:textId="35A2ECF1" w:rsidR="00B23593" w:rsidRDefault="00000000">
      <w:pPr>
        <w:pStyle w:val="P68B1DB1-Normal3"/>
        <w:spacing w:before="240" w:after="120"/>
        <w:jc w:val="center"/>
      </w:pPr>
      <w:r>
        <w:t>(Preliminary objections, Merits, Reparations and Costs)</w:t>
      </w:r>
    </w:p>
    <w:p w14:paraId="3D88CD33" w14:textId="77777777" w:rsidR="00B23593" w:rsidRDefault="00B23593">
      <w:pPr>
        <w:spacing w:before="240" w:after="120"/>
        <w:jc w:val="center"/>
        <w:rPr>
          <w:rFonts w:ascii="Verdana" w:eastAsia="Times New Roman" w:hAnsi="Verdana" w:cs="Times New Roman"/>
          <w:b/>
          <w:i/>
          <w:sz w:val="20"/>
        </w:rPr>
      </w:pPr>
    </w:p>
    <w:p w14:paraId="0FE45FBF" w14:textId="77777777" w:rsidR="00B23593" w:rsidRDefault="00000000">
      <w:pPr>
        <w:pStyle w:val="P68B1DB1-Prrafodelista4"/>
        <w:numPr>
          <w:ilvl w:val="0"/>
          <w:numId w:val="2"/>
        </w:numPr>
        <w:autoSpaceDE w:val="0"/>
        <w:autoSpaceDN w:val="0"/>
        <w:adjustRightInd w:val="0"/>
        <w:spacing w:before="240" w:after="120" w:line="240" w:lineRule="auto"/>
        <w:ind w:left="0" w:firstLine="0"/>
        <w:contextualSpacing w:val="0"/>
        <w:jc w:val="both"/>
      </w:pPr>
      <w:r>
        <w:t xml:space="preserve">With due respect to the majority decisions of the Inter-American Court of Human Rights (hereinafter the Court), this vote aims to explain my dissent regarding resolution point 5, in which the international responsibility of the State of Ecuador (hereinafter "the State" or Ecuador) was declared for the violation of the right to work, to the detriment of Víctor Henrry Mina Cuero. </w:t>
      </w:r>
    </w:p>
    <w:p w14:paraId="1B8042DF" w14:textId="2F66EC5C" w:rsidR="00B23593" w:rsidRDefault="00000000">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sz w:val="20"/>
        </w:rPr>
      </w:pPr>
      <w:r>
        <w:rPr>
          <w:rFonts w:ascii="Verdana" w:hAnsi="Verdana"/>
          <w:sz w:val="20"/>
        </w:rPr>
        <w:t xml:space="preserve">This vote complements the position already expressed in my partially dissenting opinions in the </w:t>
      </w:r>
      <w:r w:rsidR="00EE7231">
        <w:rPr>
          <w:rFonts w:ascii="Verdana" w:hAnsi="Verdana"/>
          <w:sz w:val="20"/>
        </w:rPr>
        <w:t>C</w:t>
      </w:r>
      <w:r w:rsidRPr="00EE7231">
        <w:rPr>
          <w:rFonts w:ascii="Verdana" w:hAnsi="Verdana"/>
          <w:iCs/>
          <w:sz w:val="20"/>
        </w:rPr>
        <w:t xml:space="preserve">ases of </w:t>
      </w:r>
      <w:r>
        <w:rPr>
          <w:rFonts w:ascii="Verdana" w:hAnsi="Verdana"/>
          <w:i/>
          <w:sz w:val="20"/>
        </w:rPr>
        <w:t>Lagos del Campo v. Peru,</w:t>
      </w:r>
      <w:r>
        <w:rPr>
          <w:rStyle w:val="Refdenotaalpie"/>
          <w:rFonts w:ascii="Verdana" w:hAnsi="Verdana"/>
          <w:i/>
          <w:sz w:val="20"/>
        </w:rPr>
        <w:footnoteReference w:id="1"/>
      </w:r>
      <w:r>
        <w:rPr>
          <w:rFonts w:ascii="Verdana" w:hAnsi="Verdana"/>
          <w:i/>
          <w:sz w:val="20"/>
        </w:rPr>
        <w:t xml:space="preserve"> Dismissed Employees of Petroperú et al. v. Peru,</w:t>
      </w:r>
      <w:r>
        <w:rPr>
          <w:rStyle w:val="Refdenotaalpie"/>
          <w:rFonts w:ascii="Verdana" w:hAnsi="Verdana"/>
          <w:i/>
          <w:sz w:val="20"/>
        </w:rPr>
        <w:footnoteReference w:id="2"/>
      </w:r>
      <w:r>
        <w:rPr>
          <w:rFonts w:ascii="Verdana" w:hAnsi="Verdana"/>
          <w:i/>
          <w:sz w:val="20"/>
        </w:rPr>
        <w:t xml:space="preserve"> San Miguel Sosa et al. v. Venezuela,</w:t>
      </w:r>
      <w:r>
        <w:rPr>
          <w:rStyle w:val="Refdenotaalpie"/>
          <w:rFonts w:ascii="Verdana" w:hAnsi="Verdana"/>
          <w:i/>
          <w:sz w:val="20"/>
        </w:rPr>
        <w:footnoteReference w:id="3"/>
      </w:r>
      <w:r>
        <w:rPr>
          <w:rFonts w:ascii="Verdana" w:hAnsi="Verdana"/>
          <w:i/>
          <w:sz w:val="20"/>
        </w:rPr>
        <w:t xml:space="preserve"> Muelle Flores v. Peru,</w:t>
      </w:r>
      <w:r>
        <w:rPr>
          <w:rStyle w:val="Refdenotaalpie"/>
          <w:rFonts w:ascii="Verdana" w:hAnsi="Verdana"/>
          <w:i/>
          <w:sz w:val="20"/>
        </w:rPr>
        <w:footnoteReference w:id="4"/>
      </w:r>
      <w:r>
        <w:rPr>
          <w:rFonts w:ascii="Verdana" w:hAnsi="Verdana"/>
          <w:i/>
          <w:sz w:val="20"/>
        </w:rPr>
        <w:t xml:space="preserve"> Hernández v. Argentina,</w:t>
      </w:r>
      <w:r>
        <w:rPr>
          <w:rStyle w:val="Refdenotaalpie"/>
          <w:rFonts w:ascii="Verdana" w:hAnsi="Verdana"/>
          <w:i/>
          <w:sz w:val="20"/>
        </w:rPr>
        <w:footnoteReference w:id="5"/>
      </w:r>
      <w:r>
        <w:rPr>
          <w:rFonts w:ascii="Verdana" w:hAnsi="Verdana"/>
          <w:i/>
          <w:sz w:val="20"/>
        </w:rPr>
        <w:t xml:space="preserve"> ANCEJUB-SUNAT v. Peru,</w:t>
      </w:r>
      <w:r>
        <w:rPr>
          <w:rStyle w:val="Refdenotaalpie"/>
          <w:rFonts w:ascii="Verdana" w:hAnsi="Verdana"/>
          <w:i/>
          <w:sz w:val="20"/>
        </w:rPr>
        <w:footnoteReference w:id="6"/>
      </w:r>
      <w:r>
        <w:rPr>
          <w:rFonts w:ascii="Verdana" w:hAnsi="Verdana"/>
          <w:i/>
          <w:sz w:val="20"/>
        </w:rPr>
        <w:t xml:space="preserve"> Indigenous Communities of the Lhaka Honhat Association (Our Land) v. Argentina,</w:t>
      </w:r>
      <w:r>
        <w:rPr>
          <w:rStyle w:val="Refdenotaalpie"/>
          <w:rFonts w:ascii="Verdana" w:hAnsi="Verdana"/>
          <w:i/>
          <w:sz w:val="20"/>
        </w:rPr>
        <w:footnoteReference w:id="7"/>
      </w:r>
      <w:r>
        <w:rPr>
          <w:rFonts w:ascii="Verdana" w:hAnsi="Verdana"/>
          <w:i/>
          <w:sz w:val="20"/>
        </w:rPr>
        <w:t xml:space="preserve"> Employees of the Fireworks Factory in Santo Antônio de Jesus and their families v. Brazil,</w:t>
      </w:r>
      <w:r>
        <w:rPr>
          <w:rStyle w:val="Refdenotaalpie"/>
          <w:rFonts w:ascii="Verdana" w:hAnsi="Verdana"/>
          <w:i/>
          <w:sz w:val="20"/>
        </w:rPr>
        <w:footnoteReference w:id="8"/>
      </w:r>
      <w:r>
        <w:rPr>
          <w:rFonts w:ascii="Verdana" w:hAnsi="Verdana"/>
          <w:i/>
          <w:sz w:val="20"/>
        </w:rPr>
        <w:t xml:space="preserve"> Casa Nina v. Peru,</w:t>
      </w:r>
      <w:r>
        <w:rPr>
          <w:rStyle w:val="Refdenotaalpie"/>
          <w:rFonts w:ascii="Verdana" w:hAnsi="Verdana"/>
          <w:i/>
          <w:sz w:val="20"/>
        </w:rPr>
        <w:footnoteReference w:id="9"/>
      </w:r>
      <w:r>
        <w:rPr>
          <w:rFonts w:ascii="Verdana" w:hAnsi="Verdana"/>
          <w:i/>
          <w:sz w:val="20"/>
        </w:rPr>
        <w:t xml:space="preserve"> Guachalá Chimbo v. </w:t>
      </w:r>
      <w:r>
        <w:rPr>
          <w:rFonts w:ascii="Verdana" w:hAnsi="Verdana"/>
          <w:i/>
          <w:sz w:val="20"/>
        </w:rPr>
        <w:lastRenderedPageBreak/>
        <w:t>Ecuador,</w:t>
      </w:r>
      <w:r>
        <w:rPr>
          <w:rStyle w:val="Refdenotaalpie"/>
          <w:rFonts w:ascii="Verdana" w:hAnsi="Verdana"/>
          <w:i/>
          <w:sz w:val="20"/>
        </w:rPr>
        <w:footnoteReference w:id="10"/>
      </w:r>
      <w:r>
        <w:rPr>
          <w:rFonts w:ascii="Verdana" w:hAnsi="Verdana"/>
          <w:i/>
          <w:sz w:val="20"/>
        </w:rPr>
        <w:t xml:space="preserve"> FEMAPOR v. Peru,</w:t>
      </w:r>
      <w:r>
        <w:rPr>
          <w:rStyle w:val="Refdenotaalpie"/>
          <w:rFonts w:ascii="Verdana" w:hAnsi="Verdana"/>
          <w:i/>
          <w:sz w:val="20"/>
        </w:rPr>
        <w:footnoteReference w:id="11"/>
      </w:r>
      <w:r>
        <w:rPr>
          <w:rFonts w:ascii="Verdana" w:hAnsi="Verdana"/>
          <w:sz w:val="20"/>
        </w:rPr>
        <w:t xml:space="preserve"> and </w:t>
      </w:r>
      <w:r>
        <w:rPr>
          <w:rFonts w:ascii="Verdana" w:hAnsi="Verdana"/>
          <w:i/>
          <w:sz w:val="20"/>
        </w:rPr>
        <w:t>Guevara Díaz v. Costa Rica</w:t>
      </w:r>
      <w:r>
        <w:rPr>
          <w:rStyle w:val="Refdenotaalpie"/>
          <w:rFonts w:ascii="Verdana" w:hAnsi="Verdana"/>
          <w:sz w:val="20"/>
        </w:rPr>
        <w:footnoteReference w:id="12"/>
      </w:r>
      <w:r>
        <w:rPr>
          <w:rFonts w:ascii="Verdana" w:hAnsi="Verdana"/>
          <w:sz w:val="20"/>
        </w:rPr>
        <w:t xml:space="preserve">; as well as in my concurring opinions in the cases </w:t>
      </w:r>
      <w:r>
        <w:rPr>
          <w:rFonts w:ascii="Verdana" w:hAnsi="Verdana"/>
          <w:i/>
          <w:sz w:val="20"/>
        </w:rPr>
        <w:t>Gonzales Lluy et al. v.  Ecuador,</w:t>
      </w:r>
      <w:r>
        <w:rPr>
          <w:rStyle w:val="Refdenotaalpie"/>
          <w:rFonts w:ascii="Verdana" w:hAnsi="Verdana"/>
          <w:i/>
          <w:sz w:val="20"/>
        </w:rPr>
        <w:footnoteReference w:id="13"/>
      </w:r>
      <w:r>
        <w:rPr>
          <w:rFonts w:ascii="Verdana" w:hAnsi="Verdana"/>
          <w:i/>
          <w:sz w:val="20"/>
        </w:rPr>
        <w:t xml:space="preserve"> Poblete Vilches et al. v. Chile,</w:t>
      </w:r>
      <w:r>
        <w:rPr>
          <w:rStyle w:val="Refdenotaalpie"/>
          <w:rFonts w:ascii="Verdana" w:hAnsi="Verdana"/>
          <w:i/>
          <w:sz w:val="20"/>
        </w:rPr>
        <w:footnoteReference w:id="14"/>
      </w:r>
      <w:r>
        <w:rPr>
          <w:rFonts w:ascii="Verdana" w:hAnsi="Verdana"/>
          <w:i/>
          <w:sz w:val="20"/>
        </w:rPr>
        <w:t xml:space="preserve"> Cuscul Pivaral et al. v. Guatemala,</w:t>
      </w:r>
      <w:r>
        <w:rPr>
          <w:rStyle w:val="Refdenotaalpie"/>
          <w:rFonts w:ascii="Verdana" w:hAnsi="Verdana"/>
          <w:i/>
          <w:sz w:val="20"/>
        </w:rPr>
        <w:footnoteReference w:id="15"/>
      </w:r>
      <w:r>
        <w:rPr>
          <w:rFonts w:ascii="Verdana" w:hAnsi="Verdana"/>
          <w:i/>
          <w:sz w:val="20"/>
        </w:rPr>
        <w:t xml:space="preserve"> Buzos Miskito v. Honduras,</w:t>
      </w:r>
      <w:r>
        <w:rPr>
          <w:rStyle w:val="Refdenotaalpie"/>
          <w:rFonts w:ascii="Verdana" w:hAnsi="Verdana"/>
          <w:i/>
          <w:sz w:val="20"/>
        </w:rPr>
        <w:footnoteReference w:id="16"/>
      </w:r>
      <w:r>
        <w:rPr>
          <w:rFonts w:ascii="Verdana" w:hAnsi="Verdana"/>
          <w:i/>
          <w:sz w:val="20"/>
        </w:rPr>
        <w:t xml:space="preserve"> Vera Rojas et al. v. Chile,</w:t>
      </w:r>
      <w:r>
        <w:rPr>
          <w:rFonts w:ascii="Verdana" w:hAnsi="Verdana"/>
          <w:i/>
          <w:sz w:val="20"/>
        </w:rPr>
        <w:footnoteReference w:id="17"/>
      </w:r>
      <w:r>
        <w:rPr>
          <w:rFonts w:ascii="Verdana" w:hAnsi="Verdana"/>
          <w:i/>
          <w:sz w:val="20"/>
        </w:rPr>
        <w:t xml:space="preserve"> Manuela et al. v. El Salvador,</w:t>
      </w:r>
      <w:r>
        <w:rPr>
          <w:rFonts w:ascii="Verdana" w:hAnsi="Verdana"/>
          <w:i/>
          <w:sz w:val="20"/>
        </w:rPr>
        <w:footnoteReference w:id="18"/>
      </w:r>
      <w:r>
        <w:rPr>
          <w:rFonts w:ascii="Verdana" w:hAnsi="Verdana"/>
          <w:i/>
          <w:sz w:val="20"/>
        </w:rPr>
        <w:t xml:space="preserve"> Former Employees of the Judiciary v. Guatemala,</w:t>
      </w:r>
      <w:r>
        <w:rPr>
          <w:rStyle w:val="Refdenotaalpie"/>
          <w:rFonts w:ascii="Verdana" w:hAnsi="Verdana"/>
          <w:i/>
          <w:sz w:val="20"/>
        </w:rPr>
        <w:footnoteReference w:id="19"/>
      </w:r>
      <w:r>
        <w:rPr>
          <w:rFonts w:ascii="Verdana" w:hAnsi="Verdana"/>
          <w:i/>
          <w:sz w:val="20"/>
        </w:rPr>
        <w:t xml:space="preserve"> Palacio Urrutia v. Ecuador</w:t>
      </w:r>
      <w:r w:rsidR="00EE7231">
        <w:rPr>
          <w:rFonts w:ascii="Verdana" w:hAnsi="Verdana"/>
          <w:i/>
          <w:sz w:val="20"/>
        </w:rPr>
        <w:t>,</w:t>
      </w:r>
      <w:r>
        <w:rPr>
          <w:rStyle w:val="Refdenotaalpie"/>
          <w:rFonts w:ascii="Verdana" w:hAnsi="Verdana"/>
          <w:i/>
          <w:sz w:val="20"/>
        </w:rPr>
        <w:footnoteReference w:id="20"/>
      </w:r>
      <w:r>
        <w:rPr>
          <w:rFonts w:ascii="Verdana" w:hAnsi="Verdana"/>
          <w:sz w:val="20"/>
        </w:rPr>
        <w:t xml:space="preserve"> and </w:t>
      </w:r>
      <w:r>
        <w:rPr>
          <w:rFonts w:ascii="Verdana" w:hAnsi="Verdana"/>
          <w:i/>
          <w:sz w:val="20"/>
        </w:rPr>
        <w:t>Pavez Pavez v. Chile,</w:t>
      </w:r>
      <w:r>
        <w:rPr>
          <w:rStyle w:val="Refdenotaalpie"/>
          <w:rFonts w:ascii="Verdana" w:hAnsi="Verdana"/>
          <w:i/>
          <w:sz w:val="20"/>
        </w:rPr>
        <w:footnoteReference w:id="21"/>
      </w:r>
      <w:r>
        <w:rPr>
          <w:rFonts w:ascii="Verdana" w:hAnsi="Verdana"/>
          <w:sz w:val="20"/>
        </w:rPr>
        <w:t xml:space="preserve"> in relation to the justiciability of economic, social, cultural, and environmental rights (hereinafter "ESCER") through Article 26 of the American Convention on Human Rights (hereinafter "the Convention" or "ACHR)."   </w:t>
      </w:r>
    </w:p>
    <w:p w14:paraId="5252361A" w14:textId="7D1476B5" w:rsidR="00B23593" w:rsidRDefault="00000000">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sz w:val="20"/>
        </w:rPr>
      </w:pPr>
      <w:r>
        <w:rPr>
          <w:rFonts w:ascii="Verdana" w:hAnsi="Verdana"/>
          <w:sz w:val="20"/>
        </w:rPr>
        <w:t xml:space="preserve">On previous occasions, I have expressed the reasons why I consider that there are logical and legal inconsistencies in the </w:t>
      </w:r>
      <w:r w:rsidR="00EE7231">
        <w:rPr>
          <w:rFonts w:ascii="Verdana" w:hAnsi="Verdana"/>
          <w:sz w:val="20"/>
        </w:rPr>
        <w:t xml:space="preserve">legal opinion </w:t>
      </w:r>
      <w:r>
        <w:rPr>
          <w:rFonts w:ascii="Verdana" w:hAnsi="Verdana"/>
          <w:sz w:val="20"/>
        </w:rPr>
        <w:t xml:space="preserve">adopted by </w:t>
      </w:r>
      <w:proofErr w:type="gramStart"/>
      <w:r>
        <w:rPr>
          <w:rFonts w:ascii="Verdana" w:hAnsi="Verdana"/>
          <w:sz w:val="20"/>
        </w:rPr>
        <w:t>the majority of</w:t>
      </w:r>
      <w:proofErr w:type="gramEnd"/>
      <w:r>
        <w:rPr>
          <w:rFonts w:ascii="Verdana" w:hAnsi="Verdana"/>
          <w:sz w:val="20"/>
        </w:rPr>
        <w:t xml:space="preserve"> the Court regarding the direct and autonomous justiciability of the ESCER through Article 26 of the Convention. This position ignores the rules of interpretation of the Vienna Convention on the Rights of Treaties</w:t>
      </w:r>
      <w:r w:rsidR="00EE7231">
        <w:rPr>
          <w:rFonts w:ascii="Verdana" w:hAnsi="Verdana"/>
          <w:sz w:val="20"/>
        </w:rPr>
        <w:t>,</w:t>
      </w:r>
      <w:r>
        <w:rPr>
          <w:rStyle w:val="Refdenotaalpie"/>
        </w:rPr>
        <w:footnoteReference w:id="22"/>
      </w:r>
      <w:r>
        <w:rPr>
          <w:rFonts w:ascii="Verdana" w:hAnsi="Verdana"/>
          <w:i/>
          <w:sz w:val="20"/>
        </w:rPr>
        <w:t xml:space="preserve"> </w:t>
      </w:r>
      <w:r>
        <w:rPr>
          <w:rFonts w:ascii="Verdana" w:hAnsi="Verdana"/>
          <w:sz w:val="20"/>
        </w:rPr>
        <w:t>changes the nature of the obligation of progressivity</w:t>
      </w:r>
      <w:r w:rsidR="00EE7231">
        <w:rPr>
          <w:rFonts w:ascii="Verdana" w:hAnsi="Verdana"/>
          <w:sz w:val="20"/>
        </w:rPr>
        <w:t>,</w:t>
      </w:r>
      <w:r>
        <w:rPr>
          <w:rStyle w:val="Refdenotaalpie"/>
        </w:rPr>
        <w:footnoteReference w:id="23"/>
      </w:r>
      <w:r>
        <w:rPr>
          <w:rFonts w:ascii="Verdana" w:hAnsi="Verdana"/>
          <w:sz w:val="20"/>
        </w:rPr>
        <w:t xml:space="preserve"> ignores the will of the States expressed in the Protocol of San Salvador,</w:t>
      </w:r>
      <w:r>
        <w:rPr>
          <w:rStyle w:val="Refdenotaalpie"/>
        </w:rPr>
        <w:footnoteReference w:id="24"/>
      </w:r>
      <w:r>
        <w:rPr>
          <w:rFonts w:ascii="Verdana" w:hAnsi="Verdana"/>
          <w:sz w:val="20"/>
        </w:rPr>
        <w:t xml:space="preserve"> and undermines the legitimacy of the Court</w:t>
      </w:r>
      <w:r>
        <w:rPr>
          <w:rStyle w:val="Refdenotaalpie"/>
        </w:rPr>
        <w:footnoteReference w:id="25"/>
      </w:r>
      <w:r>
        <w:rPr>
          <w:rFonts w:ascii="Verdana" w:hAnsi="Verdana"/>
          <w:sz w:val="20"/>
        </w:rPr>
        <w:t xml:space="preserve">; just to mention a few arguments. However, my purpose on this occasion is to highlight the irrelevance of the analysis of Article 26 in the case of a case that specifically concerns public </w:t>
      </w:r>
      <w:r w:rsidR="00EE7231">
        <w:rPr>
          <w:rFonts w:ascii="Verdana" w:hAnsi="Verdana"/>
          <w:sz w:val="20"/>
        </w:rPr>
        <w:t>officials and</w:t>
      </w:r>
      <w:r>
        <w:rPr>
          <w:rFonts w:ascii="Verdana" w:hAnsi="Verdana"/>
          <w:sz w:val="20"/>
        </w:rPr>
        <w:t xml:space="preserve"> can be adequately addressed through Article 23 of the Convention. </w:t>
      </w:r>
    </w:p>
    <w:p w14:paraId="2D647EAA" w14:textId="4656FFB8" w:rsidR="00B23593" w:rsidRDefault="00000000">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sz w:val="20"/>
        </w:rPr>
      </w:pPr>
      <w:r>
        <w:rPr>
          <w:rFonts w:ascii="Verdana" w:hAnsi="Verdana"/>
          <w:sz w:val="20"/>
        </w:rPr>
        <w:t xml:space="preserve">In the case, in addition to substantiating the violations of judicial guarantees, which I fully concur with, the Court considered that there was a violation of the right of </w:t>
      </w:r>
      <w:r>
        <w:rPr>
          <w:rFonts w:ascii="Verdana" w:hAnsi="Verdana"/>
          <w:sz w:val="20"/>
        </w:rPr>
        <w:lastRenderedPageBreak/>
        <w:t xml:space="preserve">access to public service under equal conditions, as stated in Article 23(1) (c), and the right to work under Article 26 of the American Convention on Human Rights (ACHR). Making use of principle </w:t>
      </w:r>
      <w:r>
        <w:rPr>
          <w:rFonts w:ascii="Verdana" w:hAnsi="Verdana"/>
          <w:i/>
          <w:sz w:val="20"/>
        </w:rPr>
        <w:t>iura novit curia</w:t>
      </w:r>
      <w:r>
        <w:rPr>
          <w:rFonts w:ascii="Verdana" w:hAnsi="Verdana"/>
          <w:sz w:val="20"/>
        </w:rPr>
        <w:t>, the Court pointed out that the dismissal of Mr. Mina Cuero arbitrarily affected his tenure as a police officer and, as a consequence, disregarded the obligation to ensure job stability.</w:t>
      </w:r>
      <w:r>
        <w:rPr>
          <w:rStyle w:val="Refdenotaalpie"/>
          <w:rFonts w:ascii="Verdana" w:hAnsi="Verdana"/>
          <w:sz w:val="20"/>
        </w:rPr>
        <w:footnoteReference w:id="26"/>
      </w:r>
      <w:r>
        <w:rPr>
          <w:rFonts w:ascii="Verdana" w:hAnsi="Verdana"/>
          <w:sz w:val="20"/>
        </w:rPr>
        <w:t xml:space="preserve"> Furthermore, the Court stated that the right to work was violated because the necessary guarantees were not provided to ensure that the dismissal was not arbitrary and was carried out with justifiable reasons. To provide further context, as stated in "</w:t>
      </w:r>
      <w:r>
        <w:rPr>
          <w:rFonts w:ascii="Verdana" w:hAnsi="Verdana"/>
          <w:i/>
          <w:sz w:val="20"/>
        </w:rPr>
        <w:t xml:space="preserve"> [...] Case of San Miguel Sosa et al. v. Venezuela [...] the State fails to fulfill its obligation to guarantee the right to work and, consequently, job stability when it does not protect its state officials from arbitrary dismissals."</w:t>
      </w:r>
      <w:r>
        <w:rPr>
          <w:rStyle w:val="Refdenotaalpie"/>
          <w:rFonts w:ascii="Verdana" w:hAnsi="Verdana"/>
          <w:sz w:val="20"/>
        </w:rPr>
        <w:footnoteReference w:id="27"/>
      </w:r>
      <w:r>
        <w:rPr>
          <w:rFonts w:ascii="Verdana" w:hAnsi="Verdana"/>
          <w:sz w:val="20"/>
        </w:rPr>
        <w:t xml:space="preserve"> So, it is evident that it is the same factual and legal argumentation but with a different normative basis, on one hand, Article 23(1) (c), and on the other hand, Article 26 of the Convention. </w:t>
      </w:r>
    </w:p>
    <w:p w14:paraId="59988BA3" w14:textId="725EC752" w:rsidR="00B23593" w:rsidRDefault="00000000">
      <w:pPr>
        <w:pStyle w:val="Prrafodelista"/>
        <w:numPr>
          <w:ilvl w:val="0"/>
          <w:numId w:val="2"/>
        </w:numPr>
        <w:autoSpaceDE w:val="0"/>
        <w:autoSpaceDN w:val="0"/>
        <w:adjustRightInd w:val="0"/>
        <w:spacing w:before="240" w:after="120" w:line="240" w:lineRule="auto"/>
        <w:ind w:left="0" w:firstLine="0"/>
        <w:contextualSpacing w:val="0"/>
        <w:jc w:val="both"/>
        <w:rPr>
          <w:rFonts w:ascii="Verdana" w:hAnsi="Verdana"/>
          <w:sz w:val="20"/>
        </w:rPr>
      </w:pPr>
      <w:r>
        <w:rPr>
          <w:rFonts w:ascii="Verdana" w:hAnsi="Verdana"/>
          <w:sz w:val="20"/>
        </w:rPr>
        <w:t>I believe it would have been appropriate to refer exclusively to Article 23. As the judgment correctly points out, Article 23(1) (c) of the American Convention on Human Rights states that "</w:t>
      </w:r>
      <w:r>
        <w:rPr>
          <w:rFonts w:ascii="Verdana" w:hAnsi="Verdana"/>
          <w:i/>
          <w:sz w:val="20"/>
        </w:rPr>
        <w:t>1.  Every citizen shall enjoy the following rights and opportunities: [...] (c</w:t>
      </w:r>
      <w:proofErr w:type="gramStart"/>
      <w:r>
        <w:rPr>
          <w:rFonts w:ascii="Verdana" w:hAnsi="Verdana"/>
          <w:i/>
          <w:sz w:val="20"/>
        </w:rPr>
        <w:t>)  to</w:t>
      </w:r>
      <w:proofErr w:type="gramEnd"/>
      <w:r>
        <w:rPr>
          <w:rFonts w:ascii="Verdana" w:hAnsi="Verdana"/>
          <w:i/>
          <w:sz w:val="20"/>
        </w:rPr>
        <w:t xml:space="preserve"> have access, under general conditions of equality, to the public service of his country."</w:t>
      </w:r>
      <w:r>
        <w:rPr>
          <w:rFonts w:ascii="Verdana" w:hAnsi="Verdana"/>
          <w:sz w:val="20"/>
        </w:rPr>
        <w:t xml:space="preserve"> The Court is right on this occasion to include the analysis of this article and declare the violation of the right to access public service under equal conditions, because it is evident that Mr. Mira Cuero was a public official as he held a position in the National Police. Indeed, as this Court has pointed out, </w:t>
      </w:r>
      <w:r w:rsidR="00EE7231">
        <w:rPr>
          <w:rFonts w:ascii="Verdana" w:hAnsi="Verdana"/>
          <w:sz w:val="20"/>
        </w:rPr>
        <w:t xml:space="preserve">as provided in </w:t>
      </w:r>
      <w:r>
        <w:rPr>
          <w:rFonts w:ascii="Verdana" w:hAnsi="Verdana"/>
          <w:sz w:val="20"/>
        </w:rPr>
        <w:t>General Comment 25 of the United Nations Human Rights Committee,</w:t>
      </w:r>
      <w:r>
        <w:rPr>
          <w:rStyle w:val="Refdenotaalpie"/>
          <w:rFonts w:ascii="Verdana" w:hAnsi="Verdana"/>
          <w:sz w:val="20"/>
        </w:rPr>
        <w:footnoteReference w:id="28"/>
      </w:r>
      <w:r>
        <w:rPr>
          <w:rFonts w:ascii="Verdana" w:hAnsi="Verdana"/>
          <w:sz w:val="20"/>
        </w:rPr>
        <w:t xml:space="preserve"> does not only establish the right to access a public office, but also the right to do so under conditions of equality and to remain in employment. This implies the criteria and processes for appointment, promotion, suspension, and dismissal must be objective and reasonable, and must be respected and guaranteed, and that individuals must not be subject to discrimination </w:t>
      </w:r>
      <w:proofErr w:type="gramStart"/>
      <w:r>
        <w:rPr>
          <w:rFonts w:ascii="Verdana" w:hAnsi="Verdana"/>
          <w:sz w:val="20"/>
        </w:rPr>
        <w:t>in the course of</w:t>
      </w:r>
      <w:proofErr w:type="gramEnd"/>
      <w:r>
        <w:rPr>
          <w:rFonts w:ascii="Verdana" w:hAnsi="Verdana"/>
          <w:sz w:val="20"/>
        </w:rPr>
        <w:t xml:space="preserve"> such procedures.</w:t>
      </w:r>
      <w:r>
        <w:rPr>
          <w:rStyle w:val="Refdenotaalpie"/>
          <w:rFonts w:ascii="Verdana" w:hAnsi="Verdana"/>
          <w:sz w:val="20"/>
        </w:rPr>
        <w:footnoteReference w:id="29"/>
      </w:r>
      <w:r>
        <w:rPr>
          <w:rFonts w:ascii="Verdana" w:hAnsi="Verdana"/>
          <w:sz w:val="20"/>
        </w:rPr>
        <w:t xml:space="preserve"> This was precisely the breached obligation in the case, as Mr. Mina Cuero was dismissed from his position without the fulfillment of a reasonable and objective procedure.  </w:t>
      </w:r>
    </w:p>
    <w:p w14:paraId="1D47060A" w14:textId="0D5C588E" w:rsidR="00B23593" w:rsidRDefault="00000000">
      <w:pPr>
        <w:pStyle w:val="P68B1DB1-Prrafodelista4"/>
        <w:numPr>
          <w:ilvl w:val="0"/>
          <w:numId w:val="2"/>
        </w:numPr>
        <w:autoSpaceDE w:val="0"/>
        <w:autoSpaceDN w:val="0"/>
        <w:adjustRightInd w:val="0"/>
        <w:spacing w:before="240" w:after="120" w:line="240" w:lineRule="auto"/>
        <w:ind w:left="0" w:firstLine="0"/>
        <w:contextualSpacing w:val="0"/>
        <w:jc w:val="both"/>
      </w:pPr>
      <w:r>
        <w:t xml:space="preserve">The above is not merely a nominal distinction, as I have stated in other separate opinions, using Article 26 of the Convention to declare the State's liability is legally unacceptable and affects the legitimacy of the decision. Therefore, determining Ecuador's liability solely based on Article 23(1) (c) of the American Convention on Human Rights would not only have provided a more precise response to Mr. Mina Cuero's factual situation and allowed the Court to advance its case law on the scope of this right in the American Convention, but it would have also avoided affecting the effectiveness of the decision due to the inconsistencies of the direct justiciability of Article 26 of the American Convention on Human Rights. Therefore, once again, it is demonstrated that the use of this treaty provision serves the sole purpose of reaffirming a </w:t>
      </w:r>
      <w:r w:rsidR="00EE7231">
        <w:t>case law</w:t>
      </w:r>
      <w:r>
        <w:t xml:space="preserve"> approach </w:t>
      </w:r>
      <w:r w:rsidR="00EE7231">
        <w:t xml:space="preserve">to </w:t>
      </w:r>
      <w:r>
        <w:t xml:space="preserve">ESCER, regardless of whether it is pertinent or necessary to ensure justice in the specific case.  </w:t>
      </w:r>
    </w:p>
    <w:p w14:paraId="36BF805D" w14:textId="47957F06" w:rsidR="00B23593" w:rsidRDefault="00B23593">
      <w:pPr>
        <w:autoSpaceDE w:val="0"/>
        <w:autoSpaceDN w:val="0"/>
        <w:adjustRightInd w:val="0"/>
        <w:spacing w:before="240" w:after="120"/>
        <w:jc w:val="both"/>
        <w:rPr>
          <w:rFonts w:ascii="Verdana" w:hAnsi="Verdana"/>
          <w:sz w:val="20"/>
        </w:rPr>
      </w:pPr>
    </w:p>
    <w:p w14:paraId="2B7DC1C4" w14:textId="4D36D83B" w:rsidR="00B23593" w:rsidRDefault="00B23593">
      <w:pPr>
        <w:autoSpaceDE w:val="0"/>
        <w:autoSpaceDN w:val="0"/>
        <w:adjustRightInd w:val="0"/>
        <w:spacing w:before="240" w:after="120"/>
        <w:jc w:val="both"/>
        <w:rPr>
          <w:rFonts w:ascii="Verdana" w:hAnsi="Verdana"/>
          <w:sz w:val="20"/>
        </w:rPr>
      </w:pPr>
    </w:p>
    <w:p w14:paraId="382EEB86" w14:textId="50A99F02" w:rsidR="00B23593" w:rsidRDefault="00B23593">
      <w:pPr>
        <w:autoSpaceDE w:val="0"/>
        <w:autoSpaceDN w:val="0"/>
        <w:adjustRightInd w:val="0"/>
        <w:spacing w:before="240" w:after="120"/>
        <w:jc w:val="both"/>
        <w:rPr>
          <w:rFonts w:ascii="Verdana" w:hAnsi="Verdana"/>
          <w:sz w:val="20"/>
        </w:rPr>
      </w:pPr>
    </w:p>
    <w:p w14:paraId="6499CD64" w14:textId="19A39838" w:rsidR="00B23593" w:rsidRDefault="00000000">
      <w:pPr>
        <w:pStyle w:val="P68B1DB1-Prrafodelista5"/>
        <w:autoSpaceDE w:val="0"/>
        <w:autoSpaceDN w:val="0"/>
        <w:adjustRightInd w:val="0"/>
        <w:spacing w:before="80" w:after="120" w:line="276" w:lineRule="auto"/>
        <w:ind w:left="5664"/>
        <w:jc w:val="both"/>
        <w:outlineLvl w:val="0"/>
      </w:pPr>
      <w:bookmarkStart w:id="0" w:name="_Hlk121912493"/>
      <w:r>
        <w:t>Humberto Antonio Sierra Porto</w:t>
      </w:r>
    </w:p>
    <w:p w14:paraId="7B6965F1" w14:textId="77777777" w:rsidR="00B23593" w:rsidRDefault="00000000">
      <w:pPr>
        <w:pStyle w:val="P68B1DB1-Prrafodelista5"/>
        <w:autoSpaceDE w:val="0"/>
        <w:autoSpaceDN w:val="0"/>
        <w:adjustRightInd w:val="0"/>
        <w:spacing w:before="80" w:after="120" w:line="276" w:lineRule="auto"/>
        <w:ind w:left="5664"/>
        <w:jc w:val="both"/>
        <w:outlineLvl w:val="0"/>
      </w:pPr>
      <w:r>
        <w:t xml:space="preserve">                 Judge</w:t>
      </w:r>
    </w:p>
    <w:p w14:paraId="1578CEFB" w14:textId="77777777" w:rsidR="00B23593" w:rsidRDefault="00B23593">
      <w:pPr>
        <w:rPr>
          <w:rFonts w:ascii="Verdana" w:eastAsia="Times" w:hAnsi="Verdana" w:cs="Times"/>
          <w:sz w:val="20"/>
        </w:rPr>
      </w:pPr>
    </w:p>
    <w:p w14:paraId="56A9338C" w14:textId="77777777" w:rsidR="00B23593" w:rsidRDefault="00B23593">
      <w:pPr>
        <w:rPr>
          <w:rFonts w:ascii="Verdana" w:eastAsia="Times" w:hAnsi="Verdana" w:cs="Times"/>
          <w:sz w:val="20"/>
        </w:rPr>
      </w:pPr>
    </w:p>
    <w:p w14:paraId="342B5CD3" w14:textId="77777777" w:rsidR="00B23593" w:rsidRDefault="00000000">
      <w:pPr>
        <w:pStyle w:val="P68B1DB1-Normal6"/>
      </w:pPr>
      <w:r>
        <w:t>Pablo Saavedra Alessandri</w:t>
      </w:r>
    </w:p>
    <w:p w14:paraId="7E94D1C1" w14:textId="77777777" w:rsidR="00B23593" w:rsidRDefault="00000000">
      <w:pPr>
        <w:pStyle w:val="P68B1DB1-Normal6"/>
      </w:pPr>
      <w:r>
        <w:t xml:space="preserve">            Registrar</w:t>
      </w:r>
    </w:p>
    <w:p w14:paraId="2E3FE7C7" w14:textId="77777777" w:rsidR="00B23593" w:rsidRDefault="00B23593">
      <w:pPr>
        <w:autoSpaceDE w:val="0"/>
        <w:autoSpaceDN w:val="0"/>
        <w:adjustRightInd w:val="0"/>
        <w:spacing w:before="80" w:after="120" w:line="276" w:lineRule="auto"/>
        <w:jc w:val="both"/>
        <w:outlineLvl w:val="0"/>
        <w:rPr>
          <w:rFonts w:ascii="Verdana" w:hAnsi="Verdana" w:cs="Arial"/>
          <w:sz w:val="20"/>
        </w:rPr>
      </w:pPr>
    </w:p>
    <w:bookmarkEnd w:id="0"/>
    <w:p w14:paraId="6F928F8B" w14:textId="77777777" w:rsidR="00B23593" w:rsidRDefault="00B23593">
      <w:pPr>
        <w:autoSpaceDE w:val="0"/>
        <w:autoSpaceDN w:val="0"/>
        <w:adjustRightInd w:val="0"/>
        <w:spacing w:before="240" w:after="120"/>
        <w:jc w:val="both"/>
        <w:rPr>
          <w:rFonts w:ascii="Verdana" w:hAnsi="Verdana"/>
          <w:sz w:val="20"/>
        </w:rPr>
      </w:pPr>
    </w:p>
    <w:sectPr w:rsidR="00B23593">
      <w:footerReference w:type="default" r:id="rId8"/>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C7C49" w14:textId="77777777" w:rsidR="009628FA" w:rsidRDefault="009628FA">
      <w:r>
        <w:separator/>
      </w:r>
    </w:p>
  </w:endnote>
  <w:endnote w:type="continuationSeparator" w:id="0">
    <w:p w14:paraId="7AFBFFF2" w14:textId="77777777" w:rsidR="009628FA" w:rsidRDefault="00962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4784964"/>
      <w:docPartObj>
        <w:docPartGallery w:val="Page Numbers (Bottom of Page)"/>
        <w:docPartUnique/>
      </w:docPartObj>
    </w:sdtPr>
    <w:sdtContent>
      <w:p w14:paraId="1D03BC4B" w14:textId="167B6ED3" w:rsidR="00B23593" w:rsidRDefault="00000000">
        <w:pPr>
          <w:pStyle w:val="Piedepgina"/>
          <w:jc w:val="right"/>
        </w:pPr>
        <w:r>
          <w:fldChar w:fldCharType="begin"/>
        </w:r>
        <w:r>
          <w:instrText>PAGE   \* MERGEFORMAT</w:instrText>
        </w:r>
        <w:r>
          <w:fldChar w:fldCharType="separate"/>
        </w:r>
        <w:r>
          <w:t>7</w:t>
        </w:r>
        <w:r>
          <w:fldChar w:fldCharType="end"/>
        </w:r>
      </w:p>
    </w:sdtContent>
  </w:sdt>
  <w:p w14:paraId="7F5BDB3A" w14:textId="77777777" w:rsidR="00B23593" w:rsidRDefault="00B235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320AA5" w14:textId="77777777" w:rsidR="009628FA" w:rsidRDefault="009628FA">
      <w:r>
        <w:separator/>
      </w:r>
    </w:p>
  </w:footnote>
  <w:footnote w:type="continuationSeparator" w:id="0">
    <w:p w14:paraId="0FF951BE" w14:textId="77777777" w:rsidR="009628FA" w:rsidRDefault="009628FA">
      <w:r>
        <w:continuationSeparator/>
      </w:r>
    </w:p>
  </w:footnote>
  <w:footnote w:id="1">
    <w:p w14:paraId="351F1066" w14:textId="77777777" w:rsidR="00B23593" w:rsidRDefault="00000000">
      <w:pPr>
        <w:pStyle w:val="Textonotapie"/>
        <w:jc w:val="both"/>
        <w:rPr>
          <w:rFonts w:ascii="Verdana" w:hAnsi="Verdana"/>
          <w:sz w:val="16"/>
        </w:rPr>
      </w:pPr>
      <w:r>
        <w:rPr>
          <w:rStyle w:val="Refdenotaalpie"/>
          <w:rFonts w:ascii="Verdana" w:hAnsi="Verdana"/>
          <w:sz w:val="16"/>
        </w:rPr>
        <w:footnoteRef/>
      </w:r>
      <w:r w:rsidRPr="00EE7231">
        <w:rPr>
          <w:rFonts w:ascii="Verdana" w:hAnsi="Verdana"/>
          <w:sz w:val="16"/>
          <w:lang w:val="es-EC"/>
        </w:rPr>
        <w:t xml:space="preserve"> </w:t>
      </w:r>
      <w:r w:rsidRPr="00EE7231">
        <w:rPr>
          <w:rFonts w:ascii="Verdana" w:hAnsi="Verdana"/>
          <w:sz w:val="16"/>
          <w:lang w:val="es-EC"/>
        </w:rPr>
        <w:tab/>
      </w:r>
      <w:r w:rsidRPr="00EE7231">
        <w:rPr>
          <w:rFonts w:ascii="Verdana" w:hAnsi="Verdana"/>
          <w:i/>
          <w:sz w:val="16"/>
          <w:lang w:val="es-EC"/>
        </w:rPr>
        <w:t xml:space="preserve">Case of Lagos del Campo v. Peru. </w:t>
      </w:r>
      <w:r>
        <w:rPr>
          <w:rFonts w:ascii="Verdana" w:hAnsi="Verdana"/>
          <w:i/>
          <w:sz w:val="16"/>
        </w:rPr>
        <w:t>Preliminary objections, Merits, Reparations, and Costs.</w:t>
      </w:r>
      <w:r>
        <w:rPr>
          <w:rFonts w:ascii="Verdana" w:hAnsi="Verdana"/>
          <w:sz w:val="16"/>
        </w:rPr>
        <w:t xml:space="preserve"> Judgment of August 31, 2017. Series C No. 340. Partially dissenting opinion of Judge Humberto Antonio Sierra Porto. </w:t>
      </w:r>
    </w:p>
  </w:footnote>
  <w:footnote w:id="2">
    <w:p w14:paraId="03C4F61F"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Dismissed Employees of Petroperú et al. v. Peru. Preliminary objections, Merits, Reparations, and Costs.</w:t>
      </w:r>
      <w:r>
        <w:rPr>
          <w:rFonts w:ascii="Verdana" w:hAnsi="Verdana"/>
          <w:sz w:val="16"/>
        </w:rPr>
        <w:t xml:space="preserve"> Judgment of November 23, 2017. Series C No. 344. Partially dissenting opinion of Judge Humberto Antonio Sierra Porto.</w:t>
      </w:r>
    </w:p>
  </w:footnote>
  <w:footnote w:id="3">
    <w:p w14:paraId="3622A74E"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San Miguel Sosa et al. v. Venezuela. Merits, Reparations, and Costs.</w:t>
      </w:r>
      <w:r>
        <w:rPr>
          <w:rFonts w:ascii="Verdana" w:hAnsi="Verdana"/>
          <w:sz w:val="16"/>
        </w:rPr>
        <w:t xml:space="preserve"> Judgment of February 8, 2018. Series C No. 348. Partially dissenting opinion of Judge Humberto Antonio Sierra Porto.</w:t>
      </w:r>
    </w:p>
  </w:footnote>
  <w:footnote w:id="4">
    <w:p w14:paraId="6A791CF9" w14:textId="4EAA966E" w:rsidR="00B23593" w:rsidRDefault="00000000">
      <w:pPr>
        <w:pStyle w:val="Textonotapie"/>
        <w:jc w:val="both"/>
        <w:rPr>
          <w:rFonts w:ascii="Verdana" w:hAnsi="Verdana"/>
          <w:sz w:val="16"/>
        </w:rPr>
      </w:pPr>
      <w:r>
        <w:rPr>
          <w:rStyle w:val="Refdenotaalpie"/>
          <w:rFonts w:ascii="Verdana" w:hAnsi="Verdana"/>
          <w:sz w:val="16"/>
        </w:rPr>
        <w:footnoteRef/>
      </w:r>
      <w:r w:rsidRPr="00EE7231">
        <w:rPr>
          <w:rFonts w:ascii="Verdana" w:hAnsi="Verdana"/>
          <w:sz w:val="16"/>
          <w:lang w:val="es-EC"/>
        </w:rPr>
        <w:t xml:space="preserve"> </w:t>
      </w:r>
      <w:r w:rsidRPr="00EE7231">
        <w:rPr>
          <w:rFonts w:ascii="Verdana" w:hAnsi="Verdana"/>
          <w:sz w:val="16"/>
          <w:lang w:val="es-EC"/>
        </w:rPr>
        <w:tab/>
        <w:t xml:space="preserve"> </w:t>
      </w:r>
      <w:r w:rsidR="00EE7231">
        <w:rPr>
          <w:rFonts w:ascii="Verdana" w:hAnsi="Verdana"/>
          <w:i/>
          <w:sz w:val="16"/>
          <w:lang w:val="es-EC"/>
        </w:rPr>
        <w:t>Case of</w:t>
      </w:r>
      <w:r w:rsidRPr="00EE7231">
        <w:rPr>
          <w:rFonts w:ascii="Verdana" w:hAnsi="Verdana"/>
          <w:i/>
          <w:sz w:val="16"/>
          <w:lang w:val="es-EC"/>
        </w:rPr>
        <w:t xml:space="preserve"> Muelle Flores v. Peru. </w:t>
      </w:r>
      <w:r>
        <w:rPr>
          <w:rFonts w:ascii="Verdana" w:hAnsi="Verdana"/>
          <w:i/>
          <w:sz w:val="16"/>
        </w:rPr>
        <w:t>Preliminary objections, Merits, Reparations, and Costs.</w:t>
      </w:r>
      <w:r>
        <w:rPr>
          <w:rFonts w:ascii="Verdana" w:hAnsi="Verdana"/>
          <w:sz w:val="16"/>
        </w:rPr>
        <w:t xml:space="preserve"> Judgment of March 6, 2019. Series C No. 375. Partially dissenting opinion of Judge Humberto Antonio Sierra Porto.</w:t>
      </w:r>
    </w:p>
  </w:footnote>
  <w:footnote w:id="5">
    <w:p w14:paraId="43595ACB"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Hernández v. Argentina. Preliminary objections, Merits, Reparations, and Costs.</w:t>
      </w:r>
      <w:r>
        <w:rPr>
          <w:rFonts w:ascii="Verdana" w:hAnsi="Verdana"/>
          <w:sz w:val="16"/>
        </w:rPr>
        <w:t xml:space="preserve"> Judgment of November 22, 2019. Series C No. 395. Partially dissenting opinion of Judge Humberto Antonio Sierra Porto.</w:t>
      </w:r>
    </w:p>
  </w:footnote>
  <w:footnote w:id="6">
    <w:p w14:paraId="55FCEB85"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the National Association of Discharged and Retired Employees of the National Tax Administration Superintendence (ANCEJUB-SUNAT) v. Peru.</w:t>
      </w:r>
      <w:r>
        <w:rPr>
          <w:rFonts w:ascii="Verdana" w:hAnsi="Verdana"/>
          <w:sz w:val="16"/>
        </w:rPr>
        <w:t xml:space="preserve"> Preliminary objections, Merits, Reparations, and Costs. Judgment of November 21, 2019. Series C No. 39. Partially dissenting opinion of Judge Humberto Antonio Sierra Porto.</w:t>
      </w:r>
    </w:p>
  </w:footnote>
  <w:footnote w:id="7">
    <w:p w14:paraId="62E43BFC"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Indigenous Communities of the Lhaka Honhat Association (Our Land) v. Argentina.</w:t>
      </w:r>
      <w:r>
        <w:rPr>
          <w:rFonts w:ascii="Verdana" w:hAnsi="Verdana"/>
          <w:sz w:val="16"/>
        </w:rPr>
        <w:t xml:space="preserve"> </w:t>
      </w:r>
      <w:r>
        <w:rPr>
          <w:rFonts w:ascii="Verdana" w:hAnsi="Verdana"/>
          <w:i/>
          <w:sz w:val="16"/>
        </w:rPr>
        <w:t>Merits, Reparations, and Costs.</w:t>
      </w:r>
      <w:r>
        <w:rPr>
          <w:rFonts w:ascii="Verdana" w:hAnsi="Verdana"/>
          <w:sz w:val="16"/>
        </w:rPr>
        <w:t xml:space="preserve"> Judgment of February 6, 2020. Series C No. 400. Partially dissenting opinion of Judge Humberto Antonio Sierra Porto.</w:t>
      </w:r>
    </w:p>
  </w:footnote>
  <w:footnote w:id="8">
    <w:p w14:paraId="68DE1740"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the Employees of the Fireworks Factory in Santo Antônio de Jesus and their families v. Brazil.</w:t>
      </w:r>
      <w:r>
        <w:rPr>
          <w:rFonts w:ascii="Verdana" w:hAnsi="Verdana"/>
          <w:sz w:val="16"/>
        </w:rPr>
        <w:t xml:space="preserve"> </w:t>
      </w:r>
      <w:r>
        <w:rPr>
          <w:rFonts w:ascii="Verdana" w:hAnsi="Verdana"/>
          <w:i/>
          <w:sz w:val="16"/>
        </w:rPr>
        <w:t>Preliminary objections, Merits, Reparations, and Costs.</w:t>
      </w:r>
      <w:r>
        <w:rPr>
          <w:rFonts w:ascii="Verdana" w:hAnsi="Verdana"/>
          <w:sz w:val="16"/>
        </w:rPr>
        <w:t xml:space="preserve"> Judgment of July 15, 2020. Series C No. 407. Partially dissenting opinion of Judge Humberto Antonio Sierra Porto.</w:t>
      </w:r>
    </w:p>
  </w:footnote>
  <w:footnote w:id="9">
    <w:p w14:paraId="2B2ED0E3"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Casa Nina v. Peru. Preliminary objections, Merits, Reparations, and Costs.</w:t>
      </w:r>
      <w:r>
        <w:rPr>
          <w:rFonts w:ascii="Verdana" w:hAnsi="Verdana"/>
          <w:sz w:val="16"/>
        </w:rPr>
        <w:t xml:space="preserve"> Judgment of November 24, 2020. Series C No. 419. Concurrent and partially dissenting opinion of Judge Humberto Antonio Sierra Porto.</w:t>
      </w:r>
    </w:p>
  </w:footnote>
  <w:footnote w:id="10">
    <w:p w14:paraId="3E1057C0"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Guachalá Chimbo et al. v. Ecuador. Merits, Reparations, and Costs.</w:t>
      </w:r>
      <w:r>
        <w:rPr>
          <w:rFonts w:ascii="Verdana" w:hAnsi="Verdana"/>
          <w:sz w:val="16"/>
        </w:rPr>
        <w:t xml:space="preserve"> Judgment of March 26, 2021. Series C No. 423. Concurrent and partially dissenting opinion of Judge Humberto Antonio Sierra Porto.</w:t>
      </w:r>
    </w:p>
  </w:footnote>
  <w:footnote w:id="11">
    <w:p w14:paraId="14033EF0"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the National Federation of Maritime and Port Workers (FEMAPOR) v. Peru. Preliminary objections, Merits, and Reparations.</w:t>
      </w:r>
      <w:r>
        <w:rPr>
          <w:rFonts w:ascii="Verdana" w:hAnsi="Verdana"/>
          <w:sz w:val="16"/>
        </w:rPr>
        <w:t xml:space="preserve"> Judgment of February 1, 2022. Series C No. 448. Partially dissenting opinion of Judge Humberto Antonio Sierra Porto.</w:t>
      </w:r>
    </w:p>
  </w:footnote>
  <w:footnote w:id="12">
    <w:p w14:paraId="54AF5A7F" w14:textId="783578F4"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Guevara Díaz v. Costa Rica. Merits, Reparations, and Costs.</w:t>
      </w:r>
      <w:r>
        <w:rPr>
          <w:rFonts w:ascii="Verdana" w:hAnsi="Verdana"/>
          <w:sz w:val="16"/>
        </w:rPr>
        <w:t xml:space="preserve"> Judgment of June 22, 2022. Series C No. 453. Concurrent and partially dissenting opinion of Judge Humberto Antonio Sierra Porto.</w:t>
      </w:r>
    </w:p>
  </w:footnote>
  <w:footnote w:id="13">
    <w:p w14:paraId="5B923D06" w14:textId="77777777" w:rsidR="00B23593" w:rsidRDefault="00000000">
      <w:pPr>
        <w:pStyle w:val="Textonotapie"/>
        <w:jc w:val="both"/>
        <w:rPr>
          <w:rFonts w:ascii="Verdana" w:hAnsi="Verdana"/>
          <w:sz w:val="16"/>
        </w:rPr>
      </w:pPr>
      <w:r>
        <w:rPr>
          <w:rStyle w:val="Refdenotaalpie"/>
          <w:rFonts w:ascii="Verdana" w:hAnsi="Verdana"/>
          <w:sz w:val="16"/>
        </w:rPr>
        <w:footnoteRef/>
      </w:r>
      <w:r w:rsidRPr="00EE7231">
        <w:rPr>
          <w:rFonts w:ascii="Verdana" w:hAnsi="Verdana"/>
          <w:sz w:val="16"/>
          <w:lang w:val="es-EC"/>
        </w:rPr>
        <w:t xml:space="preserve"> </w:t>
      </w:r>
      <w:r w:rsidRPr="00EE7231">
        <w:rPr>
          <w:rFonts w:ascii="Verdana" w:hAnsi="Verdana"/>
          <w:sz w:val="16"/>
          <w:lang w:val="es-EC"/>
        </w:rPr>
        <w:tab/>
      </w:r>
      <w:r w:rsidRPr="00EE7231">
        <w:rPr>
          <w:rFonts w:ascii="Verdana" w:hAnsi="Verdana"/>
          <w:i/>
          <w:sz w:val="16"/>
          <w:lang w:val="es-EC"/>
        </w:rPr>
        <w:t xml:space="preserve">Case of Gonzales Lluy et al. v. Ecuador. </w:t>
      </w:r>
      <w:r>
        <w:rPr>
          <w:rFonts w:ascii="Verdana" w:hAnsi="Verdana"/>
          <w:i/>
          <w:sz w:val="16"/>
        </w:rPr>
        <w:t>Preliminary objections, Merits, Reparations, and Costs.</w:t>
      </w:r>
      <w:r>
        <w:rPr>
          <w:rFonts w:ascii="Verdana" w:hAnsi="Verdana"/>
          <w:sz w:val="16"/>
        </w:rPr>
        <w:t xml:space="preserve"> Judgment of September 1, 2015. Series C No. 298. Concurring opinion of Judge Humberto Antonio Sierra Porto. </w:t>
      </w:r>
    </w:p>
  </w:footnote>
  <w:footnote w:id="14">
    <w:p w14:paraId="143C0618"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Poblete Vilches et al. v. Chile. Merits, Reparations, and Costs.</w:t>
      </w:r>
      <w:r>
        <w:rPr>
          <w:rFonts w:ascii="Verdana" w:hAnsi="Verdana"/>
          <w:sz w:val="16"/>
        </w:rPr>
        <w:t xml:space="preserve"> Judgment of March 8, 2018. Series C No. 349. Concurring opinion of Judge Humberto Antonio Sierra Porto.</w:t>
      </w:r>
    </w:p>
  </w:footnote>
  <w:footnote w:id="15">
    <w:p w14:paraId="5DC2844F"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 xml:space="preserve">Case of Cuscul Pivaral et al. v. Guatemala. Preliminary objections, Merits, Reparations, and Costs. </w:t>
      </w:r>
      <w:r>
        <w:rPr>
          <w:rFonts w:ascii="Verdana" w:hAnsi="Verdana"/>
          <w:sz w:val="16"/>
        </w:rPr>
        <w:t>Judgment of August 23, 2018. Series C No. 359. Concurring opinion of Judge Humberto Antonio Sierra Porto.</w:t>
      </w:r>
    </w:p>
  </w:footnote>
  <w:footnote w:id="16">
    <w:p w14:paraId="0A5AB061"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the Buzos Miskito (Lemoth Morris et al.) v. Honduras.</w:t>
      </w:r>
      <w:r>
        <w:rPr>
          <w:rFonts w:ascii="Verdana" w:hAnsi="Verdana"/>
          <w:sz w:val="16"/>
        </w:rPr>
        <w:t xml:space="preserve"> Judgment of August 31, 2021. Series C No. 432. Concurrent opinion </w:t>
      </w:r>
      <w:r>
        <w:rPr>
          <w:rStyle w:val="Textoennegrita"/>
          <w:rFonts w:ascii="Verdana" w:hAnsi="Verdana"/>
          <w:b w:val="0"/>
          <w:sz w:val="16"/>
        </w:rPr>
        <w:t>of Judge Humberto Antonio Sierra Porto.</w:t>
      </w:r>
    </w:p>
  </w:footnote>
  <w:footnote w:id="17">
    <w:p w14:paraId="542D3F5F" w14:textId="77777777" w:rsidR="00B23593" w:rsidRDefault="00000000">
      <w:pPr>
        <w:pStyle w:val="Textonotapie"/>
        <w:spacing w:after="120"/>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Vera Rojas et al. v. Chile. Preliminary objections, Merits, Reparations, and Costs.</w:t>
      </w:r>
      <w:r>
        <w:rPr>
          <w:rFonts w:ascii="Verdana" w:hAnsi="Verdana"/>
          <w:sz w:val="16"/>
        </w:rPr>
        <w:t xml:space="preserve"> Judgment of September 1, 2021. Series C No. Concurrent opinion </w:t>
      </w:r>
      <w:r>
        <w:rPr>
          <w:rStyle w:val="Textoennegrita"/>
          <w:rFonts w:ascii="Verdana" w:hAnsi="Verdana"/>
          <w:b w:val="0"/>
          <w:sz w:val="16"/>
        </w:rPr>
        <w:t>of Judge Humberto Antonio Sierra Porto.</w:t>
      </w:r>
    </w:p>
  </w:footnote>
  <w:footnote w:id="18">
    <w:p w14:paraId="66E4F9F3" w14:textId="77777777" w:rsidR="00B23593" w:rsidRDefault="00000000">
      <w:pPr>
        <w:pStyle w:val="Textonotapie"/>
        <w:spacing w:after="120"/>
        <w:jc w:val="both"/>
        <w:rPr>
          <w:rFonts w:ascii="Verdana" w:hAnsi="Verdana"/>
          <w:sz w:val="16"/>
        </w:rPr>
      </w:pPr>
      <w:r>
        <w:rPr>
          <w:rStyle w:val="Refdenotaalpie"/>
          <w:rFonts w:ascii="Verdana" w:hAnsi="Verdana"/>
          <w:sz w:val="16"/>
        </w:rPr>
        <w:footnoteRef/>
      </w:r>
      <w:r w:rsidRPr="00EE7231">
        <w:rPr>
          <w:rFonts w:ascii="Verdana" w:hAnsi="Verdana"/>
          <w:sz w:val="16"/>
          <w:lang w:val="es-EC"/>
        </w:rPr>
        <w:t xml:space="preserve"> </w:t>
      </w:r>
      <w:r w:rsidRPr="00EE7231">
        <w:rPr>
          <w:rFonts w:ascii="Verdana" w:hAnsi="Verdana"/>
          <w:sz w:val="16"/>
          <w:lang w:val="es-EC"/>
        </w:rPr>
        <w:tab/>
      </w:r>
      <w:r w:rsidRPr="00EE7231">
        <w:rPr>
          <w:rFonts w:ascii="Verdana" w:hAnsi="Verdana"/>
          <w:i/>
          <w:sz w:val="16"/>
          <w:lang w:val="es-EC"/>
        </w:rPr>
        <w:t xml:space="preserve">Case of Manuela et al. v. El Salvador. </w:t>
      </w:r>
      <w:r>
        <w:rPr>
          <w:rFonts w:ascii="Verdana" w:hAnsi="Verdana"/>
          <w:i/>
          <w:sz w:val="16"/>
        </w:rPr>
        <w:t xml:space="preserve">Preliminary objections, Merits, Reparations, and Costs. </w:t>
      </w:r>
      <w:r>
        <w:rPr>
          <w:rFonts w:ascii="Verdana" w:hAnsi="Verdana"/>
          <w:sz w:val="16"/>
        </w:rPr>
        <w:t xml:space="preserve">Judgment of November 2, 2021. Series C No. 441. Concurrent opinion </w:t>
      </w:r>
      <w:r>
        <w:rPr>
          <w:rStyle w:val="Textoennegrita"/>
          <w:rFonts w:ascii="Verdana" w:hAnsi="Verdana"/>
          <w:b w:val="0"/>
          <w:sz w:val="16"/>
        </w:rPr>
        <w:t>of Judge Humberto Antonio Sierra Porto.</w:t>
      </w:r>
    </w:p>
  </w:footnote>
  <w:footnote w:id="19">
    <w:p w14:paraId="7955C254"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the Former Employees of the Judiciary v. Guatemala. Preliminary objections, Merits, and Reparations.</w:t>
      </w:r>
      <w:r>
        <w:rPr>
          <w:rFonts w:ascii="Verdana" w:hAnsi="Verdana"/>
          <w:sz w:val="16"/>
        </w:rPr>
        <w:t xml:space="preserve"> Judgment of November 17, 2021. Series C No. 445. Concurrent opinion </w:t>
      </w:r>
      <w:r>
        <w:rPr>
          <w:rStyle w:val="Textoennegrita"/>
          <w:rFonts w:ascii="Verdana" w:hAnsi="Verdana"/>
          <w:b w:val="0"/>
          <w:sz w:val="16"/>
        </w:rPr>
        <w:t>of Judge Humberto Antonio Sierra Porto.</w:t>
      </w:r>
    </w:p>
  </w:footnote>
  <w:footnote w:id="20">
    <w:p w14:paraId="6A0D15A9" w14:textId="77777777" w:rsidR="00B23593" w:rsidRDefault="00000000">
      <w:pPr>
        <w:pStyle w:val="Textonotapie"/>
        <w:jc w:val="both"/>
        <w:rPr>
          <w:rFonts w:ascii="Verdana" w:hAnsi="Verdana"/>
          <w:sz w:val="16"/>
        </w:rPr>
      </w:pPr>
      <w:r>
        <w:rPr>
          <w:rStyle w:val="Refdenotaalpie"/>
          <w:rFonts w:ascii="Verdana" w:hAnsi="Verdana"/>
          <w:sz w:val="16"/>
        </w:rPr>
        <w:footnoteRef/>
      </w:r>
      <w:r w:rsidRPr="00EE7231">
        <w:rPr>
          <w:rFonts w:ascii="Verdana" w:hAnsi="Verdana"/>
          <w:sz w:val="16"/>
          <w:lang w:val="es-EC"/>
        </w:rPr>
        <w:t xml:space="preserve"> </w:t>
      </w:r>
      <w:r w:rsidRPr="00EE7231">
        <w:rPr>
          <w:rFonts w:ascii="Verdana" w:hAnsi="Verdana"/>
          <w:sz w:val="16"/>
          <w:lang w:val="es-EC"/>
        </w:rPr>
        <w:tab/>
      </w:r>
      <w:r w:rsidRPr="00EE7231">
        <w:rPr>
          <w:rFonts w:ascii="Verdana" w:hAnsi="Verdana"/>
          <w:i/>
          <w:sz w:val="16"/>
          <w:lang w:val="es-EC"/>
        </w:rPr>
        <w:t xml:space="preserve">Case of Palacio Urrutia et al. v. Ecuador. </w:t>
      </w:r>
      <w:r>
        <w:rPr>
          <w:rFonts w:ascii="Verdana" w:hAnsi="Verdana"/>
          <w:i/>
          <w:sz w:val="16"/>
        </w:rPr>
        <w:t>Merits, Reparations, and Costs.</w:t>
      </w:r>
      <w:r>
        <w:rPr>
          <w:rFonts w:ascii="Verdana" w:hAnsi="Verdana"/>
          <w:sz w:val="16"/>
        </w:rPr>
        <w:t xml:space="preserve"> Judgment of November 24, 2021. Series C No. 446. Concurring opinion of Judge Humberto Antonio Sierra Porto.</w:t>
      </w:r>
    </w:p>
  </w:footnote>
  <w:footnote w:id="21">
    <w:p w14:paraId="1304EC0F" w14:textId="500C9C9C"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sidR="00EE7231">
        <w:rPr>
          <w:rFonts w:ascii="Verdana" w:hAnsi="Verdana"/>
          <w:i/>
          <w:sz w:val="16"/>
        </w:rPr>
        <w:t>Case of</w:t>
      </w:r>
      <w:r>
        <w:rPr>
          <w:rFonts w:ascii="Verdana" w:hAnsi="Verdana"/>
          <w:i/>
          <w:sz w:val="16"/>
        </w:rPr>
        <w:t xml:space="preserve"> Pavez Pavez vs. Chile. Merits, Reparations, and Costs.</w:t>
      </w:r>
      <w:r>
        <w:rPr>
          <w:rFonts w:ascii="Verdana" w:hAnsi="Verdana"/>
          <w:sz w:val="16"/>
        </w:rPr>
        <w:t xml:space="preserve"> Judgment of February 4, 2022. Series C No. 449. Concurring opinion of Judge Humberto Antonio Sierra Porto.</w:t>
      </w:r>
    </w:p>
  </w:footnote>
  <w:footnote w:id="22">
    <w:p w14:paraId="44074E31"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w:t>
      </w:r>
      <w:r>
        <w:rPr>
          <w:rFonts w:ascii="Verdana" w:hAnsi="Verdana"/>
          <w:sz w:val="16"/>
        </w:rPr>
        <w:t xml:space="preserve"> </w:t>
      </w:r>
      <w:r>
        <w:rPr>
          <w:rFonts w:ascii="Verdana" w:hAnsi="Verdana"/>
          <w:i/>
          <w:sz w:val="16"/>
        </w:rPr>
        <w:t>Case of Muelle Flores v. Peru. Preliminary objections, Merits, Reparations, and Costs.</w:t>
      </w:r>
      <w:r>
        <w:rPr>
          <w:rFonts w:ascii="Verdana" w:hAnsi="Verdana"/>
          <w:sz w:val="16"/>
        </w:rPr>
        <w:t xml:space="preserve"> Judgment of March 6, 2019. Series C No. 375. Partially dissenting opinion of Judge Humberto Antonio Sierra Porto.</w:t>
      </w:r>
    </w:p>
  </w:footnote>
  <w:footnote w:id="23">
    <w:p w14:paraId="674F981F"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w:t>
      </w:r>
      <w:r>
        <w:rPr>
          <w:rFonts w:ascii="Verdana" w:hAnsi="Verdana"/>
          <w:sz w:val="16"/>
        </w:rPr>
        <w:t xml:space="preserve"> </w:t>
      </w:r>
      <w:r>
        <w:rPr>
          <w:rFonts w:ascii="Verdana" w:hAnsi="Verdana"/>
          <w:i/>
          <w:sz w:val="16"/>
        </w:rPr>
        <w:t>Case of Cuscul Pivaral et al. v. Guatemala. Preliminary objections, Merits, Reparations, and Costs.</w:t>
      </w:r>
      <w:r>
        <w:rPr>
          <w:rFonts w:ascii="Verdana" w:hAnsi="Verdana"/>
          <w:sz w:val="16"/>
        </w:rPr>
        <w:t xml:space="preserve"> Judgment of August 23, 2018. Series C No. 359. Concurring opinion of Judge Humberto Antonio Sierra Porto.</w:t>
      </w:r>
    </w:p>
  </w:footnote>
  <w:footnote w:id="24">
    <w:p w14:paraId="738BD3CC"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w:t>
      </w:r>
      <w:r>
        <w:rPr>
          <w:rFonts w:ascii="Verdana" w:hAnsi="Verdana"/>
          <w:sz w:val="16"/>
        </w:rPr>
        <w:t xml:space="preserve"> </w:t>
      </w:r>
      <w:r>
        <w:rPr>
          <w:rFonts w:ascii="Verdana" w:hAnsi="Verdana"/>
          <w:i/>
          <w:sz w:val="16"/>
        </w:rPr>
        <w:t>Case of Poblete Vilches et al. v. Chile. Merits, Reparations, and Costs.</w:t>
      </w:r>
      <w:r>
        <w:rPr>
          <w:rFonts w:ascii="Verdana" w:hAnsi="Verdana"/>
          <w:sz w:val="16"/>
        </w:rPr>
        <w:t xml:space="preserve"> Judgment of March 8, 2018. Series C No. 349. Concurring opinion of Judge Humberto Antonio Sierra Porto.</w:t>
      </w:r>
    </w:p>
  </w:footnote>
  <w:footnote w:id="25">
    <w:p w14:paraId="56492096"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w:t>
      </w:r>
      <w:r>
        <w:rPr>
          <w:rFonts w:ascii="Verdana" w:hAnsi="Verdana"/>
          <w:sz w:val="16"/>
        </w:rPr>
        <w:t xml:space="preserve"> </w:t>
      </w:r>
      <w:r>
        <w:rPr>
          <w:rFonts w:ascii="Verdana" w:hAnsi="Verdana"/>
          <w:i/>
          <w:sz w:val="16"/>
        </w:rPr>
        <w:t>Case of Dismissed Employees of Petroperú et al. v. Peru.</w:t>
      </w:r>
      <w:r>
        <w:rPr>
          <w:rFonts w:ascii="Verdana" w:hAnsi="Verdana"/>
          <w:sz w:val="16"/>
        </w:rPr>
        <w:t xml:space="preserve"> Preliminary objections, Merits, Reparations, and Costs. Judgment of November 23, 2017. Series C No. 344. Partially dissenting opinion of Judge Humberto Antonio Sierra Porto.</w:t>
      </w:r>
    </w:p>
  </w:footnote>
  <w:footnote w:id="26">
    <w:p w14:paraId="68CED257" w14:textId="1844F0A5" w:rsidR="00B23593" w:rsidRDefault="00000000">
      <w:pPr>
        <w:pStyle w:val="Textonotapie"/>
        <w:jc w:val="both"/>
        <w:rPr>
          <w:rFonts w:ascii="Verdana" w:hAnsi="Verdana"/>
          <w:sz w:val="16"/>
        </w:rPr>
      </w:pPr>
      <w:r>
        <w:rPr>
          <w:rStyle w:val="Refdenotaalpie"/>
          <w:rFonts w:ascii="Verdana" w:hAnsi="Verdana"/>
          <w:sz w:val="16"/>
        </w:rPr>
        <w:footnoteRef/>
      </w:r>
      <w:r w:rsidRPr="00EE7231">
        <w:rPr>
          <w:rFonts w:ascii="Verdana" w:hAnsi="Verdana"/>
          <w:sz w:val="16"/>
          <w:lang w:val="es-EC"/>
        </w:rPr>
        <w:t xml:space="preserve"> </w:t>
      </w:r>
      <w:r w:rsidRPr="00EE7231">
        <w:rPr>
          <w:rFonts w:ascii="Verdana" w:hAnsi="Verdana"/>
          <w:sz w:val="16"/>
          <w:lang w:val="es-EC"/>
        </w:rPr>
        <w:tab/>
      </w:r>
      <w:r w:rsidRPr="00EE7231">
        <w:rPr>
          <w:rFonts w:ascii="Verdana" w:hAnsi="Verdana"/>
          <w:i/>
          <w:sz w:val="16"/>
          <w:lang w:val="es-EC"/>
        </w:rPr>
        <w:t>Case of Mina Cuervo v. Ecuador.</w:t>
      </w:r>
      <w:r w:rsidRPr="00EE7231">
        <w:rPr>
          <w:rFonts w:ascii="Verdana" w:hAnsi="Verdana"/>
          <w:sz w:val="16"/>
          <w:lang w:val="es-EC"/>
        </w:rPr>
        <w:t xml:space="preserve"> </w:t>
      </w:r>
      <w:r>
        <w:rPr>
          <w:rFonts w:ascii="Verdana" w:hAnsi="Verdana"/>
          <w:i/>
          <w:sz w:val="16"/>
        </w:rPr>
        <w:t>Preliminary objections, Merits, Reparations, and Costs.</w:t>
      </w:r>
      <w:r>
        <w:rPr>
          <w:rFonts w:ascii="Verdana" w:hAnsi="Verdana"/>
          <w:sz w:val="16"/>
        </w:rPr>
        <w:t xml:space="preserve"> Judgment of August 5, 2008. Judgment of September 7, 2022, para. 110. </w:t>
      </w:r>
    </w:p>
  </w:footnote>
  <w:footnote w:id="27">
    <w:p w14:paraId="2D6AA658" w14:textId="184FE7CB"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Case of Mina Cuervo v. Ecuador.</w:t>
      </w:r>
      <w:r>
        <w:rPr>
          <w:rFonts w:ascii="Verdana" w:hAnsi="Verdana"/>
          <w:sz w:val="16"/>
        </w:rPr>
        <w:t xml:space="preserve"> </w:t>
      </w:r>
      <w:r>
        <w:rPr>
          <w:rFonts w:ascii="Verdana" w:hAnsi="Verdana"/>
          <w:i/>
          <w:sz w:val="16"/>
        </w:rPr>
        <w:t>Preliminary objections, Merits, Reparations, and Costs.</w:t>
      </w:r>
      <w:r>
        <w:rPr>
          <w:rFonts w:ascii="Verdana" w:hAnsi="Verdana"/>
          <w:sz w:val="16"/>
        </w:rPr>
        <w:t xml:space="preserve"> Judgment of August 5, 2008. Judgment of September 7, 2022, para. 134. </w:t>
      </w:r>
    </w:p>
  </w:footnote>
  <w:footnote w:id="28">
    <w:p w14:paraId="3577E7CB"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w:t>
      </w:r>
      <w:r>
        <w:rPr>
          <w:rFonts w:ascii="Verdana" w:hAnsi="Verdana"/>
          <w:sz w:val="16"/>
        </w:rPr>
        <w:t xml:space="preserve">  United Nations. Human Rights Committee. General Comment No. 25, Article 25: The Right to Participate in Public Affairs and Voting Right, CCPR/C/21/Rev. 1/Add. 7, July 12, 1996, para. 23.</w:t>
      </w:r>
    </w:p>
  </w:footnote>
  <w:footnote w:id="29">
    <w:p w14:paraId="54042C03" w14:textId="77777777" w:rsidR="00B23593" w:rsidRDefault="00000000">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Cfr Case of Apitz Barbera et al. (“First Court of Administrative Disputes”) v. Venezuela. Preliminary objections, Merits, Reparations, and Costs.</w:t>
      </w:r>
      <w:r>
        <w:rPr>
          <w:rFonts w:ascii="Verdana" w:hAnsi="Verdana"/>
          <w:sz w:val="16"/>
        </w:rPr>
        <w:t xml:space="preserve"> Judgment of August 5, 2008. Series C No. 182, para. 206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F6B66"/>
    <w:multiLevelType w:val="hybridMultilevel"/>
    <w:tmpl w:val="3104AD0E"/>
    <w:lvl w:ilvl="0" w:tplc="1C64AA6A">
      <w:start w:val="1"/>
      <w:numFmt w:val="decimal"/>
      <w:lvlText w:val="%1."/>
      <w:lvlJc w:val="left"/>
      <w:pPr>
        <w:ind w:left="5053" w:hanging="360"/>
      </w:pPr>
      <w:rPr>
        <w:rFonts w:hint="default"/>
        <w:b w:val="0"/>
        <w:i w:val="0"/>
        <w:strike w:val="0"/>
        <w:color w:val="auto"/>
        <w:sz w:val="20"/>
        <w:szCs w:val="20"/>
        <w:vertAlign w:val="baseline"/>
        <w:lang w:val="es-CR"/>
      </w:rPr>
    </w:lvl>
    <w:lvl w:ilvl="1" w:tplc="140A0019">
      <w:start w:val="1"/>
      <w:numFmt w:val="lowerLetter"/>
      <w:lvlText w:val="%2."/>
      <w:lvlJc w:val="left"/>
      <w:pPr>
        <w:ind w:left="1363" w:hanging="360"/>
      </w:pPr>
    </w:lvl>
    <w:lvl w:ilvl="2" w:tplc="140A001B" w:tentative="1">
      <w:start w:val="1"/>
      <w:numFmt w:val="lowerRoman"/>
      <w:lvlText w:val="%3."/>
      <w:lvlJc w:val="right"/>
      <w:pPr>
        <w:ind w:left="2083" w:hanging="180"/>
      </w:pPr>
    </w:lvl>
    <w:lvl w:ilvl="3" w:tplc="140A000F" w:tentative="1">
      <w:start w:val="1"/>
      <w:numFmt w:val="decimal"/>
      <w:lvlText w:val="%4."/>
      <w:lvlJc w:val="left"/>
      <w:pPr>
        <w:ind w:left="2803" w:hanging="360"/>
      </w:pPr>
    </w:lvl>
    <w:lvl w:ilvl="4" w:tplc="140A0019" w:tentative="1">
      <w:start w:val="1"/>
      <w:numFmt w:val="lowerLetter"/>
      <w:lvlText w:val="%5."/>
      <w:lvlJc w:val="left"/>
      <w:pPr>
        <w:ind w:left="3523" w:hanging="360"/>
      </w:pPr>
    </w:lvl>
    <w:lvl w:ilvl="5" w:tplc="140A001B" w:tentative="1">
      <w:start w:val="1"/>
      <w:numFmt w:val="lowerRoman"/>
      <w:lvlText w:val="%6."/>
      <w:lvlJc w:val="right"/>
      <w:pPr>
        <w:ind w:left="4243" w:hanging="180"/>
      </w:pPr>
    </w:lvl>
    <w:lvl w:ilvl="6" w:tplc="140A000F" w:tentative="1">
      <w:start w:val="1"/>
      <w:numFmt w:val="decimal"/>
      <w:lvlText w:val="%7."/>
      <w:lvlJc w:val="left"/>
      <w:pPr>
        <w:ind w:left="4963" w:hanging="360"/>
      </w:pPr>
    </w:lvl>
    <w:lvl w:ilvl="7" w:tplc="140A0019" w:tentative="1">
      <w:start w:val="1"/>
      <w:numFmt w:val="lowerLetter"/>
      <w:lvlText w:val="%8."/>
      <w:lvlJc w:val="left"/>
      <w:pPr>
        <w:ind w:left="5683" w:hanging="360"/>
      </w:pPr>
    </w:lvl>
    <w:lvl w:ilvl="8" w:tplc="140A001B" w:tentative="1">
      <w:start w:val="1"/>
      <w:numFmt w:val="lowerRoman"/>
      <w:lvlText w:val="%9."/>
      <w:lvlJc w:val="right"/>
      <w:pPr>
        <w:ind w:left="6403" w:hanging="180"/>
      </w:pPr>
    </w:lvl>
  </w:abstractNum>
  <w:abstractNum w:abstractNumId="1" w15:restartNumberingAfterBreak="0">
    <w:nsid w:val="05FC320B"/>
    <w:multiLevelType w:val="hybridMultilevel"/>
    <w:tmpl w:val="73E6A92E"/>
    <w:lvl w:ilvl="0" w:tplc="8A1612C2">
      <w:start w:val="1"/>
      <w:numFmt w:val="decimal"/>
      <w:lvlText w:val="%1."/>
      <w:lvlJc w:val="left"/>
      <w:pPr>
        <w:ind w:left="720" w:hanging="360"/>
      </w:pPr>
      <w:rPr>
        <w:rFonts w:ascii="Verdana" w:hAnsi="Verdana" w:hint="default"/>
        <w:sz w:val="20"/>
        <w:szCs w:val="20"/>
        <w:lang w:val="es-AR"/>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 w15:restartNumberingAfterBreak="0">
    <w:nsid w:val="0A2F5E98"/>
    <w:multiLevelType w:val="hybridMultilevel"/>
    <w:tmpl w:val="D5DE6144"/>
    <w:lvl w:ilvl="0" w:tplc="02189AA0">
      <w:start w:val="1"/>
      <w:numFmt w:val="decimal"/>
      <w:lvlText w:val="%1."/>
      <w:lvlJc w:val="left"/>
      <w:pPr>
        <w:ind w:left="2061" w:hanging="360"/>
      </w:pPr>
      <w:rPr>
        <w:rFonts w:cs="Times New Roman" w:hint="default"/>
        <w:b w:val="0"/>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0122A5B"/>
    <w:multiLevelType w:val="hybridMultilevel"/>
    <w:tmpl w:val="5550558C"/>
    <w:lvl w:ilvl="0" w:tplc="240A0013">
      <w:start w:val="1"/>
      <w:numFmt w:val="upperRoman"/>
      <w:lvlText w:val="%1."/>
      <w:lvlJc w:val="righ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0C91444"/>
    <w:multiLevelType w:val="multilevel"/>
    <w:tmpl w:val="754E99E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705A6F5C"/>
    <w:multiLevelType w:val="hybridMultilevel"/>
    <w:tmpl w:val="1012E60E"/>
    <w:lvl w:ilvl="0" w:tplc="6722D962">
      <w:start w:val="1"/>
      <w:numFmt w:val="decimal"/>
      <w:pStyle w:val="Numberedparagraphs"/>
      <w:lvlText w:val="%1."/>
      <w:lvlJc w:val="left"/>
      <w:pPr>
        <w:tabs>
          <w:tab w:val="num" w:pos="720"/>
        </w:tabs>
        <w:ind w:left="0" w:firstLine="0"/>
      </w:pPr>
      <w:rPr>
        <w:rFonts w:ascii="Verdana" w:hAnsi="Verdana" w:hint="default"/>
        <w:b w:val="0"/>
        <w:i w:val="0"/>
        <w:strike w:val="0"/>
        <w:color w:val="auto"/>
        <w:sz w:val="20"/>
        <w:szCs w:val="20"/>
        <w:lang w:val="es-AR"/>
      </w:rPr>
    </w:lvl>
    <w:lvl w:ilvl="1" w:tplc="5C6C0158">
      <w:start w:val="7"/>
      <w:numFmt w:val="decimal"/>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46013958">
    <w:abstractNumId w:val="3"/>
  </w:num>
  <w:num w:numId="2" w16cid:durableId="2001884857">
    <w:abstractNumId w:val="2"/>
  </w:num>
  <w:num w:numId="3" w16cid:durableId="1450584158">
    <w:abstractNumId w:val="0"/>
  </w:num>
  <w:num w:numId="4" w16cid:durableId="14959562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0639674">
    <w:abstractNumId w:val="5"/>
  </w:num>
  <w:num w:numId="6" w16cid:durableId="758448559">
    <w:abstractNumId w:val="1"/>
  </w:num>
  <w:num w:numId="7" w16cid:durableId="122896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B1C"/>
    <w:rsid w:val="0000050E"/>
    <w:rsid w:val="0000135D"/>
    <w:rsid w:val="00003242"/>
    <w:rsid w:val="000254A6"/>
    <w:rsid w:val="00025E9D"/>
    <w:rsid w:val="00037F29"/>
    <w:rsid w:val="000517B3"/>
    <w:rsid w:val="0005374E"/>
    <w:rsid w:val="000574BB"/>
    <w:rsid w:val="00064255"/>
    <w:rsid w:val="00066FBB"/>
    <w:rsid w:val="00075BA1"/>
    <w:rsid w:val="000827F3"/>
    <w:rsid w:val="0008517E"/>
    <w:rsid w:val="00090BBE"/>
    <w:rsid w:val="00093726"/>
    <w:rsid w:val="0009404A"/>
    <w:rsid w:val="000A1640"/>
    <w:rsid w:val="000A2F16"/>
    <w:rsid w:val="000A37CD"/>
    <w:rsid w:val="000B0EE7"/>
    <w:rsid w:val="000B0F95"/>
    <w:rsid w:val="000B17AA"/>
    <w:rsid w:val="000B38BD"/>
    <w:rsid w:val="000B51DD"/>
    <w:rsid w:val="000C4B76"/>
    <w:rsid w:val="000C6668"/>
    <w:rsid w:val="000D3989"/>
    <w:rsid w:val="000D552F"/>
    <w:rsid w:val="000D64AB"/>
    <w:rsid w:val="000D767A"/>
    <w:rsid w:val="00100662"/>
    <w:rsid w:val="00101F96"/>
    <w:rsid w:val="00106C3F"/>
    <w:rsid w:val="0011060C"/>
    <w:rsid w:val="0011248A"/>
    <w:rsid w:val="001125DE"/>
    <w:rsid w:val="00112706"/>
    <w:rsid w:val="00113417"/>
    <w:rsid w:val="00115889"/>
    <w:rsid w:val="00126CFB"/>
    <w:rsid w:val="00130C1E"/>
    <w:rsid w:val="0015587E"/>
    <w:rsid w:val="00161119"/>
    <w:rsid w:val="0016118C"/>
    <w:rsid w:val="00164CED"/>
    <w:rsid w:val="00176830"/>
    <w:rsid w:val="001772A0"/>
    <w:rsid w:val="001856DB"/>
    <w:rsid w:val="00187B4C"/>
    <w:rsid w:val="00195F77"/>
    <w:rsid w:val="001A5132"/>
    <w:rsid w:val="001B190E"/>
    <w:rsid w:val="001B2269"/>
    <w:rsid w:val="001B5DEF"/>
    <w:rsid w:val="001C5880"/>
    <w:rsid w:val="001C6F82"/>
    <w:rsid w:val="001D1640"/>
    <w:rsid w:val="001E5464"/>
    <w:rsid w:val="001F5D23"/>
    <w:rsid w:val="00200612"/>
    <w:rsid w:val="0020639D"/>
    <w:rsid w:val="00207B67"/>
    <w:rsid w:val="002125AA"/>
    <w:rsid w:val="00213128"/>
    <w:rsid w:val="00215609"/>
    <w:rsid w:val="002217F7"/>
    <w:rsid w:val="00222B1E"/>
    <w:rsid w:val="002254C5"/>
    <w:rsid w:val="0022574A"/>
    <w:rsid w:val="00236842"/>
    <w:rsid w:val="0024478B"/>
    <w:rsid w:val="00246920"/>
    <w:rsid w:val="002539A4"/>
    <w:rsid w:val="002601AB"/>
    <w:rsid w:val="00260BAB"/>
    <w:rsid w:val="00261DBD"/>
    <w:rsid w:val="00264400"/>
    <w:rsid w:val="0026627F"/>
    <w:rsid w:val="002744F1"/>
    <w:rsid w:val="002760AA"/>
    <w:rsid w:val="00282856"/>
    <w:rsid w:val="002831A7"/>
    <w:rsid w:val="002918C4"/>
    <w:rsid w:val="002A1284"/>
    <w:rsid w:val="002A23FD"/>
    <w:rsid w:val="002B05DD"/>
    <w:rsid w:val="002B6F9E"/>
    <w:rsid w:val="002C03D1"/>
    <w:rsid w:val="002C0A41"/>
    <w:rsid w:val="002C3523"/>
    <w:rsid w:val="002C467B"/>
    <w:rsid w:val="002C4B8A"/>
    <w:rsid w:val="002D2C61"/>
    <w:rsid w:val="002D3575"/>
    <w:rsid w:val="002D6FE8"/>
    <w:rsid w:val="002E2270"/>
    <w:rsid w:val="002E4A43"/>
    <w:rsid w:val="002F2AD8"/>
    <w:rsid w:val="002F7D60"/>
    <w:rsid w:val="003049C5"/>
    <w:rsid w:val="0031448C"/>
    <w:rsid w:val="0031581D"/>
    <w:rsid w:val="00317C9B"/>
    <w:rsid w:val="00323BC1"/>
    <w:rsid w:val="0032511C"/>
    <w:rsid w:val="00327172"/>
    <w:rsid w:val="00330F30"/>
    <w:rsid w:val="003340BC"/>
    <w:rsid w:val="003369B0"/>
    <w:rsid w:val="00351153"/>
    <w:rsid w:val="003528FA"/>
    <w:rsid w:val="003602D2"/>
    <w:rsid w:val="00360DBC"/>
    <w:rsid w:val="0038560D"/>
    <w:rsid w:val="0039018E"/>
    <w:rsid w:val="00392DA9"/>
    <w:rsid w:val="00394610"/>
    <w:rsid w:val="00397261"/>
    <w:rsid w:val="003A5075"/>
    <w:rsid w:val="003A6319"/>
    <w:rsid w:val="003B36C3"/>
    <w:rsid w:val="003B7D51"/>
    <w:rsid w:val="003C214C"/>
    <w:rsid w:val="003C3A3B"/>
    <w:rsid w:val="003D1D0B"/>
    <w:rsid w:val="003D2AA3"/>
    <w:rsid w:val="003D4250"/>
    <w:rsid w:val="003D52EC"/>
    <w:rsid w:val="003E2FE5"/>
    <w:rsid w:val="003E447C"/>
    <w:rsid w:val="003E5AC4"/>
    <w:rsid w:val="003F1CA8"/>
    <w:rsid w:val="003F2B52"/>
    <w:rsid w:val="003F49B9"/>
    <w:rsid w:val="00400D5F"/>
    <w:rsid w:val="00410C22"/>
    <w:rsid w:val="004152AA"/>
    <w:rsid w:val="00416C1E"/>
    <w:rsid w:val="004201E3"/>
    <w:rsid w:val="00420A64"/>
    <w:rsid w:val="00423F7F"/>
    <w:rsid w:val="004255AB"/>
    <w:rsid w:val="004366B4"/>
    <w:rsid w:val="0044594D"/>
    <w:rsid w:val="00445F67"/>
    <w:rsid w:val="00447813"/>
    <w:rsid w:val="00452B55"/>
    <w:rsid w:val="00456CD2"/>
    <w:rsid w:val="00462B4D"/>
    <w:rsid w:val="00471911"/>
    <w:rsid w:val="0047289D"/>
    <w:rsid w:val="00473DCC"/>
    <w:rsid w:val="0047488E"/>
    <w:rsid w:val="004766DF"/>
    <w:rsid w:val="00477421"/>
    <w:rsid w:val="00477AC5"/>
    <w:rsid w:val="0049109F"/>
    <w:rsid w:val="004B01DC"/>
    <w:rsid w:val="004B0258"/>
    <w:rsid w:val="004B446F"/>
    <w:rsid w:val="004B6475"/>
    <w:rsid w:val="004C4622"/>
    <w:rsid w:val="004C5D9C"/>
    <w:rsid w:val="004D164B"/>
    <w:rsid w:val="004D20F7"/>
    <w:rsid w:val="004E0711"/>
    <w:rsid w:val="004F0166"/>
    <w:rsid w:val="004F2B38"/>
    <w:rsid w:val="004F3395"/>
    <w:rsid w:val="004F78B0"/>
    <w:rsid w:val="0050099A"/>
    <w:rsid w:val="00500DFD"/>
    <w:rsid w:val="005064CB"/>
    <w:rsid w:val="00513171"/>
    <w:rsid w:val="0051508E"/>
    <w:rsid w:val="00517BAC"/>
    <w:rsid w:val="0052203C"/>
    <w:rsid w:val="0052499F"/>
    <w:rsid w:val="0053136C"/>
    <w:rsid w:val="005334B4"/>
    <w:rsid w:val="00533893"/>
    <w:rsid w:val="00550ED2"/>
    <w:rsid w:val="00554958"/>
    <w:rsid w:val="00562326"/>
    <w:rsid w:val="00566643"/>
    <w:rsid w:val="00570497"/>
    <w:rsid w:val="00582043"/>
    <w:rsid w:val="00583106"/>
    <w:rsid w:val="005901E8"/>
    <w:rsid w:val="005908B6"/>
    <w:rsid w:val="00596F7D"/>
    <w:rsid w:val="005971B7"/>
    <w:rsid w:val="005A118A"/>
    <w:rsid w:val="005B2194"/>
    <w:rsid w:val="005B377D"/>
    <w:rsid w:val="005B64A2"/>
    <w:rsid w:val="005C0B9E"/>
    <w:rsid w:val="005C175F"/>
    <w:rsid w:val="005D12B9"/>
    <w:rsid w:val="005D4671"/>
    <w:rsid w:val="005E1701"/>
    <w:rsid w:val="005F38FF"/>
    <w:rsid w:val="006003C3"/>
    <w:rsid w:val="00605B9C"/>
    <w:rsid w:val="00606E5E"/>
    <w:rsid w:val="006158F2"/>
    <w:rsid w:val="006227C1"/>
    <w:rsid w:val="00623352"/>
    <w:rsid w:val="00624F52"/>
    <w:rsid w:val="006438FA"/>
    <w:rsid w:val="006454AB"/>
    <w:rsid w:val="00650A5B"/>
    <w:rsid w:val="006521DA"/>
    <w:rsid w:val="00660139"/>
    <w:rsid w:val="00664C51"/>
    <w:rsid w:val="00681806"/>
    <w:rsid w:val="0068247C"/>
    <w:rsid w:val="00685874"/>
    <w:rsid w:val="00687775"/>
    <w:rsid w:val="00687B58"/>
    <w:rsid w:val="00694F60"/>
    <w:rsid w:val="006A65C7"/>
    <w:rsid w:val="006A7394"/>
    <w:rsid w:val="006B0A8D"/>
    <w:rsid w:val="006B134A"/>
    <w:rsid w:val="006B6F7E"/>
    <w:rsid w:val="006C3DAA"/>
    <w:rsid w:val="006D4CCD"/>
    <w:rsid w:val="006E111C"/>
    <w:rsid w:val="006E6BBD"/>
    <w:rsid w:val="006E6EF2"/>
    <w:rsid w:val="006F0B97"/>
    <w:rsid w:val="006F3FD5"/>
    <w:rsid w:val="006F645B"/>
    <w:rsid w:val="006F7E7E"/>
    <w:rsid w:val="007016C7"/>
    <w:rsid w:val="00706799"/>
    <w:rsid w:val="007162F5"/>
    <w:rsid w:val="007208CD"/>
    <w:rsid w:val="007235F2"/>
    <w:rsid w:val="00726E3B"/>
    <w:rsid w:val="00730127"/>
    <w:rsid w:val="007302AE"/>
    <w:rsid w:val="00730CEA"/>
    <w:rsid w:val="007322AA"/>
    <w:rsid w:val="007339B0"/>
    <w:rsid w:val="00743723"/>
    <w:rsid w:val="00754919"/>
    <w:rsid w:val="00755DDA"/>
    <w:rsid w:val="00757F8D"/>
    <w:rsid w:val="00760225"/>
    <w:rsid w:val="00761E7B"/>
    <w:rsid w:val="00764050"/>
    <w:rsid w:val="007640AC"/>
    <w:rsid w:val="00774132"/>
    <w:rsid w:val="007770E6"/>
    <w:rsid w:val="007A2C8E"/>
    <w:rsid w:val="007A2E26"/>
    <w:rsid w:val="007A694D"/>
    <w:rsid w:val="007B1BCA"/>
    <w:rsid w:val="007B29B7"/>
    <w:rsid w:val="007B2DA1"/>
    <w:rsid w:val="007B6163"/>
    <w:rsid w:val="007C68D0"/>
    <w:rsid w:val="007C7124"/>
    <w:rsid w:val="007D3E61"/>
    <w:rsid w:val="007D5799"/>
    <w:rsid w:val="007F0120"/>
    <w:rsid w:val="00803E1B"/>
    <w:rsid w:val="0080497A"/>
    <w:rsid w:val="00825E06"/>
    <w:rsid w:val="00827381"/>
    <w:rsid w:val="00835C14"/>
    <w:rsid w:val="00836062"/>
    <w:rsid w:val="0084290D"/>
    <w:rsid w:val="008520AA"/>
    <w:rsid w:val="008549E2"/>
    <w:rsid w:val="00857A5D"/>
    <w:rsid w:val="00861552"/>
    <w:rsid w:val="00865145"/>
    <w:rsid w:val="00873024"/>
    <w:rsid w:val="00874B6D"/>
    <w:rsid w:val="00882BB2"/>
    <w:rsid w:val="008908BB"/>
    <w:rsid w:val="008921EC"/>
    <w:rsid w:val="008936BF"/>
    <w:rsid w:val="00897421"/>
    <w:rsid w:val="008A233A"/>
    <w:rsid w:val="008A7201"/>
    <w:rsid w:val="008B0691"/>
    <w:rsid w:val="008B113D"/>
    <w:rsid w:val="008B3B98"/>
    <w:rsid w:val="008B4394"/>
    <w:rsid w:val="008B4835"/>
    <w:rsid w:val="008B6F0B"/>
    <w:rsid w:val="008C44A2"/>
    <w:rsid w:val="008C7A13"/>
    <w:rsid w:val="008D7BA8"/>
    <w:rsid w:val="008E194D"/>
    <w:rsid w:val="008F08B1"/>
    <w:rsid w:val="008F65FC"/>
    <w:rsid w:val="00917CB7"/>
    <w:rsid w:val="00926073"/>
    <w:rsid w:val="009320B5"/>
    <w:rsid w:val="00934DDF"/>
    <w:rsid w:val="009352C0"/>
    <w:rsid w:val="00942C11"/>
    <w:rsid w:val="00950E42"/>
    <w:rsid w:val="00953766"/>
    <w:rsid w:val="009609C8"/>
    <w:rsid w:val="009628FA"/>
    <w:rsid w:val="00965EEA"/>
    <w:rsid w:val="0097201E"/>
    <w:rsid w:val="0097246A"/>
    <w:rsid w:val="00984380"/>
    <w:rsid w:val="00985B9A"/>
    <w:rsid w:val="00986357"/>
    <w:rsid w:val="009941E9"/>
    <w:rsid w:val="009A4492"/>
    <w:rsid w:val="009C3AC7"/>
    <w:rsid w:val="009C4D25"/>
    <w:rsid w:val="009C7031"/>
    <w:rsid w:val="009D4490"/>
    <w:rsid w:val="009D5C7A"/>
    <w:rsid w:val="009D6994"/>
    <w:rsid w:val="009D73F9"/>
    <w:rsid w:val="009E0E06"/>
    <w:rsid w:val="009E1C71"/>
    <w:rsid w:val="009E4EC8"/>
    <w:rsid w:val="009E64EE"/>
    <w:rsid w:val="009E76A9"/>
    <w:rsid w:val="009E76F7"/>
    <w:rsid w:val="009F30A2"/>
    <w:rsid w:val="009F7599"/>
    <w:rsid w:val="00A00DB3"/>
    <w:rsid w:val="00A06B29"/>
    <w:rsid w:val="00A14E3D"/>
    <w:rsid w:val="00A1786A"/>
    <w:rsid w:val="00A209F2"/>
    <w:rsid w:val="00A256FB"/>
    <w:rsid w:val="00A3067C"/>
    <w:rsid w:val="00A558E9"/>
    <w:rsid w:val="00A561D0"/>
    <w:rsid w:val="00A60D3E"/>
    <w:rsid w:val="00A634C8"/>
    <w:rsid w:val="00A6423A"/>
    <w:rsid w:val="00A66F76"/>
    <w:rsid w:val="00A671F6"/>
    <w:rsid w:val="00A708B4"/>
    <w:rsid w:val="00A7790C"/>
    <w:rsid w:val="00A80700"/>
    <w:rsid w:val="00A82243"/>
    <w:rsid w:val="00A828D9"/>
    <w:rsid w:val="00A83A20"/>
    <w:rsid w:val="00A84D2E"/>
    <w:rsid w:val="00A86922"/>
    <w:rsid w:val="00A87209"/>
    <w:rsid w:val="00A90A70"/>
    <w:rsid w:val="00A91413"/>
    <w:rsid w:val="00A96515"/>
    <w:rsid w:val="00AB3BB6"/>
    <w:rsid w:val="00AC036C"/>
    <w:rsid w:val="00AC4481"/>
    <w:rsid w:val="00AD00B2"/>
    <w:rsid w:val="00AD492A"/>
    <w:rsid w:val="00AE0B85"/>
    <w:rsid w:val="00AE61D4"/>
    <w:rsid w:val="00AF0BD7"/>
    <w:rsid w:val="00AF1213"/>
    <w:rsid w:val="00AF68E8"/>
    <w:rsid w:val="00B0130C"/>
    <w:rsid w:val="00B02A26"/>
    <w:rsid w:val="00B23593"/>
    <w:rsid w:val="00B25D9E"/>
    <w:rsid w:val="00B2750F"/>
    <w:rsid w:val="00B31CCC"/>
    <w:rsid w:val="00B328D1"/>
    <w:rsid w:val="00B41AE3"/>
    <w:rsid w:val="00B41F9E"/>
    <w:rsid w:val="00B42F7C"/>
    <w:rsid w:val="00B44BEC"/>
    <w:rsid w:val="00B4739F"/>
    <w:rsid w:val="00B5288A"/>
    <w:rsid w:val="00B54B8E"/>
    <w:rsid w:val="00B56182"/>
    <w:rsid w:val="00B565C5"/>
    <w:rsid w:val="00B56D42"/>
    <w:rsid w:val="00B57632"/>
    <w:rsid w:val="00B61C65"/>
    <w:rsid w:val="00B622C6"/>
    <w:rsid w:val="00B6341C"/>
    <w:rsid w:val="00B64D15"/>
    <w:rsid w:val="00B6512A"/>
    <w:rsid w:val="00B717BD"/>
    <w:rsid w:val="00B7198D"/>
    <w:rsid w:val="00B74962"/>
    <w:rsid w:val="00B7719E"/>
    <w:rsid w:val="00B776F1"/>
    <w:rsid w:val="00B8255B"/>
    <w:rsid w:val="00B85518"/>
    <w:rsid w:val="00B97917"/>
    <w:rsid w:val="00BA1946"/>
    <w:rsid w:val="00BA21B7"/>
    <w:rsid w:val="00BA411E"/>
    <w:rsid w:val="00BB0894"/>
    <w:rsid w:val="00BB1229"/>
    <w:rsid w:val="00BB4306"/>
    <w:rsid w:val="00BB685B"/>
    <w:rsid w:val="00BC185E"/>
    <w:rsid w:val="00BC4474"/>
    <w:rsid w:val="00BC72C5"/>
    <w:rsid w:val="00BD1F8E"/>
    <w:rsid w:val="00BD6D91"/>
    <w:rsid w:val="00BD7E92"/>
    <w:rsid w:val="00BE4143"/>
    <w:rsid w:val="00BE4F10"/>
    <w:rsid w:val="00BE7B0C"/>
    <w:rsid w:val="00C04156"/>
    <w:rsid w:val="00C209E2"/>
    <w:rsid w:val="00C426EA"/>
    <w:rsid w:val="00C55310"/>
    <w:rsid w:val="00C55D43"/>
    <w:rsid w:val="00C57197"/>
    <w:rsid w:val="00C866EF"/>
    <w:rsid w:val="00CA3BE0"/>
    <w:rsid w:val="00CA5686"/>
    <w:rsid w:val="00CA6B49"/>
    <w:rsid w:val="00CB33F3"/>
    <w:rsid w:val="00CC4CA3"/>
    <w:rsid w:val="00CC6B60"/>
    <w:rsid w:val="00CD321D"/>
    <w:rsid w:val="00CD7347"/>
    <w:rsid w:val="00CE4D2A"/>
    <w:rsid w:val="00CE7260"/>
    <w:rsid w:val="00CF1787"/>
    <w:rsid w:val="00CF500D"/>
    <w:rsid w:val="00D049F5"/>
    <w:rsid w:val="00D16586"/>
    <w:rsid w:val="00D17B85"/>
    <w:rsid w:val="00D20D77"/>
    <w:rsid w:val="00D218E0"/>
    <w:rsid w:val="00D239F6"/>
    <w:rsid w:val="00D24635"/>
    <w:rsid w:val="00D300EC"/>
    <w:rsid w:val="00D33D89"/>
    <w:rsid w:val="00D40548"/>
    <w:rsid w:val="00D41AAE"/>
    <w:rsid w:val="00D436F6"/>
    <w:rsid w:val="00D47D4C"/>
    <w:rsid w:val="00D5083F"/>
    <w:rsid w:val="00D6326A"/>
    <w:rsid w:val="00D65597"/>
    <w:rsid w:val="00D66692"/>
    <w:rsid w:val="00D73DCE"/>
    <w:rsid w:val="00D74392"/>
    <w:rsid w:val="00D77A9E"/>
    <w:rsid w:val="00D8305B"/>
    <w:rsid w:val="00D86A5E"/>
    <w:rsid w:val="00D90C42"/>
    <w:rsid w:val="00D94608"/>
    <w:rsid w:val="00DA53BC"/>
    <w:rsid w:val="00DB1546"/>
    <w:rsid w:val="00DB3797"/>
    <w:rsid w:val="00DB5AA3"/>
    <w:rsid w:val="00DB72A3"/>
    <w:rsid w:val="00DC01FF"/>
    <w:rsid w:val="00DC25F9"/>
    <w:rsid w:val="00DE0AC9"/>
    <w:rsid w:val="00DE3B1C"/>
    <w:rsid w:val="00DE6AD9"/>
    <w:rsid w:val="00DF30D9"/>
    <w:rsid w:val="00DF397F"/>
    <w:rsid w:val="00DF4F86"/>
    <w:rsid w:val="00DF7471"/>
    <w:rsid w:val="00E0429C"/>
    <w:rsid w:val="00E05F1A"/>
    <w:rsid w:val="00E06E76"/>
    <w:rsid w:val="00E2085C"/>
    <w:rsid w:val="00E213D1"/>
    <w:rsid w:val="00E216CB"/>
    <w:rsid w:val="00E27BEC"/>
    <w:rsid w:val="00E34436"/>
    <w:rsid w:val="00E43CD6"/>
    <w:rsid w:val="00E44380"/>
    <w:rsid w:val="00E57E83"/>
    <w:rsid w:val="00E601E5"/>
    <w:rsid w:val="00E60E25"/>
    <w:rsid w:val="00E624D3"/>
    <w:rsid w:val="00E62693"/>
    <w:rsid w:val="00E70622"/>
    <w:rsid w:val="00E759A3"/>
    <w:rsid w:val="00E75D64"/>
    <w:rsid w:val="00E97799"/>
    <w:rsid w:val="00EA6BBB"/>
    <w:rsid w:val="00EA730E"/>
    <w:rsid w:val="00EB22D1"/>
    <w:rsid w:val="00EB5005"/>
    <w:rsid w:val="00EC4782"/>
    <w:rsid w:val="00EC478D"/>
    <w:rsid w:val="00ED1C85"/>
    <w:rsid w:val="00ED304E"/>
    <w:rsid w:val="00ED5729"/>
    <w:rsid w:val="00ED600D"/>
    <w:rsid w:val="00ED7302"/>
    <w:rsid w:val="00EE0971"/>
    <w:rsid w:val="00EE7231"/>
    <w:rsid w:val="00EE77D4"/>
    <w:rsid w:val="00EF0F72"/>
    <w:rsid w:val="00EF6A10"/>
    <w:rsid w:val="00EF6D43"/>
    <w:rsid w:val="00F024E3"/>
    <w:rsid w:val="00F05165"/>
    <w:rsid w:val="00F05866"/>
    <w:rsid w:val="00F125D3"/>
    <w:rsid w:val="00F12BF7"/>
    <w:rsid w:val="00F16B98"/>
    <w:rsid w:val="00F27FCE"/>
    <w:rsid w:val="00F3058F"/>
    <w:rsid w:val="00F30BD0"/>
    <w:rsid w:val="00F359DD"/>
    <w:rsid w:val="00F36F2E"/>
    <w:rsid w:val="00F371D1"/>
    <w:rsid w:val="00F43C20"/>
    <w:rsid w:val="00F46C87"/>
    <w:rsid w:val="00F52798"/>
    <w:rsid w:val="00F54B9A"/>
    <w:rsid w:val="00F5668F"/>
    <w:rsid w:val="00F5737B"/>
    <w:rsid w:val="00F57533"/>
    <w:rsid w:val="00F63539"/>
    <w:rsid w:val="00F64FFC"/>
    <w:rsid w:val="00F65679"/>
    <w:rsid w:val="00F70507"/>
    <w:rsid w:val="00F759F9"/>
    <w:rsid w:val="00F86830"/>
    <w:rsid w:val="00F92523"/>
    <w:rsid w:val="00F92A87"/>
    <w:rsid w:val="00F93FA9"/>
    <w:rsid w:val="00FA024D"/>
    <w:rsid w:val="00FB2042"/>
    <w:rsid w:val="00FB4DF7"/>
    <w:rsid w:val="00FB632F"/>
    <w:rsid w:val="00FB717A"/>
    <w:rsid w:val="00FD07F6"/>
    <w:rsid w:val="00FD0A39"/>
    <w:rsid w:val="00FD21F5"/>
    <w:rsid w:val="00FD2436"/>
    <w:rsid w:val="00FD3442"/>
    <w:rsid w:val="00FD40A7"/>
    <w:rsid w:val="00FD7A30"/>
    <w:rsid w:val="00FF0157"/>
    <w:rsid w:val="00FF6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98F6"/>
  <w15:chartTrackingRefBased/>
  <w15:docId w15:val="{FF0C5291-D220-0146-88BC-5C5B05CA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1C6F82"/>
    <w:pPr>
      <w:keepNext/>
      <w:keepLines/>
      <w:spacing w:before="40"/>
      <w:outlineLvl w:val="1"/>
    </w:pPr>
    <w:rPr>
      <w:rFonts w:asciiTheme="majorHAnsi" w:eastAsiaTheme="majorEastAsia" w:hAnsiTheme="majorHAnsi" w:cstheme="majorBidi"/>
      <w:color w:val="2F5496" w:themeColor="accent1" w:themeShade="BF"/>
      <w:sz w:val="26"/>
    </w:rPr>
  </w:style>
  <w:style w:type="paragraph" w:styleId="Ttulo3">
    <w:name w:val="heading 3"/>
    <w:basedOn w:val="Ttulo2"/>
    <w:next w:val="Normal"/>
    <w:link w:val="Ttulo3Car"/>
    <w:uiPriority w:val="9"/>
    <w:unhideWhenUsed/>
    <w:qFormat/>
    <w:rsid w:val="001C6F82"/>
    <w:pPr>
      <w:widowControl w:val="0"/>
      <w:adjustRightInd w:val="0"/>
      <w:spacing w:before="0"/>
      <w:ind w:left="993" w:firstLine="348"/>
      <w:jc w:val="both"/>
      <w:textAlignment w:val="baseline"/>
      <w:outlineLvl w:val="2"/>
    </w:pPr>
    <w:rPr>
      <w:rFonts w:ascii="Verdana" w:hAnsi="Verdana"/>
      <w:b/>
      <w:i/>
      <w:color w:val="000000" w:themeColor="text1"/>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Colorful List - Accent 11,Lista vistosa - Énfasis 11,Footnote,List Paragraph1,Párrafo de lista1,List Paragraph2,Subtle Emphasis1,Footnote1"/>
    <w:basedOn w:val="Normal"/>
    <w:link w:val="PrrafodelistaCar"/>
    <w:uiPriority w:val="34"/>
    <w:qFormat/>
    <w:rsid w:val="00DE3B1C"/>
    <w:pPr>
      <w:spacing w:after="160" w:line="259" w:lineRule="auto"/>
      <w:ind w:left="720"/>
      <w:contextualSpacing/>
    </w:pPr>
    <w:rPr>
      <w:sz w:val="22"/>
    </w:rPr>
  </w:style>
  <w:style w:type="character" w:customStyle="1" w:styleId="PrrafodelistaCar">
    <w:name w:val="Párrafo de lista Car"/>
    <w:aliases w:val="Colorful List - Accent 11 Car,Lista vistosa - Énfasis 11 Car,Footnote Car,List Paragraph1 Car,Párrafo de lista1 Car,List Paragraph2 Car,Subtle Emphasis1 Car,Footnote1 Car"/>
    <w:basedOn w:val="Fuentedeprrafopredeter"/>
    <w:link w:val="Prrafodelista"/>
    <w:locked/>
    <w:rsid w:val="00DE3B1C"/>
    <w:rPr>
      <w:sz w:val="22"/>
    </w:rPr>
  </w:style>
  <w:style w:type="paragraph" w:styleId="Textonotapie">
    <w:name w:val="footnote text"/>
    <w:aliases w:val="FA Fu,Footnote Text Char Char Char Char Char,Footnote Text Char Char Char Char,Footnote reference,Footnote Text Char Char Char,FA Fu Car,FA Fu Car Car,Footnote Text Cha,FA Fußnotentext,FA Fuﬂnotentext,FA Fu?notentext,Ca,FA Fu?notente,C,ft"/>
    <w:basedOn w:val="Normal"/>
    <w:link w:val="TextonotapieCar"/>
    <w:unhideWhenUsed/>
    <w:qFormat/>
    <w:rsid w:val="00DE3B1C"/>
    <w:rPr>
      <w:sz w:val="20"/>
    </w:rPr>
  </w:style>
  <w:style w:type="character" w:customStyle="1" w:styleId="TextonotapieCar">
    <w:name w:val="Texto nota pie Car"/>
    <w:aliases w:val="FA Fu Car1,Footnote Text Char Char Char Char Char Car,Footnote Text Char Char Char Char Car,Footnote reference Car,Footnote Text Char Char Char Car,FA Fu Car Car1,FA Fu Car Car Car,Footnote Text Cha Car,FA Fußnotentext Car,Ca Car"/>
    <w:basedOn w:val="Fuentedeprrafopredeter"/>
    <w:link w:val="Textonotapie"/>
    <w:uiPriority w:val="99"/>
    <w:qFormat/>
    <w:rsid w:val="00DE3B1C"/>
    <w:rPr>
      <w:sz w:val="20"/>
    </w:rPr>
  </w:style>
  <w:style w:type="character" w:styleId="Refdenotaalpie">
    <w:name w:val="footnote reference"/>
    <w:aliases w:val="Texto de nota al pie,Appel note de bas de page,Footnotes refss,Footnote number,referencia nota al pie,BVI fnr,f,4_G,16 Point,Superscript 6 Point,Footnote Reference Char3,Footnote Reference Char1 Char,Footnote Reference Char Char Char"/>
    <w:basedOn w:val="Fuentedeprrafopredeter"/>
    <w:link w:val="4GChar"/>
    <w:uiPriority w:val="99"/>
    <w:unhideWhenUsed/>
    <w:qFormat/>
    <w:rsid w:val="00DE3B1C"/>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DE3B1C"/>
    <w:pPr>
      <w:jc w:val="both"/>
    </w:pPr>
    <w:rPr>
      <w:vertAlign w:val="superscript"/>
    </w:rPr>
  </w:style>
  <w:style w:type="paragraph" w:styleId="NormalWeb">
    <w:name w:val="Normal (Web)"/>
    <w:basedOn w:val="Normal"/>
    <w:uiPriority w:val="99"/>
    <w:unhideWhenUsed/>
    <w:rsid w:val="008F08B1"/>
    <w:pPr>
      <w:spacing w:before="100" w:beforeAutospacing="1" w:after="100" w:afterAutospacing="1"/>
    </w:pPr>
    <w:rPr>
      <w:rFonts w:ascii="Times New Roman" w:eastAsia="Times New Roman" w:hAnsi="Times New Roman" w:cs="Times New Roman"/>
    </w:rPr>
  </w:style>
  <w:style w:type="character" w:styleId="Textoennegrita">
    <w:name w:val="Strong"/>
    <w:aliases w:val="Heading 2.1"/>
    <w:basedOn w:val="Fuentedeprrafopredeter"/>
    <w:uiPriority w:val="22"/>
    <w:qFormat/>
    <w:rsid w:val="00DA53BC"/>
    <w:rPr>
      <w:b/>
    </w:rPr>
  </w:style>
  <w:style w:type="paragraph" w:customStyle="1" w:styleId="Default">
    <w:name w:val="Default"/>
    <w:rsid w:val="002217F7"/>
    <w:pPr>
      <w:autoSpaceDE w:val="0"/>
      <w:autoSpaceDN w:val="0"/>
      <w:adjustRightInd w:val="0"/>
    </w:pPr>
    <w:rPr>
      <w:rFonts w:ascii="Verdana" w:hAnsi="Verdana" w:cs="Verdana"/>
      <w:color w:val="000000"/>
    </w:rPr>
  </w:style>
  <w:style w:type="character" w:customStyle="1" w:styleId="Ttulo3Car">
    <w:name w:val="Título 3 Car"/>
    <w:basedOn w:val="Fuentedeprrafopredeter"/>
    <w:link w:val="Ttulo3"/>
    <w:uiPriority w:val="9"/>
    <w:rsid w:val="001C6F82"/>
    <w:rPr>
      <w:rFonts w:ascii="Verdana" w:eastAsiaTheme="majorEastAsia" w:hAnsi="Verdana" w:cstheme="majorBidi"/>
      <w:b/>
      <w:i/>
      <w:color w:val="000000" w:themeColor="text1"/>
      <w:sz w:val="20"/>
    </w:rPr>
  </w:style>
  <w:style w:type="character" w:customStyle="1" w:styleId="Ttulo2Car">
    <w:name w:val="Título 2 Car"/>
    <w:basedOn w:val="Fuentedeprrafopredeter"/>
    <w:link w:val="Ttulo2"/>
    <w:uiPriority w:val="9"/>
    <w:semiHidden/>
    <w:rsid w:val="001C6F82"/>
    <w:rPr>
      <w:rFonts w:asciiTheme="majorHAnsi" w:eastAsiaTheme="majorEastAsia" w:hAnsiTheme="majorHAnsi" w:cstheme="majorBidi"/>
      <w:color w:val="2F5496" w:themeColor="accent1" w:themeShade="BF"/>
      <w:sz w:val="26"/>
    </w:rPr>
  </w:style>
  <w:style w:type="paragraph" w:styleId="Encabezado">
    <w:name w:val="header"/>
    <w:basedOn w:val="Normal"/>
    <w:link w:val="EncabezadoCar"/>
    <w:uiPriority w:val="99"/>
    <w:unhideWhenUsed/>
    <w:rsid w:val="00A671F6"/>
    <w:pPr>
      <w:tabs>
        <w:tab w:val="center" w:pos="4419"/>
        <w:tab w:val="right" w:pos="8838"/>
      </w:tabs>
    </w:pPr>
  </w:style>
  <w:style w:type="character" w:customStyle="1" w:styleId="EncabezadoCar">
    <w:name w:val="Encabezado Car"/>
    <w:basedOn w:val="Fuentedeprrafopredeter"/>
    <w:link w:val="Encabezado"/>
    <w:uiPriority w:val="99"/>
    <w:rsid w:val="00A671F6"/>
  </w:style>
  <w:style w:type="paragraph" w:styleId="Piedepgina">
    <w:name w:val="footer"/>
    <w:basedOn w:val="Normal"/>
    <w:link w:val="PiedepginaCar"/>
    <w:uiPriority w:val="99"/>
    <w:unhideWhenUsed/>
    <w:rsid w:val="00A671F6"/>
    <w:pPr>
      <w:tabs>
        <w:tab w:val="center" w:pos="4419"/>
        <w:tab w:val="right" w:pos="8838"/>
      </w:tabs>
    </w:pPr>
  </w:style>
  <w:style w:type="character" w:customStyle="1" w:styleId="PiedepginaCar">
    <w:name w:val="Pie de página Car"/>
    <w:basedOn w:val="Fuentedeprrafopredeter"/>
    <w:link w:val="Piedepgina"/>
    <w:uiPriority w:val="99"/>
    <w:rsid w:val="00A671F6"/>
  </w:style>
  <w:style w:type="character" w:styleId="Refdecomentario">
    <w:name w:val="annotation reference"/>
    <w:basedOn w:val="Fuentedeprrafopredeter"/>
    <w:uiPriority w:val="99"/>
    <w:semiHidden/>
    <w:unhideWhenUsed/>
    <w:rsid w:val="007016C7"/>
    <w:rPr>
      <w:sz w:val="16"/>
    </w:rPr>
  </w:style>
  <w:style w:type="paragraph" w:styleId="Textocomentario">
    <w:name w:val="annotation text"/>
    <w:basedOn w:val="Normal"/>
    <w:link w:val="TextocomentarioCar"/>
    <w:uiPriority w:val="99"/>
    <w:semiHidden/>
    <w:unhideWhenUsed/>
    <w:rsid w:val="007016C7"/>
    <w:rPr>
      <w:sz w:val="20"/>
    </w:rPr>
  </w:style>
  <w:style w:type="character" w:customStyle="1" w:styleId="TextocomentarioCar">
    <w:name w:val="Texto comentario Car"/>
    <w:basedOn w:val="Fuentedeprrafopredeter"/>
    <w:link w:val="Textocomentario"/>
    <w:uiPriority w:val="99"/>
    <w:semiHidden/>
    <w:rsid w:val="007016C7"/>
    <w:rPr>
      <w:sz w:val="20"/>
    </w:rPr>
  </w:style>
  <w:style w:type="paragraph" w:styleId="Asuntodelcomentario">
    <w:name w:val="annotation subject"/>
    <w:basedOn w:val="Textocomentario"/>
    <w:next w:val="Textocomentario"/>
    <w:link w:val="AsuntodelcomentarioCar"/>
    <w:uiPriority w:val="99"/>
    <w:semiHidden/>
    <w:unhideWhenUsed/>
    <w:rsid w:val="007016C7"/>
    <w:rPr>
      <w:b/>
    </w:rPr>
  </w:style>
  <w:style w:type="character" w:customStyle="1" w:styleId="AsuntodelcomentarioCar">
    <w:name w:val="Asunto del comentario Car"/>
    <w:basedOn w:val="TextocomentarioCar"/>
    <w:link w:val="Asuntodelcomentario"/>
    <w:uiPriority w:val="99"/>
    <w:semiHidden/>
    <w:rsid w:val="007016C7"/>
    <w:rPr>
      <w:b/>
      <w:sz w:val="20"/>
    </w:rPr>
  </w:style>
  <w:style w:type="paragraph" w:styleId="Textodeglobo">
    <w:name w:val="Balloon Text"/>
    <w:basedOn w:val="Normal"/>
    <w:link w:val="TextodegloboCar"/>
    <w:uiPriority w:val="99"/>
    <w:semiHidden/>
    <w:unhideWhenUsed/>
    <w:rsid w:val="007016C7"/>
    <w:rPr>
      <w:rFonts w:ascii="Segoe UI" w:hAnsi="Segoe UI" w:cs="Segoe UI"/>
      <w:sz w:val="18"/>
    </w:rPr>
  </w:style>
  <w:style w:type="character" w:customStyle="1" w:styleId="TextodegloboCar">
    <w:name w:val="Texto de globo Car"/>
    <w:basedOn w:val="Fuentedeprrafopredeter"/>
    <w:link w:val="Textodeglobo"/>
    <w:uiPriority w:val="99"/>
    <w:semiHidden/>
    <w:rsid w:val="007016C7"/>
    <w:rPr>
      <w:rFonts w:ascii="Segoe UI" w:hAnsi="Segoe UI" w:cs="Segoe UI"/>
      <w:sz w:val="18"/>
    </w:rPr>
  </w:style>
  <w:style w:type="paragraph" w:styleId="Revisin">
    <w:name w:val="Revision"/>
    <w:hidden/>
    <w:uiPriority w:val="99"/>
    <w:semiHidden/>
    <w:rsid w:val="003E2FE5"/>
  </w:style>
  <w:style w:type="paragraph" w:customStyle="1" w:styleId="Numberedparagraphs">
    <w:name w:val="Numbered paragraphs"/>
    <w:basedOn w:val="Normal"/>
    <w:qFormat/>
    <w:rsid w:val="00A80700"/>
    <w:pPr>
      <w:numPr>
        <w:numId w:val="5"/>
      </w:numPr>
      <w:jc w:val="both"/>
    </w:pPr>
    <w:rPr>
      <w:rFonts w:ascii="Verdana" w:eastAsia="MS Mincho" w:hAnsi="Verdana" w:cs="Times New Roman"/>
      <w:color w:val="000000"/>
      <w:sz w:val="20"/>
    </w:rPr>
  </w:style>
  <w:style w:type="paragraph" w:customStyle="1" w:styleId="P68B1DB1-Normal1">
    <w:name w:val="P68B1DB1-Normal1"/>
    <w:basedOn w:val="Normal"/>
    <w:rPr>
      <w:rFonts w:ascii="Verdana" w:hAnsi="Verdana"/>
      <w:b/>
      <w:sz w:val="20"/>
    </w:rPr>
  </w:style>
  <w:style w:type="paragraph" w:customStyle="1" w:styleId="P68B1DB1-Normal2">
    <w:name w:val="P68B1DB1-Normal2"/>
    <w:basedOn w:val="Normal"/>
    <w:rPr>
      <w:rFonts w:ascii="Verdana" w:eastAsia="Times New Roman" w:hAnsi="Verdana" w:cs="Times New Roman"/>
      <w:b/>
      <w:sz w:val="20"/>
    </w:rPr>
  </w:style>
  <w:style w:type="paragraph" w:customStyle="1" w:styleId="P68B1DB1-Normal3">
    <w:name w:val="P68B1DB1-Normal3"/>
    <w:basedOn w:val="Normal"/>
    <w:rPr>
      <w:rFonts w:ascii="Verdana" w:eastAsia="Times New Roman" w:hAnsi="Verdana" w:cs="Times New Roman"/>
      <w:b/>
      <w:i/>
      <w:sz w:val="20"/>
    </w:rPr>
  </w:style>
  <w:style w:type="paragraph" w:customStyle="1" w:styleId="P68B1DB1-Prrafodelista4">
    <w:name w:val="P68B1DB1-Prrafodelista4"/>
    <w:basedOn w:val="Prrafodelista"/>
    <w:rPr>
      <w:rFonts w:ascii="Verdana" w:hAnsi="Verdana"/>
      <w:sz w:val="20"/>
    </w:rPr>
  </w:style>
  <w:style w:type="paragraph" w:customStyle="1" w:styleId="P68B1DB1-Prrafodelista5">
    <w:name w:val="P68B1DB1-Prrafodelista5"/>
    <w:basedOn w:val="Prrafodelista"/>
    <w:rPr>
      <w:rFonts w:ascii="Verdana" w:eastAsia="Times" w:hAnsi="Verdana" w:cs="Times"/>
      <w:sz w:val="20"/>
    </w:rPr>
  </w:style>
  <w:style w:type="paragraph" w:customStyle="1" w:styleId="P68B1DB1-Normal6">
    <w:name w:val="P68B1DB1-Normal6"/>
    <w:basedOn w:val="Normal"/>
    <w:rPr>
      <w:rFonts w:ascii="Verdana" w:eastAsia="Times" w:hAnsi="Verdana" w:cs="Time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17873">
      <w:bodyDiv w:val="1"/>
      <w:marLeft w:val="0"/>
      <w:marRight w:val="0"/>
      <w:marTop w:val="0"/>
      <w:marBottom w:val="0"/>
      <w:divBdr>
        <w:top w:val="none" w:sz="0" w:space="0" w:color="auto"/>
        <w:left w:val="none" w:sz="0" w:space="0" w:color="auto"/>
        <w:bottom w:val="none" w:sz="0" w:space="0" w:color="auto"/>
        <w:right w:val="none" w:sz="0" w:space="0" w:color="auto"/>
      </w:divBdr>
      <w:divsChild>
        <w:div w:id="1346402569">
          <w:marLeft w:val="0"/>
          <w:marRight w:val="0"/>
          <w:marTop w:val="0"/>
          <w:marBottom w:val="0"/>
          <w:divBdr>
            <w:top w:val="none" w:sz="0" w:space="0" w:color="auto"/>
            <w:left w:val="none" w:sz="0" w:space="0" w:color="auto"/>
            <w:bottom w:val="none" w:sz="0" w:space="0" w:color="auto"/>
            <w:right w:val="none" w:sz="0" w:space="0" w:color="auto"/>
          </w:divBdr>
          <w:divsChild>
            <w:div w:id="840120533">
              <w:marLeft w:val="0"/>
              <w:marRight w:val="0"/>
              <w:marTop w:val="0"/>
              <w:marBottom w:val="0"/>
              <w:divBdr>
                <w:top w:val="none" w:sz="0" w:space="0" w:color="auto"/>
                <w:left w:val="none" w:sz="0" w:space="0" w:color="auto"/>
                <w:bottom w:val="none" w:sz="0" w:space="0" w:color="auto"/>
                <w:right w:val="none" w:sz="0" w:space="0" w:color="auto"/>
              </w:divBdr>
              <w:divsChild>
                <w:div w:id="60909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89322">
      <w:bodyDiv w:val="1"/>
      <w:marLeft w:val="0"/>
      <w:marRight w:val="0"/>
      <w:marTop w:val="0"/>
      <w:marBottom w:val="0"/>
      <w:divBdr>
        <w:top w:val="none" w:sz="0" w:space="0" w:color="auto"/>
        <w:left w:val="none" w:sz="0" w:space="0" w:color="auto"/>
        <w:bottom w:val="none" w:sz="0" w:space="0" w:color="auto"/>
        <w:right w:val="none" w:sz="0" w:space="0" w:color="auto"/>
      </w:divBdr>
    </w:div>
    <w:div w:id="481459747">
      <w:bodyDiv w:val="1"/>
      <w:marLeft w:val="0"/>
      <w:marRight w:val="0"/>
      <w:marTop w:val="0"/>
      <w:marBottom w:val="0"/>
      <w:divBdr>
        <w:top w:val="none" w:sz="0" w:space="0" w:color="auto"/>
        <w:left w:val="none" w:sz="0" w:space="0" w:color="auto"/>
        <w:bottom w:val="none" w:sz="0" w:space="0" w:color="auto"/>
        <w:right w:val="none" w:sz="0" w:space="0" w:color="auto"/>
      </w:divBdr>
    </w:div>
    <w:div w:id="505752446">
      <w:bodyDiv w:val="1"/>
      <w:marLeft w:val="0"/>
      <w:marRight w:val="0"/>
      <w:marTop w:val="0"/>
      <w:marBottom w:val="0"/>
      <w:divBdr>
        <w:top w:val="none" w:sz="0" w:space="0" w:color="auto"/>
        <w:left w:val="none" w:sz="0" w:space="0" w:color="auto"/>
        <w:bottom w:val="none" w:sz="0" w:space="0" w:color="auto"/>
        <w:right w:val="none" w:sz="0" w:space="0" w:color="auto"/>
      </w:divBdr>
    </w:div>
    <w:div w:id="706293712">
      <w:bodyDiv w:val="1"/>
      <w:marLeft w:val="0"/>
      <w:marRight w:val="0"/>
      <w:marTop w:val="0"/>
      <w:marBottom w:val="0"/>
      <w:divBdr>
        <w:top w:val="none" w:sz="0" w:space="0" w:color="auto"/>
        <w:left w:val="none" w:sz="0" w:space="0" w:color="auto"/>
        <w:bottom w:val="none" w:sz="0" w:space="0" w:color="auto"/>
        <w:right w:val="none" w:sz="0" w:space="0" w:color="auto"/>
      </w:divBdr>
      <w:divsChild>
        <w:div w:id="97457114">
          <w:marLeft w:val="0"/>
          <w:marRight w:val="0"/>
          <w:marTop w:val="0"/>
          <w:marBottom w:val="0"/>
          <w:divBdr>
            <w:top w:val="none" w:sz="0" w:space="0" w:color="auto"/>
            <w:left w:val="none" w:sz="0" w:space="0" w:color="auto"/>
            <w:bottom w:val="none" w:sz="0" w:space="0" w:color="auto"/>
            <w:right w:val="none" w:sz="0" w:space="0" w:color="auto"/>
          </w:divBdr>
          <w:divsChild>
            <w:div w:id="1973365089">
              <w:marLeft w:val="0"/>
              <w:marRight w:val="0"/>
              <w:marTop w:val="0"/>
              <w:marBottom w:val="0"/>
              <w:divBdr>
                <w:top w:val="none" w:sz="0" w:space="0" w:color="auto"/>
                <w:left w:val="none" w:sz="0" w:space="0" w:color="auto"/>
                <w:bottom w:val="none" w:sz="0" w:space="0" w:color="auto"/>
                <w:right w:val="none" w:sz="0" w:space="0" w:color="auto"/>
              </w:divBdr>
              <w:divsChild>
                <w:div w:id="188959334">
                  <w:marLeft w:val="0"/>
                  <w:marRight w:val="0"/>
                  <w:marTop w:val="0"/>
                  <w:marBottom w:val="0"/>
                  <w:divBdr>
                    <w:top w:val="none" w:sz="0" w:space="0" w:color="auto"/>
                    <w:left w:val="none" w:sz="0" w:space="0" w:color="auto"/>
                    <w:bottom w:val="none" w:sz="0" w:space="0" w:color="auto"/>
                    <w:right w:val="none" w:sz="0" w:space="0" w:color="auto"/>
                  </w:divBdr>
                  <w:divsChild>
                    <w:div w:id="1340962254">
                      <w:marLeft w:val="0"/>
                      <w:marRight w:val="0"/>
                      <w:marTop w:val="0"/>
                      <w:marBottom w:val="0"/>
                      <w:divBdr>
                        <w:top w:val="none" w:sz="0" w:space="0" w:color="auto"/>
                        <w:left w:val="none" w:sz="0" w:space="0" w:color="auto"/>
                        <w:bottom w:val="none" w:sz="0" w:space="0" w:color="auto"/>
                        <w:right w:val="none" w:sz="0" w:space="0" w:color="auto"/>
                      </w:divBdr>
                    </w:div>
                  </w:divsChild>
                </w:div>
                <w:div w:id="2131625981">
                  <w:marLeft w:val="0"/>
                  <w:marRight w:val="0"/>
                  <w:marTop w:val="0"/>
                  <w:marBottom w:val="0"/>
                  <w:divBdr>
                    <w:top w:val="none" w:sz="0" w:space="0" w:color="auto"/>
                    <w:left w:val="none" w:sz="0" w:space="0" w:color="auto"/>
                    <w:bottom w:val="none" w:sz="0" w:space="0" w:color="auto"/>
                    <w:right w:val="none" w:sz="0" w:space="0" w:color="auto"/>
                  </w:divBdr>
                  <w:divsChild>
                    <w:div w:id="12765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538036">
      <w:bodyDiv w:val="1"/>
      <w:marLeft w:val="0"/>
      <w:marRight w:val="0"/>
      <w:marTop w:val="0"/>
      <w:marBottom w:val="0"/>
      <w:divBdr>
        <w:top w:val="none" w:sz="0" w:space="0" w:color="auto"/>
        <w:left w:val="none" w:sz="0" w:space="0" w:color="auto"/>
        <w:bottom w:val="none" w:sz="0" w:space="0" w:color="auto"/>
        <w:right w:val="none" w:sz="0" w:space="0" w:color="auto"/>
      </w:divBdr>
    </w:div>
    <w:div w:id="832453822">
      <w:bodyDiv w:val="1"/>
      <w:marLeft w:val="0"/>
      <w:marRight w:val="0"/>
      <w:marTop w:val="0"/>
      <w:marBottom w:val="0"/>
      <w:divBdr>
        <w:top w:val="none" w:sz="0" w:space="0" w:color="auto"/>
        <w:left w:val="none" w:sz="0" w:space="0" w:color="auto"/>
        <w:bottom w:val="none" w:sz="0" w:space="0" w:color="auto"/>
        <w:right w:val="none" w:sz="0" w:space="0" w:color="auto"/>
      </w:divBdr>
    </w:div>
    <w:div w:id="891424643">
      <w:bodyDiv w:val="1"/>
      <w:marLeft w:val="0"/>
      <w:marRight w:val="0"/>
      <w:marTop w:val="0"/>
      <w:marBottom w:val="0"/>
      <w:divBdr>
        <w:top w:val="none" w:sz="0" w:space="0" w:color="auto"/>
        <w:left w:val="none" w:sz="0" w:space="0" w:color="auto"/>
        <w:bottom w:val="none" w:sz="0" w:space="0" w:color="auto"/>
        <w:right w:val="none" w:sz="0" w:space="0" w:color="auto"/>
      </w:divBdr>
    </w:div>
    <w:div w:id="1052540724">
      <w:bodyDiv w:val="1"/>
      <w:marLeft w:val="0"/>
      <w:marRight w:val="0"/>
      <w:marTop w:val="0"/>
      <w:marBottom w:val="0"/>
      <w:divBdr>
        <w:top w:val="none" w:sz="0" w:space="0" w:color="auto"/>
        <w:left w:val="none" w:sz="0" w:space="0" w:color="auto"/>
        <w:bottom w:val="none" w:sz="0" w:space="0" w:color="auto"/>
        <w:right w:val="none" w:sz="0" w:space="0" w:color="auto"/>
      </w:divBdr>
      <w:divsChild>
        <w:div w:id="1985155428">
          <w:marLeft w:val="0"/>
          <w:marRight w:val="0"/>
          <w:marTop w:val="0"/>
          <w:marBottom w:val="0"/>
          <w:divBdr>
            <w:top w:val="none" w:sz="0" w:space="0" w:color="auto"/>
            <w:left w:val="none" w:sz="0" w:space="0" w:color="auto"/>
            <w:bottom w:val="none" w:sz="0" w:space="0" w:color="auto"/>
            <w:right w:val="none" w:sz="0" w:space="0" w:color="auto"/>
          </w:divBdr>
          <w:divsChild>
            <w:div w:id="17629811">
              <w:marLeft w:val="0"/>
              <w:marRight w:val="0"/>
              <w:marTop w:val="0"/>
              <w:marBottom w:val="0"/>
              <w:divBdr>
                <w:top w:val="none" w:sz="0" w:space="0" w:color="auto"/>
                <w:left w:val="none" w:sz="0" w:space="0" w:color="auto"/>
                <w:bottom w:val="none" w:sz="0" w:space="0" w:color="auto"/>
                <w:right w:val="none" w:sz="0" w:space="0" w:color="auto"/>
              </w:divBdr>
              <w:divsChild>
                <w:div w:id="1070883165">
                  <w:marLeft w:val="0"/>
                  <w:marRight w:val="0"/>
                  <w:marTop w:val="0"/>
                  <w:marBottom w:val="0"/>
                  <w:divBdr>
                    <w:top w:val="none" w:sz="0" w:space="0" w:color="auto"/>
                    <w:left w:val="none" w:sz="0" w:space="0" w:color="auto"/>
                    <w:bottom w:val="none" w:sz="0" w:space="0" w:color="auto"/>
                    <w:right w:val="none" w:sz="0" w:space="0" w:color="auto"/>
                  </w:divBdr>
                  <w:divsChild>
                    <w:div w:id="760952357">
                      <w:marLeft w:val="0"/>
                      <w:marRight w:val="0"/>
                      <w:marTop w:val="0"/>
                      <w:marBottom w:val="0"/>
                      <w:divBdr>
                        <w:top w:val="none" w:sz="0" w:space="0" w:color="auto"/>
                        <w:left w:val="none" w:sz="0" w:space="0" w:color="auto"/>
                        <w:bottom w:val="none" w:sz="0" w:space="0" w:color="auto"/>
                        <w:right w:val="none" w:sz="0" w:space="0" w:color="auto"/>
                      </w:divBdr>
                    </w:div>
                  </w:divsChild>
                </w:div>
                <w:div w:id="963541864">
                  <w:marLeft w:val="0"/>
                  <w:marRight w:val="0"/>
                  <w:marTop w:val="0"/>
                  <w:marBottom w:val="0"/>
                  <w:divBdr>
                    <w:top w:val="none" w:sz="0" w:space="0" w:color="auto"/>
                    <w:left w:val="none" w:sz="0" w:space="0" w:color="auto"/>
                    <w:bottom w:val="none" w:sz="0" w:space="0" w:color="auto"/>
                    <w:right w:val="none" w:sz="0" w:space="0" w:color="auto"/>
                  </w:divBdr>
                  <w:divsChild>
                    <w:div w:id="166412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931524">
      <w:bodyDiv w:val="1"/>
      <w:marLeft w:val="0"/>
      <w:marRight w:val="0"/>
      <w:marTop w:val="0"/>
      <w:marBottom w:val="0"/>
      <w:divBdr>
        <w:top w:val="none" w:sz="0" w:space="0" w:color="auto"/>
        <w:left w:val="none" w:sz="0" w:space="0" w:color="auto"/>
        <w:bottom w:val="none" w:sz="0" w:space="0" w:color="auto"/>
        <w:right w:val="none" w:sz="0" w:space="0" w:color="auto"/>
      </w:divBdr>
      <w:divsChild>
        <w:div w:id="432409009">
          <w:marLeft w:val="0"/>
          <w:marRight w:val="0"/>
          <w:marTop w:val="0"/>
          <w:marBottom w:val="0"/>
          <w:divBdr>
            <w:top w:val="none" w:sz="0" w:space="0" w:color="auto"/>
            <w:left w:val="none" w:sz="0" w:space="0" w:color="auto"/>
            <w:bottom w:val="none" w:sz="0" w:space="0" w:color="auto"/>
            <w:right w:val="none" w:sz="0" w:space="0" w:color="auto"/>
          </w:divBdr>
          <w:divsChild>
            <w:div w:id="481777844">
              <w:marLeft w:val="0"/>
              <w:marRight w:val="0"/>
              <w:marTop w:val="0"/>
              <w:marBottom w:val="0"/>
              <w:divBdr>
                <w:top w:val="none" w:sz="0" w:space="0" w:color="auto"/>
                <w:left w:val="none" w:sz="0" w:space="0" w:color="auto"/>
                <w:bottom w:val="none" w:sz="0" w:space="0" w:color="auto"/>
                <w:right w:val="none" w:sz="0" w:space="0" w:color="auto"/>
              </w:divBdr>
              <w:divsChild>
                <w:div w:id="145039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091733">
      <w:bodyDiv w:val="1"/>
      <w:marLeft w:val="0"/>
      <w:marRight w:val="0"/>
      <w:marTop w:val="0"/>
      <w:marBottom w:val="0"/>
      <w:divBdr>
        <w:top w:val="none" w:sz="0" w:space="0" w:color="auto"/>
        <w:left w:val="none" w:sz="0" w:space="0" w:color="auto"/>
        <w:bottom w:val="none" w:sz="0" w:space="0" w:color="auto"/>
        <w:right w:val="none" w:sz="0" w:space="0" w:color="auto"/>
      </w:divBdr>
    </w:div>
    <w:div w:id="1183933635">
      <w:bodyDiv w:val="1"/>
      <w:marLeft w:val="0"/>
      <w:marRight w:val="0"/>
      <w:marTop w:val="0"/>
      <w:marBottom w:val="0"/>
      <w:divBdr>
        <w:top w:val="none" w:sz="0" w:space="0" w:color="auto"/>
        <w:left w:val="none" w:sz="0" w:space="0" w:color="auto"/>
        <w:bottom w:val="none" w:sz="0" w:space="0" w:color="auto"/>
        <w:right w:val="none" w:sz="0" w:space="0" w:color="auto"/>
      </w:divBdr>
      <w:divsChild>
        <w:div w:id="1502236019">
          <w:marLeft w:val="0"/>
          <w:marRight w:val="0"/>
          <w:marTop w:val="0"/>
          <w:marBottom w:val="0"/>
          <w:divBdr>
            <w:top w:val="none" w:sz="0" w:space="0" w:color="auto"/>
            <w:left w:val="none" w:sz="0" w:space="0" w:color="auto"/>
            <w:bottom w:val="none" w:sz="0" w:space="0" w:color="auto"/>
            <w:right w:val="none" w:sz="0" w:space="0" w:color="auto"/>
          </w:divBdr>
          <w:divsChild>
            <w:div w:id="1156650595">
              <w:marLeft w:val="0"/>
              <w:marRight w:val="0"/>
              <w:marTop w:val="0"/>
              <w:marBottom w:val="0"/>
              <w:divBdr>
                <w:top w:val="none" w:sz="0" w:space="0" w:color="auto"/>
                <w:left w:val="none" w:sz="0" w:space="0" w:color="auto"/>
                <w:bottom w:val="none" w:sz="0" w:space="0" w:color="auto"/>
                <w:right w:val="none" w:sz="0" w:space="0" w:color="auto"/>
              </w:divBdr>
              <w:divsChild>
                <w:div w:id="192899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039770">
      <w:bodyDiv w:val="1"/>
      <w:marLeft w:val="0"/>
      <w:marRight w:val="0"/>
      <w:marTop w:val="0"/>
      <w:marBottom w:val="0"/>
      <w:divBdr>
        <w:top w:val="none" w:sz="0" w:space="0" w:color="auto"/>
        <w:left w:val="none" w:sz="0" w:space="0" w:color="auto"/>
        <w:bottom w:val="none" w:sz="0" w:space="0" w:color="auto"/>
        <w:right w:val="none" w:sz="0" w:space="0" w:color="auto"/>
      </w:divBdr>
    </w:div>
    <w:div w:id="1359427056">
      <w:bodyDiv w:val="1"/>
      <w:marLeft w:val="0"/>
      <w:marRight w:val="0"/>
      <w:marTop w:val="0"/>
      <w:marBottom w:val="0"/>
      <w:divBdr>
        <w:top w:val="none" w:sz="0" w:space="0" w:color="auto"/>
        <w:left w:val="none" w:sz="0" w:space="0" w:color="auto"/>
        <w:bottom w:val="none" w:sz="0" w:space="0" w:color="auto"/>
        <w:right w:val="none" w:sz="0" w:space="0" w:color="auto"/>
      </w:divBdr>
    </w:div>
    <w:div w:id="1495339812">
      <w:bodyDiv w:val="1"/>
      <w:marLeft w:val="0"/>
      <w:marRight w:val="0"/>
      <w:marTop w:val="0"/>
      <w:marBottom w:val="0"/>
      <w:divBdr>
        <w:top w:val="none" w:sz="0" w:space="0" w:color="auto"/>
        <w:left w:val="none" w:sz="0" w:space="0" w:color="auto"/>
        <w:bottom w:val="none" w:sz="0" w:space="0" w:color="auto"/>
        <w:right w:val="none" w:sz="0" w:space="0" w:color="auto"/>
      </w:divBdr>
      <w:divsChild>
        <w:div w:id="1412431877">
          <w:marLeft w:val="0"/>
          <w:marRight w:val="0"/>
          <w:marTop w:val="0"/>
          <w:marBottom w:val="0"/>
          <w:divBdr>
            <w:top w:val="none" w:sz="0" w:space="0" w:color="auto"/>
            <w:left w:val="none" w:sz="0" w:space="0" w:color="auto"/>
            <w:bottom w:val="none" w:sz="0" w:space="0" w:color="auto"/>
            <w:right w:val="none" w:sz="0" w:space="0" w:color="auto"/>
          </w:divBdr>
          <w:divsChild>
            <w:div w:id="1567373078">
              <w:marLeft w:val="0"/>
              <w:marRight w:val="0"/>
              <w:marTop w:val="0"/>
              <w:marBottom w:val="0"/>
              <w:divBdr>
                <w:top w:val="none" w:sz="0" w:space="0" w:color="auto"/>
                <w:left w:val="none" w:sz="0" w:space="0" w:color="auto"/>
                <w:bottom w:val="none" w:sz="0" w:space="0" w:color="auto"/>
                <w:right w:val="none" w:sz="0" w:space="0" w:color="auto"/>
              </w:divBdr>
              <w:divsChild>
                <w:div w:id="1784883165">
                  <w:marLeft w:val="0"/>
                  <w:marRight w:val="0"/>
                  <w:marTop w:val="0"/>
                  <w:marBottom w:val="0"/>
                  <w:divBdr>
                    <w:top w:val="none" w:sz="0" w:space="0" w:color="auto"/>
                    <w:left w:val="none" w:sz="0" w:space="0" w:color="auto"/>
                    <w:bottom w:val="none" w:sz="0" w:space="0" w:color="auto"/>
                    <w:right w:val="none" w:sz="0" w:space="0" w:color="auto"/>
                  </w:divBdr>
                  <w:divsChild>
                    <w:div w:id="8076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192625">
      <w:bodyDiv w:val="1"/>
      <w:marLeft w:val="0"/>
      <w:marRight w:val="0"/>
      <w:marTop w:val="0"/>
      <w:marBottom w:val="0"/>
      <w:divBdr>
        <w:top w:val="none" w:sz="0" w:space="0" w:color="auto"/>
        <w:left w:val="none" w:sz="0" w:space="0" w:color="auto"/>
        <w:bottom w:val="none" w:sz="0" w:space="0" w:color="auto"/>
        <w:right w:val="none" w:sz="0" w:space="0" w:color="auto"/>
      </w:divBdr>
    </w:div>
    <w:div w:id="1507138295">
      <w:bodyDiv w:val="1"/>
      <w:marLeft w:val="0"/>
      <w:marRight w:val="0"/>
      <w:marTop w:val="0"/>
      <w:marBottom w:val="0"/>
      <w:divBdr>
        <w:top w:val="none" w:sz="0" w:space="0" w:color="auto"/>
        <w:left w:val="none" w:sz="0" w:space="0" w:color="auto"/>
        <w:bottom w:val="none" w:sz="0" w:space="0" w:color="auto"/>
        <w:right w:val="none" w:sz="0" w:space="0" w:color="auto"/>
      </w:divBdr>
      <w:divsChild>
        <w:div w:id="1866944713">
          <w:marLeft w:val="0"/>
          <w:marRight w:val="0"/>
          <w:marTop w:val="0"/>
          <w:marBottom w:val="0"/>
          <w:divBdr>
            <w:top w:val="none" w:sz="0" w:space="0" w:color="auto"/>
            <w:left w:val="none" w:sz="0" w:space="0" w:color="auto"/>
            <w:bottom w:val="none" w:sz="0" w:space="0" w:color="auto"/>
            <w:right w:val="none" w:sz="0" w:space="0" w:color="auto"/>
          </w:divBdr>
          <w:divsChild>
            <w:div w:id="728040267">
              <w:marLeft w:val="0"/>
              <w:marRight w:val="0"/>
              <w:marTop w:val="0"/>
              <w:marBottom w:val="0"/>
              <w:divBdr>
                <w:top w:val="none" w:sz="0" w:space="0" w:color="auto"/>
                <w:left w:val="none" w:sz="0" w:space="0" w:color="auto"/>
                <w:bottom w:val="none" w:sz="0" w:space="0" w:color="auto"/>
                <w:right w:val="none" w:sz="0" w:space="0" w:color="auto"/>
              </w:divBdr>
              <w:divsChild>
                <w:div w:id="2117016998">
                  <w:marLeft w:val="0"/>
                  <w:marRight w:val="0"/>
                  <w:marTop w:val="0"/>
                  <w:marBottom w:val="0"/>
                  <w:divBdr>
                    <w:top w:val="none" w:sz="0" w:space="0" w:color="auto"/>
                    <w:left w:val="none" w:sz="0" w:space="0" w:color="auto"/>
                    <w:bottom w:val="none" w:sz="0" w:space="0" w:color="auto"/>
                    <w:right w:val="none" w:sz="0" w:space="0" w:color="auto"/>
                  </w:divBdr>
                  <w:divsChild>
                    <w:div w:id="566770292">
                      <w:marLeft w:val="0"/>
                      <w:marRight w:val="0"/>
                      <w:marTop w:val="0"/>
                      <w:marBottom w:val="0"/>
                      <w:divBdr>
                        <w:top w:val="none" w:sz="0" w:space="0" w:color="auto"/>
                        <w:left w:val="none" w:sz="0" w:space="0" w:color="auto"/>
                        <w:bottom w:val="none" w:sz="0" w:space="0" w:color="auto"/>
                        <w:right w:val="none" w:sz="0" w:space="0" w:color="auto"/>
                      </w:divBdr>
                    </w:div>
                  </w:divsChild>
                </w:div>
                <w:div w:id="1987976048">
                  <w:marLeft w:val="0"/>
                  <w:marRight w:val="0"/>
                  <w:marTop w:val="0"/>
                  <w:marBottom w:val="0"/>
                  <w:divBdr>
                    <w:top w:val="none" w:sz="0" w:space="0" w:color="auto"/>
                    <w:left w:val="none" w:sz="0" w:space="0" w:color="auto"/>
                    <w:bottom w:val="none" w:sz="0" w:space="0" w:color="auto"/>
                    <w:right w:val="none" w:sz="0" w:space="0" w:color="auto"/>
                  </w:divBdr>
                  <w:divsChild>
                    <w:div w:id="1492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253521">
      <w:bodyDiv w:val="1"/>
      <w:marLeft w:val="0"/>
      <w:marRight w:val="0"/>
      <w:marTop w:val="0"/>
      <w:marBottom w:val="0"/>
      <w:divBdr>
        <w:top w:val="none" w:sz="0" w:space="0" w:color="auto"/>
        <w:left w:val="none" w:sz="0" w:space="0" w:color="auto"/>
        <w:bottom w:val="none" w:sz="0" w:space="0" w:color="auto"/>
        <w:right w:val="none" w:sz="0" w:space="0" w:color="auto"/>
      </w:divBdr>
    </w:div>
    <w:div w:id="1667631134">
      <w:bodyDiv w:val="1"/>
      <w:marLeft w:val="0"/>
      <w:marRight w:val="0"/>
      <w:marTop w:val="0"/>
      <w:marBottom w:val="0"/>
      <w:divBdr>
        <w:top w:val="none" w:sz="0" w:space="0" w:color="auto"/>
        <w:left w:val="none" w:sz="0" w:space="0" w:color="auto"/>
        <w:bottom w:val="none" w:sz="0" w:space="0" w:color="auto"/>
        <w:right w:val="none" w:sz="0" w:space="0" w:color="auto"/>
      </w:divBdr>
      <w:divsChild>
        <w:div w:id="724568564">
          <w:marLeft w:val="0"/>
          <w:marRight w:val="0"/>
          <w:marTop w:val="0"/>
          <w:marBottom w:val="0"/>
          <w:divBdr>
            <w:top w:val="none" w:sz="0" w:space="0" w:color="auto"/>
            <w:left w:val="none" w:sz="0" w:space="0" w:color="auto"/>
            <w:bottom w:val="none" w:sz="0" w:space="0" w:color="auto"/>
            <w:right w:val="none" w:sz="0" w:space="0" w:color="auto"/>
          </w:divBdr>
          <w:divsChild>
            <w:div w:id="2081516609">
              <w:marLeft w:val="0"/>
              <w:marRight w:val="0"/>
              <w:marTop w:val="0"/>
              <w:marBottom w:val="0"/>
              <w:divBdr>
                <w:top w:val="none" w:sz="0" w:space="0" w:color="auto"/>
                <w:left w:val="none" w:sz="0" w:space="0" w:color="auto"/>
                <w:bottom w:val="none" w:sz="0" w:space="0" w:color="auto"/>
                <w:right w:val="none" w:sz="0" w:space="0" w:color="auto"/>
              </w:divBdr>
              <w:divsChild>
                <w:div w:id="1788499437">
                  <w:marLeft w:val="0"/>
                  <w:marRight w:val="0"/>
                  <w:marTop w:val="0"/>
                  <w:marBottom w:val="0"/>
                  <w:divBdr>
                    <w:top w:val="none" w:sz="0" w:space="0" w:color="auto"/>
                    <w:left w:val="none" w:sz="0" w:space="0" w:color="auto"/>
                    <w:bottom w:val="none" w:sz="0" w:space="0" w:color="auto"/>
                    <w:right w:val="none" w:sz="0" w:space="0" w:color="auto"/>
                  </w:divBdr>
                  <w:divsChild>
                    <w:div w:id="174667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010502">
      <w:bodyDiv w:val="1"/>
      <w:marLeft w:val="0"/>
      <w:marRight w:val="0"/>
      <w:marTop w:val="0"/>
      <w:marBottom w:val="0"/>
      <w:divBdr>
        <w:top w:val="none" w:sz="0" w:space="0" w:color="auto"/>
        <w:left w:val="none" w:sz="0" w:space="0" w:color="auto"/>
        <w:bottom w:val="none" w:sz="0" w:space="0" w:color="auto"/>
        <w:right w:val="none" w:sz="0" w:space="0" w:color="auto"/>
      </w:divBdr>
    </w:div>
    <w:div w:id="1808158527">
      <w:bodyDiv w:val="1"/>
      <w:marLeft w:val="0"/>
      <w:marRight w:val="0"/>
      <w:marTop w:val="0"/>
      <w:marBottom w:val="0"/>
      <w:divBdr>
        <w:top w:val="none" w:sz="0" w:space="0" w:color="auto"/>
        <w:left w:val="none" w:sz="0" w:space="0" w:color="auto"/>
        <w:bottom w:val="none" w:sz="0" w:space="0" w:color="auto"/>
        <w:right w:val="none" w:sz="0" w:space="0" w:color="auto"/>
      </w:divBdr>
    </w:div>
    <w:div w:id="1911117363">
      <w:bodyDiv w:val="1"/>
      <w:marLeft w:val="0"/>
      <w:marRight w:val="0"/>
      <w:marTop w:val="0"/>
      <w:marBottom w:val="0"/>
      <w:divBdr>
        <w:top w:val="none" w:sz="0" w:space="0" w:color="auto"/>
        <w:left w:val="none" w:sz="0" w:space="0" w:color="auto"/>
        <w:bottom w:val="none" w:sz="0" w:space="0" w:color="auto"/>
        <w:right w:val="none" w:sz="0" w:space="0" w:color="auto"/>
      </w:divBdr>
    </w:div>
    <w:div w:id="2085177226">
      <w:bodyDiv w:val="1"/>
      <w:marLeft w:val="0"/>
      <w:marRight w:val="0"/>
      <w:marTop w:val="0"/>
      <w:marBottom w:val="0"/>
      <w:divBdr>
        <w:top w:val="none" w:sz="0" w:space="0" w:color="auto"/>
        <w:left w:val="none" w:sz="0" w:space="0" w:color="auto"/>
        <w:bottom w:val="none" w:sz="0" w:space="0" w:color="auto"/>
        <w:right w:val="none" w:sz="0" w:space="0" w:color="auto"/>
      </w:divBdr>
      <w:divsChild>
        <w:div w:id="4402623">
          <w:marLeft w:val="0"/>
          <w:marRight w:val="0"/>
          <w:marTop w:val="0"/>
          <w:marBottom w:val="0"/>
          <w:divBdr>
            <w:top w:val="none" w:sz="0" w:space="0" w:color="auto"/>
            <w:left w:val="none" w:sz="0" w:space="0" w:color="auto"/>
            <w:bottom w:val="none" w:sz="0" w:space="0" w:color="auto"/>
            <w:right w:val="none" w:sz="0" w:space="0" w:color="auto"/>
          </w:divBdr>
          <w:divsChild>
            <w:div w:id="1602689473">
              <w:marLeft w:val="0"/>
              <w:marRight w:val="0"/>
              <w:marTop w:val="0"/>
              <w:marBottom w:val="0"/>
              <w:divBdr>
                <w:top w:val="none" w:sz="0" w:space="0" w:color="auto"/>
                <w:left w:val="none" w:sz="0" w:space="0" w:color="auto"/>
                <w:bottom w:val="none" w:sz="0" w:space="0" w:color="auto"/>
                <w:right w:val="none" w:sz="0" w:space="0" w:color="auto"/>
              </w:divBdr>
              <w:divsChild>
                <w:div w:id="30339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EBF0E-CED9-4A0F-B9B6-51614C3E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5217</Characters>
  <Application>Microsoft Office Word</Application>
  <DocSecurity>0</DocSecurity>
  <Lines>94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Corte IDH</dc:creator>
  <cp:keywords/>
  <dc:description/>
  <cp:lastModifiedBy>Liliana Tojo</cp:lastModifiedBy>
  <cp:revision>2</cp:revision>
  <dcterms:created xsi:type="dcterms:W3CDTF">2024-06-18T21:48:00Z</dcterms:created>
  <dcterms:modified xsi:type="dcterms:W3CDTF">2024-06-18T21:48:00Z</dcterms:modified>
</cp:coreProperties>
</file>